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6A19" w14:textId="77777777" w:rsidR="001B4D16" w:rsidRDefault="001B4D16" w:rsidP="000407A2">
      <w:pPr>
        <w:pStyle w:val="Title"/>
      </w:pPr>
      <w:r>
        <w:t>Advisory Committee on Assisted Reproductive Technology</w:t>
      </w:r>
    </w:p>
    <w:p w14:paraId="68BA35F8" w14:textId="53726EF7" w:rsidR="00C86248" w:rsidRDefault="001B4D16" w:rsidP="000407A2">
      <w:pPr>
        <w:pStyle w:val="Title"/>
      </w:pPr>
      <w:r>
        <w:t>Annual Report 20</w:t>
      </w:r>
      <w:r w:rsidR="00EB2BFD">
        <w:t>20</w:t>
      </w:r>
      <w:r w:rsidR="006A17F5">
        <w:t>/</w:t>
      </w:r>
      <w:r w:rsidR="00F211FF">
        <w:t>2</w:t>
      </w:r>
      <w:r w:rsidR="00EB2BFD">
        <w:t>1</w:t>
      </w:r>
    </w:p>
    <w:p w14:paraId="4AB552B8" w14:textId="77777777" w:rsidR="000407A2" w:rsidRDefault="000407A2" w:rsidP="000407A2">
      <w:pPr>
        <w:rPr>
          <w:highlight w:val="green"/>
        </w:rPr>
        <w:sectPr w:rsidR="000407A2" w:rsidSect="00B61609">
          <w:footerReference w:type="even" r:id="rId10"/>
          <w:footerReference w:type="first" r:id="rId11"/>
          <w:pgSz w:w="11907" w:h="16834" w:code="9"/>
          <w:pgMar w:top="9923" w:right="1134" w:bottom="1134" w:left="1985" w:header="0" w:footer="0" w:gutter="0"/>
          <w:cols w:space="720"/>
        </w:sectPr>
      </w:pPr>
    </w:p>
    <w:p w14:paraId="29333EB4" w14:textId="50ABD6D1" w:rsidR="00B61609" w:rsidRPr="000407A2" w:rsidRDefault="00B61609" w:rsidP="000E5491">
      <w:pPr>
        <w:pStyle w:val="Imprint"/>
        <w:rPr>
          <w:szCs w:val="22"/>
        </w:rPr>
      </w:pPr>
      <w:r w:rsidRPr="004D655D">
        <w:lastRenderedPageBreak/>
        <w:t xml:space="preserve">Citation: </w:t>
      </w:r>
      <w:r w:rsidR="001B4D16">
        <w:t>ACART. 20</w:t>
      </w:r>
      <w:r w:rsidR="00826AA1">
        <w:t>2</w:t>
      </w:r>
      <w:r w:rsidR="00EB2BFD">
        <w:t>3</w:t>
      </w:r>
      <w:r w:rsidR="001B4D16">
        <w:t xml:space="preserve">. </w:t>
      </w:r>
      <w:r w:rsidRPr="001B4D16">
        <w:rPr>
          <w:i/>
        </w:rPr>
        <w:t>Advisory Committee on Assisted Reproductive Technology</w:t>
      </w:r>
      <w:r w:rsidR="001B4D16">
        <w:rPr>
          <w:i/>
        </w:rPr>
        <w:t xml:space="preserve">: Annual report </w:t>
      </w:r>
      <w:r w:rsidR="00EB2BFD">
        <w:rPr>
          <w:i/>
        </w:rPr>
        <w:t>2020/21</w:t>
      </w:r>
      <w:r w:rsidR="00282A22" w:rsidRPr="001B4D16">
        <w:t>.</w:t>
      </w:r>
      <w:r w:rsidR="001B4D16" w:rsidRPr="001B4D16">
        <w:t xml:space="preserve"> </w:t>
      </w:r>
      <w:smartTag w:uri="urn:schemas-microsoft-com:office:smarttags" w:element="place">
        <w:smartTag w:uri="urn:schemas-microsoft-com:office:smarttags" w:element="City">
          <w:r w:rsidRPr="000407A2">
            <w:rPr>
              <w:szCs w:val="22"/>
            </w:rPr>
            <w:t>Wellington</w:t>
          </w:r>
        </w:smartTag>
      </w:smartTag>
      <w:r w:rsidRPr="000407A2">
        <w:rPr>
          <w:szCs w:val="22"/>
        </w:rPr>
        <w:t>: Advisory Committee on Assisted Reproductive Technology.</w:t>
      </w:r>
    </w:p>
    <w:p w14:paraId="2DF93B69" w14:textId="355F5DC4" w:rsidR="00C86248" w:rsidRPr="000407A2" w:rsidRDefault="00C86248" w:rsidP="000E5491">
      <w:pPr>
        <w:pStyle w:val="Imprint"/>
        <w:rPr>
          <w:szCs w:val="22"/>
        </w:rPr>
      </w:pPr>
      <w:r w:rsidRPr="000407A2">
        <w:rPr>
          <w:szCs w:val="22"/>
        </w:rPr>
        <w:t xml:space="preserve">Published </w:t>
      </w:r>
      <w:r w:rsidR="00EB2BFD">
        <w:t xml:space="preserve">in </w:t>
      </w:r>
      <w:r w:rsidR="00690209">
        <w:t>May</w:t>
      </w:r>
      <w:r w:rsidR="00EB2BFD">
        <w:t xml:space="preserve"> 2023</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14:paraId="4D68F194" w14:textId="14E1AD82" w:rsidR="001D0E1C" w:rsidRPr="000407A2" w:rsidRDefault="00110C6D" w:rsidP="000E5491">
      <w:pPr>
        <w:pStyle w:val="Imprint"/>
        <w:rPr>
          <w:szCs w:val="22"/>
        </w:rPr>
      </w:pPr>
      <w:r w:rsidRPr="00362BD3">
        <w:rPr>
          <w:szCs w:val="22"/>
        </w:rPr>
        <w:t xml:space="preserve">ISBN: </w:t>
      </w:r>
      <w:r w:rsidR="00283F7A" w:rsidRPr="00283F7A">
        <w:rPr>
          <w:szCs w:val="22"/>
        </w:rPr>
        <w:t>978-1-991075-27-7</w:t>
      </w:r>
      <w:r w:rsidR="00362BD3" w:rsidRPr="00362BD3">
        <w:rPr>
          <w:szCs w:val="22"/>
        </w:rPr>
        <w:t xml:space="preserve"> </w:t>
      </w:r>
      <w:r w:rsidR="009F7589" w:rsidRPr="00362BD3">
        <w:rPr>
          <w:szCs w:val="22"/>
        </w:rPr>
        <w:t>(online)</w:t>
      </w:r>
      <w:r w:rsidR="001B4D16">
        <w:rPr>
          <w:szCs w:val="22"/>
        </w:rPr>
        <w:br/>
      </w:r>
      <w:r w:rsidR="00B236BF" w:rsidRPr="00362BD3">
        <w:rPr>
          <w:szCs w:val="22"/>
        </w:rPr>
        <w:t xml:space="preserve">HP </w:t>
      </w:r>
      <w:r w:rsidR="007F6CEA">
        <w:rPr>
          <w:szCs w:val="22"/>
        </w:rPr>
        <w:t>8773</w:t>
      </w:r>
    </w:p>
    <w:p w14:paraId="4E088AB7" w14:textId="77777777"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r>
      <w:hyperlink r:id="rId12" w:history="1">
        <w:r w:rsidR="00826AA1" w:rsidRPr="00826AA1">
          <w:rPr>
            <w:rStyle w:val="Hyperlink"/>
            <w:szCs w:val="22"/>
          </w:rPr>
          <w:t>acart.health.govt.nz</w:t>
        </w:r>
      </w:hyperlink>
    </w:p>
    <w:p w14:paraId="38BE610D" w14:textId="77777777" w:rsidR="00C86248" w:rsidRPr="004D655D" w:rsidRDefault="00762647" w:rsidP="001B4D16">
      <w:pPr>
        <w:spacing w:before="360"/>
        <w:jc w:val="center"/>
      </w:pPr>
      <w:r>
        <w:rPr>
          <w:rFonts w:cs="Arial Mäori"/>
          <w:noProof/>
          <w:lang w:eastAsia="en-NZ"/>
        </w:rPr>
        <w:drawing>
          <wp:inline distT="0" distB="0" distL="0" distR="0" wp14:anchorId="46DDFBF2" wp14:editId="4D176075">
            <wp:extent cx="1762125" cy="485775"/>
            <wp:effectExtent l="0" t="0" r="0" b="0"/>
            <wp:docPr id="16" name="Picture 1"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R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7A9E1001" w14:textId="77777777" w:rsidR="00C86248" w:rsidRPr="004D655D" w:rsidRDefault="00C86248" w:rsidP="00A66034">
      <w:pPr>
        <w:sectPr w:rsidR="00C86248" w:rsidRPr="004D655D" w:rsidSect="00110C6D">
          <w:pgSz w:w="11907" w:h="16834" w:code="9"/>
          <w:pgMar w:top="9923" w:right="851" w:bottom="1134" w:left="1701" w:header="0" w:footer="0" w:gutter="0"/>
          <w:cols w:space="720"/>
        </w:sectPr>
      </w:pPr>
    </w:p>
    <w:p w14:paraId="1CD8DFDD" w14:textId="77777777" w:rsidR="005F4B1B" w:rsidRPr="005F4B1B" w:rsidRDefault="0096438A" w:rsidP="005F4B1B">
      <w:pPr>
        <w:pStyle w:val="Heading1"/>
      </w:pPr>
      <w:bookmarkStart w:id="0" w:name="_Toc405792989"/>
      <w:bookmarkStart w:id="1" w:name="_Toc405793222"/>
      <w:bookmarkStart w:id="2" w:name="_Toc203291117"/>
      <w:bookmarkStart w:id="3" w:name="_Toc135719877"/>
      <w:r w:rsidRPr="00796AE8">
        <w:lastRenderedPageBreak/>
        <w:t>F</w:t>
      </w:r>
      <w:r w:rsidR="00451597" w:rsidRPr="00796AE8">
        <w:t>oreword</w:t>
      </w:r>
      <w:bookmarkEnd w:id="0"/>
      <w:bookmarkEnd w:id="1"/>
      <w:bookmarkEnd w:id="2"/>
      <w:bookmarkEnd w:id="3"/>
    </w:p>
    <w:p w14:paraId="110089B9" w14:textId="28EF7572" w:rsidR="00EB2BFD" w:rsidRDefault="00EB2BFD" w:rsidP="00EB2BFD">
      <w:r>
        <w:t>On behalf of the Advisory Committee on Assisted Reproductive Technology (ACART), I am pleased to present this annual report for 2020/21.</w:t>
      </w:r>
    </w:p>
    <w:p w14:paraId="057963E5" w14:textId="77777777" w:rsidR="00EB2BFD" w:rsidRDefault="00EB2BFD" w:rsidP="00EB2BFD"/>
    <w:p w14:paraId="5CB042EA" w14:textId="1CF9F4A0" w:rsidR="00EB2BFD" w:rsidRDefault="00EB2BFD" w:rsidP="00EB2BFD">
      <w:r>
        <w:t xml:space="preserve">ACART’s functions involve issuing guidelines and giving advice to the Ethics Committee on Assisted Reproductive Technology (ECART) on assisted reproductive procedures and human reproductive research, as well as providing advice to the Minister of Health on related aspects of assisted reproductive technology (ART). </w:t>
      </w:r>
    </w:p>
    <w:p w14:paraId="3C2A6CF3" w14:textId="77777777" w:rsidR="00EB2BFD" w:rsidRDefault="00EB2BFD" w:rsidP="00EB2BFD"/>
    <w:p w14:paraId="7103FA80" w14:textId="42A2836A" w:rsidR="00EB2BFD" w:rsidRDefault="00EB2BFD" w:rsidP="00EB2BFD">
      <w:r>
        <w:t>This year, ACART continued progress on revisions to the guidelines for donations and surrogacy and on the guidelines for posthumous reproduction. It also continued work to seek public feedback to (a) clarify the use of cryopreserved testicular tissue as an established procedure and (b) to amend the guidelines for extending the storage of gametes and embryos.</w:t>
      </w:r>
    </w:p>
    <w:p w14:paraId="6F984AE1" w14:textId="77777777" w:rsidR="00EB2BFD" w:rsidRDefault="00EB2BFD" w:rsidP="00EB2BFD"/>
    <w:p w14:paraId="40ADE521" w14:textId="77777777" w:rsidR="00EB2BFD" w:rsidRDefault="00EB2BFD" w:rsidP="00EB2BFD">
      <w:r>
        <w:t xml:space="preserve">One of ACART’s current guideline reviews is of the guidelines for posthumous reproduction. Following the stage one public consultation in 2018, ACART spent the 2020/21 financial year preparing the stage two consultation document including proposed draft guidelines. </w:t>
      </w:r>
    </w:p>
    <w:p w14:paraId="6A3BFABA" w14:textId="407D7D9E" w:rsidR="00EB2BFD" w:rsidRDefault="00EB2BFD" w:rsidP="00EB2BFD">
      <w:r>
        <w:t>ACART has also continued to progress the final stages of the review of the Donation and Surrogacy guidelines. ACART recommended the changes to the guidelines to the Minister of Health in September 2019.</w:t>
      </w:r>
    </w:p>
    <w:p w14:paraId="2948F52F" w14:textId="77777777" w:rsidR="00EB2BFD" w:rsidRDefault="00EB2BFD" w:rsidP="00EB2BFD"/>
    <w:p w14:paraId="1A0EA650" w14:textId="6EF2DD4B" w:rsidR="00EB2BFD" w:rsidRDefault="00EB2BFD" w:rsidP="00EB2BFD">
      <w:r>
        <w:t>ACART and ECART members continued to attend one another’s meetings and I thank the ECART members and Chair for the constructive working relationships they have with ACART.</w:t>
      </w:r>
    </w:p>
    <w:p w14:paraId="7620828D" w14:textId="77777777" w:rsidR="00EB2BFD" w:rsidRDefault="00EB2BFD" w:rsidP="00EB2BFD"/>
    <w:p w14:paraId="3F0EFE64" w14:textId="583D423F" w:rsidR="00EB2BFD" w:rsidRDefault="00EB2BFD" w:rsidP="00EB2BFD">
      <w:r>
        <w:t>ACART could not have progressed the projects without the expert and dedicated support of its Secretariat at the Ministry of Health. We appreciate the support of these staff as well as the administrative and other Ethics staff involved in assisting us to maintain the Committee.</w:t>
      </w:r>
    </w:p>
    <w:p w14:paraId="412361CC" w14:textId="77777777" w:rsidR="00EB2BFD" w:rsidRDefault="00EB2BFD" w:rsidP="00EB2BFD"/>
    <w:p w14:paraId="19A3682F" w14:textId="77AC8D19" w:rsidR="00E81585" w:rsidRDefault="00EB2BFD" w:rsidP="00EB2BFD">
      <w:r>
        <w:t>Finally, I am most grateful to ACART’s members who contribute significant expertise and time to enable this work to progress.</w:t>
      </w:r>
    </w:p>
    <w:p w14:paraId="2CE08D25" w14:textId="77777777" w:rsidR="007D1DC9" w:rsidRPr="00AE5BAB" w:rsidRDefault="007D1DC9" w:rsidP="00570306"/>
    <w:p w14:paraId="3D939584" w14:textId="77777777" w:rsidR="007D1DC9" w:rsidRDefault="00762647" w:rsidP="007D1DC9">
      <w:pPr>
        <w:rPr>
          <w:rFonts w:cs="Arial"/>
          <w:noProof/>
          <w:lang w:eastAsia="en-NZ"/>
        </w:rPr>
      </w:pPr>
      <w:r>
        <w:rPr>
          <w:noProof/>
          <w:lang w:eastAsia="en-NZ"/>
        </w:rPr>
        <w:drawing>
          <wp:inline distT="0" distB="0" distL="0" distR="0" wp14:anchorId="14DC57C6" wp14:editId="642016A7">
            <wp:extent cx="1381125" cy="533400"/>
            <wp:effectExtent l="0" t="0" r="0" b="0"/>
            <wp:docPr id="1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14:paraId="61DBB0F5" w14:textId="77777777" w:rsidR="00FF1207" w:rsidRPr="00B86546" w:rsidRDefault="00206E82" w:rsidP="00FF1207">
      <w:pPr>
        <w:rPr>
          <w:rFonts w:cs="Arial"/>
          <w:b/>
        </w:rPr>
      </w:pPr>
      <w:r>
        <w:rPr>
          <w:rFonts w:cs="Arial"/>
          <w:b/>
        </w:rPr>
        <w:t>Dr Kathleen Logan</w:t>
      </w:r>
    </w:p>
    <w:p w14:paraId="44209633" w14:textId="77777777" w:rsidR="00FF1207" w:rsidRDefault="00FF1207" w:rsidP="00FF1207">
      <w:r w:rsidRPr="00B86546">
        <w:rPr>
          <w:rFonts w:cs="Arial"/>
        </w:rPr>
        <w:t>Chair, Advisory Committee on Assisted Reproductive Technology</w:t>
      </w:r>
    </w:p>
    <w:p w14:paraId="312EEB49" w14:textId="77777777" w:rsidR="00C71E30" w:rsidRPr="0088119F" w:rsidRDefault="00C71E30" w:rsidP="00110C6D"/>
    <w:p w14:paraId="7005114E" w14:textId="77777777" w:rsidR="002F174D" w:rsidRDefault="002F174D" w:rsidP="00372576">
      <w:pPr>
        <w:sectPr w:rsidR="002F174D" w:rsidSect="009F48DD">
          <w:headerReference w:type="even" r:id="rId15"/>
          <w:headerReference w:type="default" r:id="rId16"/>
          <w:footerReference w:type="even" r:id="rId17"/>
          <w:footerReference w:type="default" r:id="rId18"/>
          <w:headerReference w:type="first" r:id="rId19"/>
          <w:pgSz w:w="11907" w:h="16840" w:code="9"/>
          <w:pgMar w:top="1701" w:right="1418" w:bottom="1701" w:left="1701" w:header="0" w:footer="425" w:gutter="0"/>
          <w:pgNumType w:fmt="lowerRoman"/>
          <w:cols w:space="720"/>
          <w:titlePg/>
        </w:sectPr>
      </w:pPr>
    </w:p>
    <w:p w14:paraId="0D75C99C" w14:textId="77777777" w:rsidR="00762F00" w:rsidRDefault="00C86248" w:rsidP="002F174D">
      <w:pPr>
        <w:pStyle w:val="IntroHead"/>
      </w:pPr>
      <w:bookmarkStart w:id="4" w:name="_Toc405792991"/>
      <w:bookmarkStart w:id="5" w:name="_Toc405793224"/>
      <w:r w:rsidRPr="00741713">
        <w:lastRenderedPageBreak/>
        <w:t>Contents</w:t>
      </w:r>
      <w:bookmarkEnd w:id="4"/>
      <w:bookmarkEnd w:id="5"/>
    </w:p>
    <w:p w14:paraId="75A886CB" w14:textId="78370833" w:rsidR="00187FAE" w:rsidRDefault="00362BD3">
      <w:pPr>
        <w:pStyle w:val="TOC1"/>
        <w:rPr>
          <w:rFonts w:asciiTheme="minorHAnsi" w:eastAsiaTheme="minorEastAsia" w:hAnsiTheme="minorHAnsi" w:cstheme="minorBidi"/>
          <w:b w:val="0"/>
          <w:noProof/>
          <w:szCs w:val="22"/>
          <w:lang w:val="en-AU" w:eastAsia="en-AU"/>
        </w:rPr>
      </w:pPr>
      <w:r>
        <w:fldChar w:fldCharType="begin"/>
      </w:r>
      <w:r>
        <w:instrText xml:space="preserve"> TOC \o "1-2" \h \z \u </w:instrText>
      </w:r>
      <w:r>
        <w:fldChar w:fldCharType="separate"/>
      </w:r>
      <w:hyperlink w:anchor="_Toc135719877" w:history="1">
        <w:r w:rsidR="00187FAE" w:rsidRPr="00FC5AE3">
          <w:rPr>
            <w:rStyle w:val="Hyperlink"/>
            <w:noProof/>
          </w:rPr>
          <w:t>Foreword</w:t>
        </w:r>
        <w:r w:rsidR="00187FAE">
          <w:rPr>
            <w:noProof/>
            <w:webHidden/>
          </w:rPr>
          <w:tab/>
        </w:r>
        <w:r w:rsidR="00187FAE">
          <w:rPr>
            <w:noProof/>
            <w:webHidden/>
          </w:rPr>
          <w:fldChar w:fldCharType="begin"/>
        </w:r>
        <w:r w:rsidR="00187FAE">
          <w:rPr>
            <w:noProof/>
            <w:webHidden/>
          </w:rPr>
          <w:instrText xml:space="preserve"> PAGEREF _Toc135719877 \h </w:instrText>
        </w:r>
        <w:r w:rsidR="00187FAE">
          <w:rPr>
            <w:noProof/>
            <w:webHidden/>
          </w:rPr>
        </w:r>
        <w:r w:rsidR="00187FAE">
          <w:rPr>
            <w:noProof/>
            <w:webHidden/>
          </w:rPr>
          <w:fldChar w:fldCharType="separate"/>
        </w:r>
        <w:r w:rsidR="000D13FA">
          <w:rPr>
            <w:noProof/>
            <w:webHidden/>
          </w:rPr>
          <w:t>iii</w:t>
        </w:r>
        <w:r w:rsidR="00187FAE">
          <w:rPr>
            <w:noProof/>
            <w:webHidden/>
          </w:rPr>
          <w:fldChar w:fldCharType="end"/>
        </w:r>
      </w:hyperlink>
    </w:p>
    <w:p w14:paraId="5D482363" w14:textId="787D83F7" w:rsidR="00187FAE" w:rsidRDefault="00FF09FC">
      <w:pPr>
        <w:pStyle w:val="TOC1"/>
        <w:rPr>
          <w:rFonts w:asciiTheme="minorHAnsi" w:eastAsiaTheme="minorEastAsia" w:hAnsiTheme="minorHAnsi" w:cstheme="minorBidi"/>
          <w:b w:val="0"/>
          <w:noProof/>
          <w:szCs w:val="22"/>
          <w:lang w:val="en-AU" w:eastAsia="en-AU"/>
        </w:rPr>
      </w:pPr>
      <w:hyperlink w:anchor="_Toc135719878" w:history="1">
        <w:r w:rsidR="00187FAE" w:rsidRPr="00FC5AE3">
          <w:rPr>
            <w:rStyle w:val="Hyperlink"/>
            <w:noProof/>
          </w:rPr>
          <w:t>Introduction</w:t>
        </w:r>
        <w:r w:rsidR="00187FAE">
          <w:rPr>
            <w:noProof/>
            <w:webHidden/>
          </w:rPr>
          <w:tab/>
        </w:r>
        <w:r w:rsidR="00187FAE">
          <w:rPr>
            <w:noProof/>
            <w:webHidden/>
          </w:rPr>
          <w:fldChar w:fldCharType="begin"/>
        </w:r>
        <w:r w:rsidR="00187FAE">
          <w:rPr>
            <w:noProof/>
            <w:webHidden/>
          </w:rPr>
          <w:instrText xml:space="preserve"> PAGEREF _Toc135719878 \h </w:instrText>
        </w:r>
        <w:r w:rsidR="00187FAE">
          <w:rPr>
            <w:noProof/>
            <w:webHidden/>
          </w:rPr>
        </w:r>
        <w:r w:rsidR="00187FAE">
          <w:rPr>
            <w:noProof/>
            <w:webHidden/>
          </w:rPr>
          <w:fldChar w:fldCharType="separate"/>
        </w:r>
        <w:r w:rsidR="000D13FA">
          <w:rPr>
            <w:noProof/>
            <w:webHidden/>
          </w:rPr>
          <w:t>1</w:t>
        </w:r>
        <w:r w:rsidR="00187FAE">
          <w:rPr>
            <w:noProof/>
            <w:webHidden/>
          </w:rPr>
          <w:fldChar w:fldCharType="end"/>
        </w:r>
      </w:hyperlink>
    </w:p>
    <w:p w14:paraId="338280BB" w14:textId="69D71728" w:rsidR="00187FAE" w:rsidRDefault="00FF09FC">
      <w:pPr>
        <w:pStyle w:val="TOC2"/>
        <w:rPr>
          <w:rFonts w:asciiTheme="minorHAnsi" w:eastAsiaTheme="minorEastAsia" w:hAnsiTheme="minorHAnsi" w:cstheme="minorBidi"/>
          <w:noProof/>
          <w:sz w:val="22"/>
          <w:szCs w:val="22"/>
          <w:lang w:val="en-AU" w:eastAsia="en-AU"/>
        </w:rPr>
      </w:pPr>
      <w:hyperlink w:anchor="_Toc135719879" w:history="1">
        <w:r w:rsidR="00187FAE" w:rsidRPr="00FC5AE3">
          <w:rPr>
            <w:rStyle w:val="Hyperlink"/>
            <w:noProof/>
          </w:rPr>
          <w:t>Purpose of this report</w:t>
        </w:r>
        <w:r w:rsidR="00187FAE">
          <w:rPr>
            <w:noProof/>
            <w:webHidden/>
          </w:rPr>
          <w:tab/>
        </w:r>
        <w:r w:rsidR="00187FAE">
          <w:rPr>
            <w:noProof/>
            <w:webHidden/>
          </w:rPr>
          <w:fldChar w:fldCharType="begin"/>
        </w:r>
        <w:r w:rsidR="00187FAE">
          <w:rPr>
            <w:noProof/>
            <w:webHidden/>
          </w:rPr>
          <w:instrText xml:space="preserve"> PAGEREF _Toc135719879 \h </w:instrText>
        </w:r>
        <w:r w:rsidR="00187FAE">
          <w:rPr>
            <w:noProof/>
            <w:webHidden/>
          </w:rPr>
        </w:r>
        <w:r w:rsidR="00187FAE">
          <w:rPr>
            <w:noProof/>
            <w:webHidden/>
          </w:rPr>
          <w:fldChar w:fldCharType="separate"/>
        </w:r>
        <w:r w:rsidR="000D13FA">
          <w:rPr>
            <w:noProof/>
            <w:webHidden/>
          </w:rPr>
          <w:t>1</w:t>
        </w:r>
        <w:r w:rsidR="00187FAE">
          <w:rPr>
            <w:noProof/>
            <w:webHidden/>
          </w:rPr>
          <w:fldChar w:fldCharType="end"/>
        </w:r>
      </w:hyperlink>
    </w:p>
    <w:p w14:paraId="309151C3" w14:textId="4DB4371B" w:rsidR="00187FAE" w:rsidRDefault="00FF09FC">
      <w:pPr>
        <w:pStyle w:val="TOC2"/>
        <w:rPr>
          <w:rFonts w:asciiTheme="minorHAnsi" w:eastAsiaTheme="minorEastAsia" w:hAnsiTheme="minorHAnsi" w:cstheme="minorBidi"/>
          <w:noProof/>
          <w:sz w:val="22"/>
          <w:szCs w:val="22"/>
          <w:lang w:val="en-AU" w:eastAsia="en-AU"/>
        </w:rPr>
      </w:pPr>
      <w:hyperlink w:anchor="_Toc135719880" w:history="1">
        <w:r w:rsidR="00187FAE" w:rsidRPr="00FC5AE3">
          <w:rPr>
            <w:rStyle w:val="Hyperlink"/>
            <w:noProof/>
          </w:rPr>
          <w:t>Background</w:t>
        </w:r>
        <w:r w:rsidR="00187FAE">
          <w:rPr>
            <w:noProof/>
            <w:webHidden/>
          </w:rPr>
          <w:tab/>
        </w:r>
        <w:r w:rsidR="00187FAE">
          <w:rPr>
            <w:noProof/>
            <w:webHidden/>
          </w:rPr>
          <w:fldChar w:fldCharType="begin"/>
        </w:r>
        <w:r w:rsidR="00187FAE">
          <w:rPr>
            <w:noProof/>
            <w:webHidden/>
          </w:rPr>
          <w:instrText xml:space="preserve"> PAGEREF _Toc135719880 \h </w:instrText>
        </w:r>
        <w:r w:rsidR="00187FAE">
          <w:rPr>
            <w:noProof/>
            <w:webHidden/>
          </w:rPr>
        </w:r>
        <w:r w:rsidR="00187FAE">
          <w:rPr>
            <w:noProof/>
            <w:webHidden/>
          </w:rPr>
          <w:fldChar w:fldCharType="separate"/>
        </w:r>
        <w:r w:rsidR="000D13FA">
          <w:rPr>
            <w:noProof/>
            <w:webHidden/>
          </w:rPr>
          <w:t>1</w:t>
        </w:r>
        <w:r w:rsidR="00187FAE">
          <w:rPr>
            <w:noProof/>
            <w:webHidden/>
          </w:rPr>
          <w:fldChar w:fldCharType="end"/>
        </w:r>
      </w:hyperlink>
    </w:p>
    <w:p w14:paraId="51FA78C9" w14:textId="0BC581F2" w:rsidR="00187FAE" w:rsidRDefault="00FF09FC">
      <w:pPr>
        <w:pStyle w:val="TOC2"/>
        <w:rPr>
          <w:rFonts w:asciiTheme="minorHAnsi" w:eastAsiaTheme="minorEastAsia" w:hAnsiTheme="minorHAnsi" w:cstheme="minorBidi"/>
          <w:noProof/>
          <w:sz w:val="22"/>
          <w:szCs w:val="22"/>
          <w:lang w:val="en-AU" w:eastAsia="en-AU"/>
        </w:rPr>
      </w:pPr>
      <w:hyperlink w:anchor="_Toc135719881" w:history="1">
        <w:r w:rsidR="00187FAE" w:rsidRPr="00FC5AE3">
          <w:rPr>
            <w:rStyle w:val="Hyperlink"/>
            <w:noProof/>
          </w:rPr>
          <w:t>ACART’s functions</w:t>
        </w:r>
        <w:r w:rsidR="00187FAE">
          <w:rPr>
            <w:noProof/>
            <w:webHidden/>
          </w:rPr>
          <w:tab/>
        </w:r>
        <w:r w:rsidR="00187FAE">
          <w:rPr>
            <w:noProof/>
            <w:webHidden/>
          </w:rPr>
          <w:fldChar w:fldCharType="begin"/>
        </w:r>
        <w:r w:rsidR="00187FAE">
          <w:rPr>
            <w:noProof/>
            <w:webHidden/>
          </w:rPr>
          <w:instrText xml:space="preserve"> PAGEREF _Toc135719881 \h </w:instrText>
        </w:r>
        <w:r w:rsidR="00187FAE">
          <w:rPr>
            <w:noProof/>
            <w:webHidden/>
          </w:rPr>
        </w:r>
        <w:r w:rsidR="00187FAE">
          <w:rPr>
            <w:noProof/>
            <w:webHidden/>
          </w:rPr>
          <w:fldChar w:fldCharType="separate"/>
        </w:r>
        <w:r w:rsidR="000D13FA">
          <w:rPr>
            <w:noProof/>
            <w:webHidden/>
          </w:rPr>
          <w:t>1</w:t>
        </w:r>
        <w:r w:rsidR="00187FAE">
          <w:rPr>
            <w:noProof/>
            <w:webHidden/>
          </w:rPr>
          <w:fldChar w:fldCharType="end"/>
        </w:r>
      </w:hyperlink>
    </w:p>
    <w:p w14:paraId="10F893C9" w14:textId="0BF627FD" w:rsidR="00187FAE" w:rsidRDefault="00FF09FC">
      <w:pPr>
        <w:pStyle w:val="TOC1"/>
        <w:rPr>
          <w:rFonts w:asciiTheme="minorHAnsi" w:eastAsiaTheme="minorEastAsia" w:hAnsiTheme="minorHAnsi" w:cstheme="minorBidi"/>
          <w:b w:val="0"/>
          <w:noProof/>
          <w:szCs w:val="22"/>
          <w:lang w:val="en-AU" w:eastAsia="en-AU"/>
        </w:rPr>
      </w:pPr>
      <w:hyperlink w:anchor="_Toc135719882" w:history="1">
        <w:r w:rsidR="00187FAE" w:rsidRPr="00FC5AE3">
          <w:rPr>
            <w:rStyle w:val="Hyperlink"/>
            <w:noProof/>
          </w:rPr>
          <w:t>ACART’s work during 2020/21</w:t>
        </w:r>
        <w:r w:rsidR="00187FAE">
          <w:rPr>
            <w:noProof/>
            <w:webHidden/>
          </w:rPr>
          <w:tab/>
        </w:r>
        <w:r w:rsidR="00187FAE">
          <w:rPr>
            <w:noProof/>
            <w:webHidden/>
          </w:rPr>
          <w:fldChar w:fldCharType="begin"/>
        </w:r>
        <w:r w:rsidR="00187FAE">
          <w:rPr>
            <w:noProof/>
            <w:webHidden/>
          </w:rPr>
          <w:instrText xml:space="preserve"> PAGEREF _Toc135719882 \h </w:instrText>
        </w:r>
        <w:r w:rsidR="00187FAE">
          <w:rPr>
            <w:noProof/>
            <w:webHidden/>
          </w:rPr>
        </w:r>
        <w:r w:rsidR="00187FAE">
          <w:rPr>
            <w:noProof/>
            <w:webHidden/>
          </w:rPr>
          <w:fldChar w:fldCharType="separate"/>
        </w:r>
        <w:r w:rsidR="000D13FA">
          <w:rPr>
            <w:noProof/>
            <w:webHidden/>
          </w:rPr>
          <w:t>3</w:t>
        </w:r>
        <w:r w:rsidR="00187FAE">
          <w:rPr>
            <w:noProof/>
            <w:webHidden/>
          </w:rPr>
          <w:fldChar w:fldCharType="end"/>
        </w:r>
      </w:hyperlink>
    </w:p>
    <w:p w14:paraId="2B4A348D" w14:textId="394C3F15" w:rsidR="00187FAE" w:rsidRDefault="00FF09FC">
      <w:pPr>
        <w:pStyle w:val="TOC2"/>
        <w:rPr>
          <w:rFonts w:asciiTheme="minorHAnsi" w:eastAsiaTheme="minorEastAsia" w:hAnsiTheme="minorHAnsi" w:cstheme="minorBidi"/>
          <w:noProof/>
          <w:sz w:val="22"/>
          <w:szCs w:val="22"/>
          <w:lang w:val="en-AU" w:eastAsia="en-AU"/>
        </w:rPr>
      </w:pPr>
      <w:hyperlink w:anchor="_Toc135719883" w:history="1">
        <w:r w:rsidR="00187FAE" w:rsidRPr="00FC5AE3">
          <w:rPr>
            <w:rStyle w:val="Hyperlink"/>
            <w:noProof/>
          </w:rPr>
          <w:t>ACART meetings</w:t>
        </w:r>
        <w:r w:rsidR="00187FAE">
          <w:rPr>
            <w:noProof/>
            <w:webHidden/>
          </w:rPr>
          <w:tab/>
        </w:r>
        <w:r w:rsidR="00187FAE">
          <w:rPr>
            <w:noProof/>
            <w:webHidden/>
          </w:rPr>
          <w:fldChar w:fldCharType="begin"/>
        </w:r>
        <w:r w:rsidR="00187FAE">
          <w:rPr>
            <w:noProof/>
            <w:webHidden/>
          </w:rPr>
          <w:instrText xml:space="preserve"> PAGEREF _Toc135719883 \h </w:instrText>
        </w:r>
        <w:r w:rsidR="00187FAE">
          <w:rPr>
            <w:noProof/>
            <w:webHidden/>
          </w:rPr>
        </w:r>
        <w:r w:rsidR="00187FAE">
          <w:rPr>
            <w:noProof/>
            <w:webHidden/>
          </w:rPr>
          <w:fldChar w:fldCharType="separate"/>
        </w:r>
        <w:r w:rsidR="000D13FA">
          <w:rPr>
            <w:noProof/>
            <w:webHidden/>
          </w:rPr>
          <w:t>3</w:t>
        </w:r>
        <w:r w:rsidR="00187FAE">
          <w:rPr>
            <w:noProof/>
            <w:webHidden/>
          </w:rPr>
          <w:fldChar w:fldCharType="end"/>
        </w:r>
      </w:hyperlink>
    </w:p>
    <w:p w14:paraId="58CED758" w14:textId="198D573B" w:rsidR="00187FAE" w:rsidRDefault="00FF09FC">
      <w:pPr>
        <w:pStyle w:val="TOC2"/>
        <w:rPr>
          <w:rFonts w:asciiTheme="minorHAnsi" w:eastAsiaTheme="minorEastAsia" w:hAnsiTheme="minorHAnsi" w:cstheme="minorBidi"/>
          <w:noProof/>
          <w:sz w:val="22"/>
          <w:szCs w:val="22"/>
          <w:lang w:val="en-AU" w:eastAsia="en-AU"/>
        </w:rPr>
      </w:pPr>
      <w:hyperlink w:anchor="_Toc135719884" w:history="1">
        <w:r w:rsidR="00187FAE" w:rsidRPr="00FC5AE3">
          <w:rPr>
            <w:rStyle w:val="Hyperlink"/>
            <w:noProof/>
          </w:rPr>
          <w:t>Advice projects in 2019/20</w:t>
        </w:r>
        <w:r w:rsidR="00187FAE">
          <w:rPr>
            <w:noProof/>
            <w:webHidden/>
          </w:rPr>
          <w:tab/>
        </w:r>
        <w:r w:rsidR="00187FAE">
          <w:rPr>
            <w:noProof/>
            <w:webHidden/>
          </w:rPr>
          <w:fldChar w:fldCharType="begin"/>
        </w:r>
        <w:r w:rsidR="00187FAE">
          <w:rPr>
            <w:noProof/>
            <w:webHidden/>
          </w:rPr>
          <w:instrText xml:space="preserve"> PAGEREF _Toc135719884 \h </w:instrText>
        </w:r>
        <w:r w:rsidR="00187FAE">
          <w:rPr>
            <w:noProof/>
            <w:webHidden/>
          </w:rPr>
        </w:r>
        <w:r w:rsidR="00187FAE">
          <w:rPr>
            <w:noProof/>
            <w:webHidden/>
          </w:rPr>
          <w:fldChar w:fldCharType="separate"/>
        </w:r>
        <w:r w:rsidR="000D13FA">
          <w:rPr>
            <w:noProof/>
            <w:webHidden/>
          </w:rPr>
          <w:t>3</w:t>
        </w:r>
        <w:r w:rsidR="00187FAE">
          <w:rPr>
            <w:noProof/>
            <w:webHidden/>
          </w:rPr>
          <w:fldChar w:fldCharType="end"/>
        </w:r>
      </w:hyperlink>
    </w:p>
    <w:p w14:paraId="122827CF" w14:textId="7A8A4115" w:rsidR="00187FAE" w:rsidRDefault="00FF09FC">
      <w:pPr>
        <w:pStyle w:val="TOC2"/>
        <w:rPr>
          <w:rFonts w:asciiTheme="minorHAnsi" w:eastAsiaTheme="minorEastAsia" w:hAnsiTheme="minorHAnsi" w:cstheme="minorBidi"/>
          <w:noProof/>
          <w:sz w:val="22"/>
          <w:szCs w:val="22"/>
          <w:lang w:val="en-AU" w:eastAsia="en-AU"/>
        </w:rPr>
      </w:pPr>
      <w:hyperlink w:anchor="_Toc135719885" w:history="1">
        <w:r w:rsidR="00187FAE" w:rsidRPr="00FC5AE3">
          <w:rPr>
            <w:rStyle w:val="Hyperlink"/>
            <w:noProof/>
          </w:rPr>
          <w:t>ACART’s monitoring functions</w:t>
        </w:r>
        <w:r w:rsidR="00187FAE">
          <w:rPr>
            <w:noProof/>
            <w:webHidden/>
          </w:rPr>
          <w:tab/>
        </w:r>
        <w:r w:rsidR="00187FAE">
          <w:rPr>
            <w:noProof/>
            <w:webHidden/>
          </w:rPr>
          <w:fldChar w:fldCharType="begin"/>
        </w:r>
        <w:r w:rsidR="00187FAE">
          <w:rPr>
            <w:noProof/>
            <w:webHidden/>
          </w:rPr>
          <w:instrText xml:space="preserve"> PAGEREF _Toc135719885 \h </w:instrText>
        </w:r>
        <w:r w:rsidR="00187FAE">
          <w:rPr>
            <w:noProof/>
            <w:webHidden/>
          </w:rPr>
        </w:r>
        <w:r w:rsidR="00187FAE">
          <w:rPr>
            <w:noProof/>
            <w:webHidden/>
          </w:rPr>
          <w:fldChar w:fldCharType="separate"/>
        </w:r>
        <w:r w:rsidR="000D13FA">
          <w:rPr>
            <w:noProof/>
            <w:webHidden/>
          </w:rPr>
          <w:t>5</w:t>
        </w:r>
        <w:r w:rsidR="00187FAE">
          <w:rPr>
            <w:noProof/>
            <w:webHidden/>
          </w:rPr>
          <w:fldChar w:fldCharType="end"/>
        </w:r>
      </w:hyperlink>
    </w:p>
    <w:p w14:paraId="298BE5B3" w14:textId="1E822693" w:rsidR="00187FAE" w:rsidRDefault="00FF09FC">
      <w:pPr>
        <w:pStyle w:val="TOC2"/>
        <w:rPr>
          <w:rFonts w:asciiTheme="minorHAnsi" w:eastAsiaTheme="minorEastAsia" w:hAnsiTheme="minorHAnsi" w:cstheme="minorBidi"/>
          <w:noProof/>
          <w:sz w:val="22"/>
          <w:szCs w:val="22"/>
          <w:lang w:val="en-AU" w:eastAsia="en-AU"/>
        </w:rPr>
      </w:pPr>
      <w:hyperlink w:anchor="_Toc135719886" w:history="1">
        <w:r w:rsidR="00187FAE" w:rsidRPr="00FC5AE3">
          <w:rPr>
            <w:rStyle w:val="Hyperlink"/>
            <w:noProof/>
            <w:lang w:eastAsia="en-US"/>
          </w:rPr>
          <w:t xml:space="preserve">Other issues considered by ACART during </w:t>
        </w:r>
        <w:r w:rsidR="00187FAE" w:rsidRPr="00FC5AE3">
          <w:rPr>
            <w:rStyle w:val="Hyperlink"/>
            <w:noProof/>
          </w:rPr>
          <w:t>2020/21</w:t>
        </w:r>
        <w:r w:rsidR="00187FAE">
          <w:rPr>
            <w:noProof/>
            <w:webHidden/>
          </w:rPr>
          <w:tab/>
        </w:r>
        <w:r w:rsidR="00187FAE">
          <w:rPr>
            <w:noProof/>
            <w:webHidden/>
          </w:rPr>
          <w:fldChar w:fldCharType="begin"/>
        </w:r>
        <w:r w:rsidR="00187FAE">
          <w:rPr>
            <w:noProof/>
            <w:webHidden/>
          </w:rPr>
          <w:instrText xml:space="preserve"> PAGEREF _Toc135719886 \h </w:instrText>
        </w:r>
        <w:r w:rsidR="00187FAE">
          <w:rPr>
            <w:noProof/>
            <w:webHidden/>
          </w:rPr>
        </w:r>
        <w:r w:rsidR="00187FAE">
          <w:rPr>
            <w:noProof/>
            <w:webHidden/>
          </w:rPr>
          <w:fldChar w:fldCharType="separate"/>
        </w:r>
        <w:r w:rsidR="000D13FA">
          <w:rPr>
            <w:noProof/>
            <w:webHidden/>
          </w:rPr>
          <w:t>6</w:t>
        </w:r>
        <w:r w:rsidR="00187FAE">
          <w:rPr>
            <w:noProof/>
            <w:webHidden/>
          </w:rPr>
          <w:fldChar w:fldCharType="end"/>
        </w:r>
      </w:hyperlink>
    </w:p>
    <w:p w14:paraId="76F7D206" w14:textId="050FF59C" w:rsidR="00187FAE" w:rsidRDefault="00FF09FC">
      <w:pPr>
        <w:pStyle w:val="TOC2"/>
        <w:rPr>
          <w:rFonts w:asciiTheme="minorHAnsi" w:eastAsiaTheme="minorEastAsia" w:hAnsiTheme="minorHAnsi" w:cstheme="minorBidi"/>
          <w:noProof/>
          <w:sz w:val="22"/>
          <w:szCs w:val="22"/>
          <w:lang w:val="en-AU" w:eastAsia="en-AU"/>
        </w:rPr>
      </w:pPr>
      <w:hyperlink w:anchor="_Toc135719887" w:history="1">
        <w:r w:rsidR="00187FAE" w:rsidRPr="00FC5AE3">
          <w:rPr>
            <w:rStyle w:val="Hyperlink"/>
            <w:noProof/>
          </w:rPr>
          <w:t>Publications</w:t>
        </w:r>
        <w:r w:rsidR="00187FAE">
          <w:rPr>
            <w:noProof/>
            <w:webHidden/>
          </w:rPr>
          <w:tab/>
        </w:r>
        <w:r w:rsidR="00187FAE">
          <w:rPr>
            <w:noProof/>
            <w:webHidden/>
          </w:rPr>
          <w:fldChar w:fldCharType="begin"/>
        </w:r>
        <w:r w:rsidR="00187FAE">
          <w:rPr>
            <w:noProof/>
            <w:webHidden/>
          </w:rPr>
          <w:instrText xml:space="preserve"> PAGEREF _Toc135719887 \h </w:instrText>
        </w:r>
        <w:r w:rsidR="00187FAE">
          <w:rPr>
            <w:noProof/>
            <w:webHidden/>
          </w:rPr>
        </w:r>
        <w:r w:rsidR="00187FAE">
          <w:rPr>
            <w:noProof/>
            <w:webHidden/>
          </w:rPr>
          <w:fldChar w:fldCharType="separate"/>
        </w:r>
        <w:r w:rsidR="000D13FA">
          <w:rPr>
            <w:noProof/>
            <w:webHidden/>
          </w:rPr>
          <w:t>6</w:t>
        </w:r>
        <w:r w:rsidR="00187FAE">
          <w:rPr>
            <w:noProof/>
            <w:webHidden/>
          </w:rPr>
          <w:fldChar w:fldCharType="end"/>
        </w:r>
      </w:hyperlink>
    </w:p>
    <w:p w14:paraId="1C4133C2" w14:textId="5DF02295" w:rsidR="00187FAE" w:rsidRDefault="00FF09FC">
      <w:pPr>
        <w:pStyle w:val="TOC1"/>
        <w:rPr>
          <w:rFonts w:asciiTheme="minorHAnsi" w:eastAsiaTheme="minorEastAsia" w:hAnsiTheme="minorHAnsi" w:cstheme="minorBidi"/>
          <w:b w:val="0"/>
          <w:noProof/>
          <w:szCs w:val="22"/>
          <w:lang w:val="en-AU" w:eastAsia="en-AU"/>
        </w:rPr>
      </w:pPr>
      <w:hyperlink w:anchor="_Toc135719888" w:history="1">
        <w:r w:rsidR="00187FAE" w:rsidRPr="00FC5AE3">
          <w:rPr>
            <w:rStyle w:val="Hyperlink"/>
            <w:noProof/>
          </w:rPr>
          <w:t>ECART decisions 2020/21</w:t>
        </w:r>
        <w:r w:rsidR="00187FAE">
          <w:rPr>
            <w:noProof/>
            <w:webHidden/>
          </w:rPr>
          <w:tab/>
        </w:r>
        <w:r w:rsidR="00187FAE">
          <w:rPr>
            <w:noProof/>
            <w:webHidden/>
          </w:rPr>
          <w:fldChar w:fldCharType="begin"/>
        </w:r>
        <w:r w:rsidR="00187FAE">
          <w:rPr>
            <w:noProof/>
            <w:webHidden/>
          </w:rPr>
          <w:instrText xml:space="preserve"> PAGEREF _Toc135719888 \h </w:instrText>
        </w:r>
        <w:r w:rsidR="00187FAE">
          <w:rPr>
            <w:noProof/>
            <w:webHidden/>
          </w:rPr>
        </w:r>
        <w:r w:rsidR="00187FAE">
          <w:rPr>
            <w:noProof/>
            <w:webHidden/>
          </w:rPr>
          <w:fldChar w:fldCharType="separate"/>
        </w:r>
        <w:r w:rsidR="000D13FA">
          <w:rPr>
            <w:noProof/>
            <w:webHidden/>
          </w:rPr>
          <w:t>8</w:t>
        </w:r>
        <w:r w:rsidR="00187FAE">
          <w:rPr>
            <w:noProof/>
            <w:webHidden/>
          </w:rPr>
          <w:fldChar w:fldCharType="end"/>
        </w:r>
      </w:hyperlink>
    </w:p>
    <w:p w14:paraId="0C6B4B75" w14:textId="19CD3570" w:rsidR="00187FAE" w:rsidRDefault="00FF09FC">
      <w:pPr>
        <w:pStyle w:val="TOC1"/>
        <w:rPr>
          <w:rFonts w:asciiTheme="minorHAnsi" w:eastAsiaTheme="minorEastAsia" w:hAnsiTheme="minorHAnsi" w:cstheme="minorBidi"/>
          <w:b w:val="0"/>
          <w:noProof/>
          <w:szCs w:val="22"/>
          <w:lang w:val="en-AU" w:eastAsia="en-AU"/>
        </w:rPr>
      </w:pPr>
      <w:hyperlink w:anchor="_Toc135719889" w:history="1">
        <w:r w:rsidR="00187FAE" w:rsidRPr="00FC5AE3">
          <w:rPr>
            <w:rStyle w:val="Hyperlink"/>
            <w:rFonts w:eastAsia="Calibri"/>
            <w:noProof/>
            <w:lang w:eastAsia="en-US"/>
          </w:rPr>
          <w:t>Governance</w:t>
        </w:r>
        <w:r w:rsidR="00187FAE">
          <w:rPr>
            <w:noProof/>
            <w:webHidden/>
          </w:rPr>
          <w:tab/>
        </w:r>
        <w:r w:rsidR="00187FAE">
          <w:rPr>
            <w:noProof/>
            <w:webHidden/>
          </w:rPr>
          <w:fldChar w:fldCharType="begin"/>
        </w:r>
        <w:r w:rsidR="00187FAE">
          <w:rPr>
            <w:noProof/>
            <w:webHidden/>
          </w:rPr>
          <w:instrText xml:space="preserve"> PAGEREF _Toc135719889 \h </w:instrText>
        </w:r>
        <w:r w:rsidR="00187FAE">
          <w:rPr>
            <w:noProof/>
            <w:webHidden/>
          </w:rPr>
        </w:r>
        <w:r w:rsidR="00187FAE">
          <w:rPr>
            <w:noProof/>
            <w:webHidden/>
          </w:rPr>
          <w:fldChar w:fldCharType="separate"/>
        </w:r>
        <w:r w:rsidR="000D13FA">
          <w:rPr>
            <w:noProof/>
            <w:webHidden/>
          </w:rPr>
          <w:t>9</w:t>
        </w:r>
        <w:r w:rsidR="00187FAE">
          <w:rPr>
            <w:noProof/>
            <w:webHidden/>
          </w:rPr>
          <w:fldChar w:fldCharType="end"/>
        </w:r>
      </w:hyperlink>
    </w:p>
    <w:p w14:paraId="0B3A80E7" w14:textId="25DA9E9E" w:rsidR="00187FAE" w:rsidRDefault="00FF09FC">
      <w:pPr>
        <w:pStyle w:val="TOC2"/>
        <w:rPr>
          <w:rFonts w:asciiTheme="minorHAnsi" w:eastAsiaTheme="minorEastAsia" w:hAnsiTheme="minorHAnsi" w:cstheme="minorBidi"/>
          <w:noProof/>
          <w:sz w:val="22"/>
          <w:szCs w:val="22"/>
          <w:lang w:val="en-AU" w:eastAsia="en-AU"/>
        </w:rPr>
      </w:pPr>
      <w:hyperlink w:anchor="_Toc135719890" w:history="1">
        <w:r w:rsidR="00187FAE" w:rsidRPr="00FC5AE3">
          <w:rPr>
            <w:rStyle w:val="Hyperlink"/>
            <w:rFonts w:eastAsia="Calibri"/>
            <w:noProof/>
            <w:lang w:eastAsia="en-US"/>
          </w:rPr>
          <w:t>Chair and Deputy Chair</w:t>
        </w:r>
        <w:r w:rsidR="00187FAE">
          <w:rPr>
            <w:noProof/>
            <w:webHidden/>
          </w:rPr>
          <w:tab/>
        </w:r>
        <w:r w:rsidR="00187FAE">
          <w:rPr>
            <w:noProof/>
            <w:webHidden/>
          </w:rPr>
          <w:fldChar w:fldCharType="begin"/>
        </w:r>
        <w:r w:rsidR="00187FAE">
          <w:rPr>
            <w:noProof/>
            <w:webHidden/>
          </w:rPr>
          <w:instrText xml:space="preserve"> PAGEREF _Toc135719890 \h </w:instrText>
        </w:r>
        <w:r w:rsidR="00187FAE">
          <w:rPr>
            <w:noProof/>
            <w:webHidden/>
          </w:rPr>
        </w:r>
        <w:r w:rsidR="00187FAE">
          <w:rPr>
            <w:noProof/>
            <w:webHidden/>
          </w:rPr>
          <w:fldChar w:fldCharType="separate"/>
        </w:r>
        <w:r w:rsidR="000D13FA">
          <w:rPr>
            <w:noProof/>
            <w:webHidden/>
          </w:rPr>
          <w:t>9</w:t>
        </w:r>
        <w:r w:rsidR="00187FAE">
          <w:rPr>
            <w:noProof/>
            <w:webHidden/>
          </w:rPr>
          <w:fldChar w:fldCharType="end"/>
        </w:r>
      </w:hyperlink>
    </w:p>
    <w:p w14:paraId="5E6FD6A3" w14:textId="60DFBACD" w:rsidR="00187FAE" w:rsidRDefault="00FF09FC">
      <w:pPr>
        <w:pStyle w:val="TOC2"/>
        <w:rPr>
          <w:rFonts w:asciiTheme="minorHAnsi" w:eastAsiaTheme="minorEastAsia" w:hAnsiTheme="minorHAnsi" w:cstheme="minorBidi"/>
          <w:noProof/>
          <w:sz w:val="22"/>
          <w:szCs w:val="22"/>
          <w:lang w:val="en-AU" w:eastAsia="en-AU"/>
        </w:rPr>
      </w:pPr>
      <w:hyperlink w:anchor="_Toc135719891" w:history="1">
        <w:r w:rsidR="00187FAE" w:rsidRPr="00FC5AE3">
          <w:rPr>
            <w:rStyle w:val="Hyperlink"/>
            <w:rFonts w:eastAsia="Calibri"/>
            <w:noProof/>
            <w:lang w:eastAsia="en-US"/>
          </w:rPr>
          <w:t>Contact with the Minister of Health</w:t>
        </w:r>
        <w:r w:rsidR="00187FAE">
          <w:rPr>
            <w:noProof/>
            <w:webHidden/>
          </w:rPr>
          <w:tab/>
        </w:r>
        <w:r w:rsidR="00187FAE">
          <w:rPr>
            <w:noProof/>
            <w:webHidden/>
          </w:rPr>
          <w:fldChar w:fldCharType="begin"/>
        </w:r>
        <w:r w:rsidR="00187FAE">
          <w:rPr>
            <w:noProof/>
            <w:webHidden/>
          </w:rPr>
          <w:instrText xml:space="preserve"> PAGEREF _Toc135719891 \h </w:instrText>
        </w:r>
        <w:r w:rsidR="00187FAE">
          <w:rPr>
            <w:noProof/>
            <w:webHidden/>
          </w:rPr>
        </w:r>
        <w:r w:rsidR="00187FAE">
          <w:rPr>
            <w:noProof/>
            <w:webHidden/>
          </w:rPr>
          <w:fldChar w:fldCharType="separate"/>
        </w:r>
        <w:r w:rsidR="000D13FA">
          <w:rPr>
            <w:noProof/>
            <w:webHidden/>
          </w:rPr>
          <w:t>9</w:t>
        </w:r>
        <w:r w:rsidR="00187FAE">
          <w:rPr>
            <w:noProof/>
            <w:webHidden/>
          </w:rPr>
          <w:fldChar w:fldCharType="end"/>
        </w:r>
      </w:hyperlink>
    </w:p>
    <w:p w14:paraId="038A1850" w14:textId="768500D9" w:rsidR="00187FAE" w:rsidRDefault="00FF09FC">
      <w:pPr>
        <w:pStyle w:val="TOC1"/>
        <w:rPr>
          <w:rFonts w:asciiTheme="minorHAnsi" w:eastAsiaTheme="minorEastAsia" w:hAnsiTheme="minorHAnsi" w:cstheme="minorBidi"/>
          <w:b w:val="0"/>
          <w:noProof/>
          <w:szCs w:val="22"/>
          <w:lang w:val="en-AU" w:eastAsia="en-AU"/>
        </w:rPr>
      </w:pPr>
      <w:hyperlink w:anchor="_Toc135719892" w:history="1">
        <w:r w:rsidR="00187FAE" w:rsidRPr="00FC5AE3">
          <w:rPr>
            <w:rStyle w:val="Hyperlink"/>
            <w:noProof/>
          </w:rPr>
          <w:t>Appendix 1: ACART membership</w:t>
        </w:r>
        <w:r w:rsidR="00187FAE">
          <w:rPr>
            <w:noProof/>
            <w:webHidden/>
          </w:rPr>
          <w:tab/>
        </w:r>
        <w:r w:rsidR="00187FAE">
          <w:rPr>
            <w:noProof/>
            <w:webHidden/>
          </w:rPr>
          <w:fldChar w:fldCharType="begin"/>
        </w:r>
        <w:r w:rsidR="00187FAE">
          <w:rPr>
            <w:noProof/>
            <w:webHidden/>
          </w:rPr>
          <w:instrText xml:space="preserve"> PAGEREF _Toc135719892 \h </w:instrText>
        </w:r>
        <w:r w:rsidR="00187FAE">
          <w:rPr>
            <w:noProof/>
            <w:webHidden/>
          </w:rPr>
        </w:r>
        <w:r w:rsidR="00187FAE">
          <w:rPr>
            <w:noProof/>
            <w:webHidden/>
          </w:rPr>
          <w:fldChar w:fldCharType="separate"/>
        </w:r>
        <w:r w:rsidR="000D13FA">
          <w:rPr>
            <w:noProof/>
            <w:webHidden/>
          </w:rPr>
          <w:t>10</w:t>
        </w:r>
        <w:r w:rsidR="00187FAE">
          <w:rPr>
            <w:noProof/>
            <w:webHidden/>
          </w:rPr>
          <w:fldChar w:fldCharType="end"/>
        </w:r>
      </w:hyperlink>
    </w:p>
    <w:p w14:paraId="63D37A85" w14:textId="7ADC9D4A" w:rsidR="00187FAE" w:rsidRDefault="00FF09FC">
      <w:pPr>
        <w:pStyle w:val="TOC2"/>
        <w:rPr>
          <w:rFonts w:asciiTheme="minorHAnsi" w:eastAsiaTheme="minorEastAsia" w:hAnsiTheme="minorHAnsi" w:cstheme="minorBidi"/>
          <w:noProof/>
          <w:sz w:val="22"/>
          <w:szCs w:val="22"/>
          <w:lang w:val="en-AU" w:eastAsia="en-AU"/>
        </w:rPr>
      </w:pPr>
      <w:hyperlink w:anchor="_Toc135719893" w:history="1">
        <w:r w:rsidR="00187FAE" w:rsidRPr="00FC5AE3">
          <w:rPr>
            <w:rStyle w:val="Hyperlink"/>
            <w:noProof/>
          </w:rPr>
          <w:t>ACART members in the period</w:t>
        </w:r>
        <w:r w:rsidR="00187FAE">
          <w:rPr>
            <w:noProof/>
            <w:webHidden/>
          </w:rPr>
          <w:tab/>
        </w:r>
        <w:r w:rsidR="00187FAE">
          <w:rPr>
            <w:noProof/>
            <w:webHidden/>
          </w:rPr>
          <w:fldChar w:fldCharType="begin"/>
        </w:r>
        <w:r w:rsidR="00187FAE">
          <w:rPr>
            <w:noProof/>
            <w:webHidden/>
          </w:rPr>
          <w:instrText xml:space="preserve"> PAGEREF _Toc135719893 \h </w:instrText>
        </w:r>
        <w:r w:rsidR="00187FAE">
          <w:rPr>
            <w:noProof/>
            <w:webHidden/>
          </w:rPr>
        </w:r>
        <w:r w:rsidR="00187FAE">
          <w:rPr>
            <w:noProof/>
            <w:webHidden/>
          </w:rPr>
          <w:fldChar w:fldCharType="separate"/>
        </w:r>
        <w:r w:rsidR="000D13FA">
          <w:rPr>
            <w:noProof/>
            <w:webHidden/>
          </w:rPr>
          <w:t>10</w:t>
        </w:r>
        <w:r w:rsidR="00187FAE">
          <w:rPr>
            <w:noProof/>
            <w:webHidden/>
          </w:rPr>
          <w:fldChar w:fldCharType="end"/>
        </w:r>
      </w:hyperlink>
    </w:p>
    <w:p w14:paraId="431028C4" w14:textId="7C97C8FC" w:rsidR="00187FAE" w:rsidRDefault="00FF09FC">
      <w:pPr>
        <w:pStyle w:val="TOC2"/>
        <w:rPr>
          <w:rFonts w:asciiTheme="minorHAnsi" w:eastAsiaTheme="minorEastAsia" w:hAnsiTheme="minorHAnsi" w:cstheme="minorBidi"/>
          <w:noProof/>
          <w:sz w:val="22"/>
          <w:szCs w:val="22"/>
          <w:lang w:val="en-AU" w:eastAsia="en-AU"/>
        </w:rPr>
      </w:pPr>
      <w:hyperlink w:anchor="_Toc135719894" w:history="1">
        <w:r w:rsidR="00187FAE" w:rsidRPr="00FC5AE3">
          <w:rPr>
            <w:rStyle w:val="Hyperlink"/>
            <w:noProof/>
          </w:rPr>
          <w:t>Secretariat staff members</w:t>
        </w:r>
        <w:r w:rsidR="00187FAE">
          <w:rPr>
            <w:noProof/>
            <w:webHidden/>
          </w:rPr>
          <w:tab/>
        </w:r>
        <w:r w:rsidR="00187FAE">
          <w:rPr>
            <w:noProof/>
            <w:webHidden/>
          </w:rPr>
          <w:fldChar w:fldCharType="begin"/>
        </w:r>
        <w:r w:rsidR="00187FAE">
          <w:rPr>
            <w:noProof/>
            <w:webHidden/>
          </w:rPr>
          <w:instrText xml:space="preserve"> PAGEREF _Toc135719894 \h </w:instrText>
        </w:r>
        <w:r w:rsidR="00187FAE">
          <w:rPr>
            <w:noProof/>
            <w:webHidden/>
          </w:rPr>
        </w:r>
        <w:r w:rsidR="00187FAE">
          <w:rPr>
            <w:noProof/>
            <w:webHidden/>
          </w:rPr>
          <w:fldChar w:fldCharType="separate"/>
        </w:r>
        <w:r w:rsidR="000D13FA">
          <w:rPr>
            <w:noProof/>
            <w:webHidden/>
          </w:rPr>
          <w:t>10</w:t>
        </w:r>
        <w:r w:rsidR="00187FAE">
          <w:rPr>
            <w:noProof/>
            <w:webHidden/>
          </w:rPr>
          <w:fldChar w:fldCharType="end"/>
        </w:r>
      </w:hyperlink>
    </w:p>
    <w:p w14:paraId="5DF8C8FC" w14:textId="1F3DF80D" w:rsidR="00187FAE" w:rsidRDefault="00FF09FC">
      <w:pPr>
        <w:pStyle w:val="TOC2"/>
        <w:rPr>
          <w:rFonts w:asciiTheme="minorHAnsi" w:eastAsiaTheme="minorEastAsia" w:hAnsiTheme="minorHAnsi" w:cstheme="minorBidi"/>
          <w:noProof/>
          <w:sz w:val="22"/>
          <w:szCs w:val="22"/>
          <w:lang w:val="en-AU" w:eastAsia="en-AU"/>
        </w:rPr>
      </w:pPr>
      <w:hyperlink w:anchor="_Toc135719895" w:history="1">
        <w:r w:rsidR="00187FAE" w:rsidRPr="00FC5AE3">
          <w:rPr>
            <w:rStyle w:val="Hyperlink"/>
            <w:noProof/>
          </w:rPr>
          <w:t>Biographies of ACART members</w:t>
        </w:r>
        <w:r w:rsidR="00187FAE">
          <w:rPr>
            <w:noProof/>
            <w:webHidden/>
          </w:rPr>
          <w:tab/>
        </w:r>
        <w:r w:rsidR="00187FAE">
          <w:rPr>
            <w:noProof/>
            <w:webHidden/>
          </w:rPr>
          <w:fldChar w:fldCharType="begin"/>
        </w:r>
        <w:r w:rsidR="00187FAE">
          <w:rPr>
            <w:noProof/>
            <w:webHidden/>
          </w:rPr>
          <w:instrText xml:space="preserve"> PAGEREF _Toc135719895 \h </w:instrText>
        </w:r>
        <w:r w:rsidR="00187FAE">
          <w:rPr>
            <w:noProof/>
            <w:webHidden/>
          </w:rPr>
        </w:r>
        <w:r w:rsidR="00187FAE">
          <w:rPr>
            <w:noProof/>
            <w:webHidden/>
          </w:rPr>
          <w:fldChar w:fldCharType="separate"/>
        </w:r>
        <w:r w:rsidR="000D13FA">
          <w:rPr>
            <w:noProof/>
            <w:webHidden/>
          </w:rPr>
          <w:t>10</w:t>
        </w:r>
        <w:r w:rsidR="00187FAE">
          <w:rPr>
            <w:noProof/>
            <w:webHidden/>
          </w:rPr>
          <w:fldChar w:fldCharType="end"/>
        </w:r>
      </w:hyperlink>
    </w:p>
    <w:p w14:paraId="2C4346F6" w14:textId="6E6DFDCE" w:rsidR="00187FAE" w:rsidRDefault="00FF09FC">
      <w:pPr>
        <w:pStyle w:val="TOC1"/>
        <w:rPr>
          <w:rFonts w:asciiTheme="minorHAnsi" w:eastAsiaTheme="minorEastAsia" w:hAnsiTheme="minorHAnsi" w:cstheme="minorBidi"/>
          <w:b w:val="0"/>
          <w:noProof/>
          <w:szCs w:val="22"/>
          <w:lang w:val="en-AU" w:eastAsia="en-AU"/>
        </w:rPr>
      </w:pPr>
      <w:hyperlink w:anchor="_Toc135719896" w:history="1">
        <w:r w:rsidR="00187FAE" w:rsidRPr="00FC5AE3">
          <w:rPr>
            <w:rStyle w:val="Hyperlink"/>
            <w:noProof/>
          </w:rPr>
          <w:t>Appendix 2: Member attendance at full ACART meetings</w:t>
        </w:r>
        <w:r w:rsidR="00187FAE">
          <w:rPr>
            <w:noProof/>
            <w:webHidden/>
          </w:rPr>
          <w:tab/>
        </w:r>
        <w:r w:rsidR="00187FAE">
          <w:rPr>
            <w:noProof/>
            <w:webHidden/>
          </w:rPr>
          <w:fldChar w:fldCharType="begin"/>
        </w:r>
        <w:r w:rsidR="00187FAE">
          <w:rPr>
            <w:noProof/>
            <w:webHidden/>
          </w:rPr>
          <w:instrText xml:space="preserve"> PAGEREF _Toc135719896 \h </w:instrText>
        </w:r>
        <w:r w:rsidR="00187FAE">
          <w:rPr>
            <w:noProof/>
            <w:webHidden/>
          </w:rPr>
        </w:r>
        <w:r w:rsidR="00187FAE">
          <w:rPr>
            <w:noProof/>
            <w:webHidden/>
          </w:rPr>
          <w:fldChar w:fldCharType="separate"/>
        </w:r>
        <w:r w:rsidR="000D13FA">
          <w:rPr>
            <w:noProof/>
            <w:webHidden/>
          </w:rPr>
          <w:t>16</w:t>
        </w:r>
        <w:r w:rsidR="00187FAE">
          <w:rPr>
            <w:noProof/>
            <w:webHidden/>
          </w:rPr>
          <w:fldChar w:fldCharType="end"/>
        </w:r>
      </w:hyperlink>
    </w:p>
    <w:p w14:paraId="2C0615EC" w14:textId="26C46A40" w:rsidR="00187FAE" w:rsidRDefault="00FF09FC">
      <w:pPr>
        <w:pStyle w:val="TOC1"/>
        <w:rPr>
          <w:rFonts w:asciiTheme="minorHAnsi" w:eastAsiaTheme="minorEastAsia" w:hAnsiTheme="minorHAnsi" w:cstheme="minorBidi"/>
          <w:b w:val="0"/>
          <w:noProof/>
          <w:szCs w:val="22"/>
          <w:lang w:val="en-AU" w:eastAsia="en-AU"/>
        </w:rPr>
      </w:pPr>
      <w:hyperlink w:anchor="_Toc135719897" w:history="1">
        <w:r w:rsidR="00187FAE" w:rsidRPr="00FC5AE3">
          <w:rPr>
            <w:rStyle w:val="Hyperlink"/>
            <w:noProof/>
          </w:rPr>
          <w:t>Appendix 3: ACART working groups</w:t>
        </w:r>
        <w:r w:rsidR="00187FAE">
          <w:rPr>
            <w:noProof/>
            <w:webHidden/>
          </w:rPr>
          <w:tab/>
        </w:r>
        <w:r w:rsidR="00187FAE">
          <w:rPr>
            <w:noProof/>
            <w:webHidden/>
          </w:rPr>
          <w:fldChar w:fldCharType="begin"/>
        </w:r>
        <w:r w:rsidR="00187FAE">
          <w:rPr>
            <w:noProof/>
            <w:webHidden/>
          </w:rPr>
          <w:instrText xml:space="preserve"> PAGEREF _Toc135719897 \h </w:instrText>
        </w:r>
        <w:r w:rsidR="00187FAE">
          <w:rPr>
            <w:noProof/>
            <w:webHidden/>
          </w:rPr>
        </w:r>
        <w:r w:rsidR="00187FAE">
          <w:rPr>
            <w:noProof/>
            <w:webHidden/>
          </w:rPr>
          <w:fldChar w:fldCharType="separate"/>
        </w:r>
        <w:r w:rsidR="000D13FA">
          <w:rPr>
            <w:noProof/>
            <w:webHidden/>
          </w:rPr>
          <w:t>17</w:t>
        </w:r>
        <w:r w:rsidR="00187FAE">
          <w:rPr>
            <w:noProof/>
            <w:webHidden/>
          </w:rPr>
          <w:fldChar w:fldCharType="end"/>
        </w:r>
      </w:hyperlink>
    </w:p>
    <w:p w14:paraId="45C5BB25" w14:textId="0083CE50" w:rsidR="00C86248" w:rsidRPr="004D655D" w:rsidRDefault="00362BD3" w:rsidP="00A66034">
      <w:r>
        <w:fldChar w:fldCharType="end"/>
      </w:r>
    </w:p>
    <w:p w14:paraId="4DA94345" w14:textId="77777777" w:rsidR="00C86248" w:rsidRPr="004D655D" w:rsidRDefault="00C86248" w:rsidP="00A66034"/>
    <w:p w14:paraId="71869D2F" w14:textId="77777777" w:rsidR="00C86248" w:rsidRPr="004D655D" w:rsidRDefault="00C86248" w:rsidP="00A66034">
      <w:pPr>
        <w:sectPr w:rsidR="00C86248" w:rsidRPr="004D655D" w:rsidSect="009F48DD">
          <w:headerReference w:type="first" r:id="rId20"/>
          <w:footerReference w:type="first" r:id="rId21"/>
          <w:pgSz w:w="11907" w:h="16840" w:code="9"/>
          <w:pgMar w:top="1701" w:right="1418" w:bottom="1701" w:left="1701" w:header="0" w:footer="425" w:gutter="0"/>
          <w:pgNumType w:fmt="lowerRoman"/>
          <w:cols w:space="720"/>
          <w:titlePg/>
        </w:sectPr>
      </w:pPr>
    </w:p>
    <w:p w14:paraId="5448FC39" w14:textId="77777777" w:rsidR="00762F00" w:rsidRDefault="00543A52" w:rsidP="00FA0914">
      <w:pPr>
        <w:pStyle w:val="Heading1"/>
      </w:pPr>
      <w:bookmarkStart w:id="6" w:name="_Toc135719878"/>
      <w:r>
        <w:lastRenderedPageBreak/>
        <w:t>Introduction</w:t>
      </w:r>
      <w:bookmarkEnd w:id="6"/>
    </w:p>
    <w:p w14:paraId="0F010322" w14:textId="77777777" w:rsidR="00110C6D" w:rsidRPr="00D41ACA" w:rsidRDefault="00110C6D" w:rsidP="00110C6D">
      <w:pPr>
        <w:pStyle w:val="Heading2"/>
      </w:pPr>
      <w:bookmarkStart w:id="7" w:name="_Toc493926778"/>
      <w:bookmarkStart w:id="8" w:name="_Toc135719879"/>
      <w:r w:rsidRPr="00923B03">
        <w:t xml:space="preserve">Purpose of this </w:t>
      </w:r>
      <w:r>
        <w:t>report</w:t>
      </w:r>
      <w:bookmarkEnd w:id="7"/>
      <w:bookmarkEnd w:id="8"/>
    </w:p>
    <w:p w14:paraId="34E1DC76" w14:textId="64245A49" w:rsidR="00E81585" w:rsidRDefault="00EB2BFD" w:rsidP="00570306">
      <w:r w:rsidRPr="00EB2BFD">
        <w:t>Section 42(3) of the Human Assisted Reproductive Technology (HART) Act 2004 requires the Advisory Committee on Assisted Reproductive Technology (ACART), as soon as practicable after each 12 month period, ending on 30 June, to provide the Minister of Health (the Minister) with a report on:</w:t>
      </w:r>
    </w:p>
    <w:p w14:paraId="07176EFD" w14:textId="77777777" w:rsidR="00EB2BFD" w:rsidRDefault="00EB2BFD" w:rsidP="00EB2BFD">
      <w:pPr>
        <w:pStyle w:val="Bullet"/>
      </w:pPr>
      <w:r>
        <w:t>its progress in carrying out its functions</w:t>
      </w:r>
    </w:p>
    <w:p w14:paraId="6271009E" w14:textId="45281570" w:rsidR="00E81585" w:rsidRDefault="00EB2BFD" w:rsidP="00EB2BFD">
      <w:pPr>
        <w:pStyle w:val="Bullet"/>
      </w:pPr>
      <w:r>
        <w:t>the number and kinds of decisions made by the Ethics Committee on Assisted Reproductive Technology (ECART) in that period.</w:t>
      </w:r>
    </w:p>
    <w:p w14:paraId="2431A882" w14:textId="77777777" w:rsidR="00E81585" w:rsidRDefault="00E81585" w:rsidP="00570306"/>
    <w:p w14:paraId="201A476A" w14:textId="77777777" w:rsidR="00E81585" w:rsidRDefault="00E81585" w:rsidP="00570306">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93926779"/>
      <w:bookmarkStart w:id="17" w:name="_Toc529455554"/>
      <w:bookmarkStart w:id="18" w:name="_Toc67314699"/>
      <w:bookmarkStart w:id="19" w:name="_Toc135719880"/>
      <w:r w:rsidRPr="004D294E">
        <w:t>Background</w:t>
      </w:r>
      <w:bookmarkEnd w:id="9"/>
      <w:bookmarkEnd w:id="10"/>
      <w:bookmarkEnd w:id="11"/>
      <w:bookmarkEnd w:id="12"/>
      <w:bookmarkEnd w:id="13"/>
      <w:bookmarkEnd w:id="14"/>
      <w:bookmarkEnd w:id="15"/>
      <w:bookmarkEnd w:id="16"/>
      <w:bookmarkEnd w:id="17"/>
      <w:bookmarkEnd w:id="18"/>
      <w:bookmarkEnd w:id="19"/>
    </w:p>
    <w:p w14:paraId="36569779" w14:textId="77777777" w:rsidR="00EB2BFD" w:rsidRDefault="00EB2BFD" w:rsidP="00EB2BFD">
      <w:r>
        <w:t>ACART was established under section 32 of the HART Act 2004 and first met in September 2005. Appendix 1 gives biographical information on ACART’s membership during 2020/21.</w:t>
      </w:r>
    </w:p>
    <w:p w14:paraId="32FDBE12" w14:textId="77777777" w:rsidR="00EB2BFD" w:rsidRDefault="00EB2BFD" w:rsidP="00EB2BFD"/>
    <w:p w14:paraId="5742CA55" w14:textId="5E264F20" w:rsidR="00E81585" w:rsidRDefault="00EB2BFD" w:rsidP="00EB2BFD">
      <w:r>
        <w:t xml:space="preserve">ACART is a Crown entity, appointed by the Crown, and as such has responsibilities, under Te </w:t>
      </w:r>
      <w:proofErr w:type="spellStart"/>
      <w:r>
        <w:t>Tiriti</w:t>
      </w:r>
      <w:proofErr w:type="spellEnd"/>
      <w:r>
        <w:t xml:space="preserve"> o Waitangi as a treaty partner, to </w:t>
      </w:r>
      <w:proofErr w:type="spellStart"/>
      <w:r>
        <w:t>tangata</w:t>
      </w:r>
      <w:proofErr w:type="spellEnd"/>
      <w:r>
        <w:t xml:space="preserve"> whenua. ACART considers and treats with respect the needs, values, and beliefs of Māori, in line with section 4 (f) of the HART Act.</w:t>
      </w:r>
    </w:p>
    <w:p w14:paraId="3858FEF0" w14:textId="77777777" w:rsidR="00E81585" w:rsidRDefault="00E81585" w:rsidP="00570306"/>
    <w:p w14:paraId="493911C8" w14:textId="77777777" w:rsidR="00E81585" w:rsidRPr="004D294E" w:rsidRDefault="00E81585" w:rsidP="00570306">
      <w:pPr>
        <w:pStyle w:val="Heading2"/>
      </w:pPr>
      <w:bookmarkStart w:id="20" w:name="_Toc150869214"/>
      <w:bookmarkStart w:id="21" w:name="_Toc178338222"/>
      <w:bookmarkStart w:id="22" w:name="_Toc206837286"/>
      <w:bookmarkStart w:id="23" w:name="_Toc272911743"/>
      <w:bookmarkStart w:id="24" w:name="_Toc493926780"/>
      <w:bookmarkStart w:id="25" w:name="_Toc529455555"/>
      <w:bookmarkStart w:id="26" w:name="_Toc67314700"/>
      <w:bookmarkStart w:id="27" w:name="_Toc135719881"/>
      <w:r w:rsidRPr="004D294E">
        <w:t>ACART</w:t>
      </w:r>
      <w:r>
        <w:t>’</w:t>
      </w:r>
      <w:r w:rsidRPr="004D294E">
        <w:t>s functions</w:t>
      </w:r>
      <w:bookmarkEnd w:id="20"/>
      <w:bookmarkEnd w:id="21"/>
      <w:bookmarkEnd w:id="22"/>
      <w:bookmarkEnd w:id="23"/>
      <w:bookmarkEnd w:id="24"/>
      <w:bookmarkEnd w:id="25"/>
      <w:bookmarkEnd w:id="26"/>
      <w:bookmarkEnd w:id="27"/>
    </w:p>
    <w:p w14:paraId="2D6C0245" w14:textId="07CF47B1" w:rsidR="00E81585" w:rsidRPr="004D294E" w:rsidRDefault="00EB2BFD" w:rsidP="00570306">
      <w:r w:rsidRPr="00EB2BFD">
        <w:t>ACART’s functions, as set out in section 35 of the HART Act 2004, are to:</w:t>
      </w:r>
    </w:p>
    <w:p w14:paraId="413FE1CC" w14:textId="77777777" w:rsidR="00EB2BFD" w:rsidRDefault="00EB2BFD" w:rsidP="00EB2BFD">
      <w:pPr>
        <w:pStyle w:val="Bullet"/>
      </w:pPr>
      <w:r>
        <w:t>issue guidelines and give advice to ECART on the matters that ECART must take into account when considering whether to give, change or cancel an approval for an extension to the applicable period for storing a human in-vitro gamete or a human in-vitro embryo</w:t>
      </w:r>
    </w:p>
    <w:p w14:paraId="4AC624AD" w14:textId="77777777" w:rsidR="00EB2BFD" w:rsidRDefault="00EB2BFD" w:rsidP="00EB2BFD">
      <w:pPr>
        <w:pStyle w:val="Bullet"/>
      </w:pPr>
      <w:r>
        <w:t>issue guidelines and give advice to ECART on any matter relating to any kind of assisted reproductive procedure or human reproductive research and keep such guidelines and advice under review</w:t>
      </w:r>
    </w:p>
    <w:p w14:paraId="2E79EB52" w14:textId="77777777" w:rsidR="00EB2BFD" w:rsidRDefault="00EB2BFD" w:rsidP="00EB2BFD">
      <w:pPr>
        <w:pStyle w:val="Bullet"/>
      </w:pPr>
      <w:r>
        <w:t>advise the Minister on aspects of, or issues arising out of, kinds of assisted reproductive research and, without limitation, provide advice as to whether:</w:t>
      </w:r>
    </w:p>
    <w:p w14:paraId="5A1AEC1E" w14:textId="77777777" w:rsidR="00EB2BFD" w:rsidRDefault="00EB2BFD" w:rsidP="00EB2BFD">
      <w:pPr>
        <w:pStyle w:val="Dash"/>
      </w:pPr>
      <w:r>
        <w:t>the HART Act 2004 or another enactment should be amended to prohibit or provide for any kind of assisted reproductive procedure or human reproductive research</w:t>
      </w:r>
    </w:p>
    <w:p w14:paraId="55E111BD" w14:textId="77777777" w:rsidR="00EB2BFD" w:rsidRDefault="00EB2BFD" w:rsidP="00EB2BFD">
      <w:pPr>
        <w:pStyle w:val="Dash"/>
      </w:pPr>
      <w:r>
        <w:t>any kind of procedure or treatment should be declared an established procedure (that is, a procedure that does not require ECART approval) on the basis of the information, assessment, advice and ethical analysis required under section 6 of the HART Act 2004</w:t>
      </w:r>
    </w:p>
    <w:p w14:paraId="36726D82" w14:textId="77777777" w:rsidR="00EB2BFD" w:rsidRDefault="00EB2BFD" w:rsidP="00EB2BFD">
      <w:pPr>
        <w:pStyle w:val="Dash"/>
      </w:pPr>
      <w:r>
        <w:lastRenderedPageBreak/>
        <w:t>any established procedure should be modified or cease to be an established procedure</w:t>
      </w:r>
    </w:p>
    <w:p w14:paraId="5EDFD2A4" w14:textId="77777777" w:rsidR="00EB2BFD" w:rsidRDefault="00EB2BFD" w:rsidP="00EB2BFD">
      <w:pPr>
        <w:pStyle w:val="Dash"/>
      </w:pPr>
      <w:r>
        <w:t>a moratorium should be imposed on any kind of assisted reproductive procedure or human reproductive research</w:t>
      </w:r>
    </w:p>
    <w:p w14:paraId="4BA0C32E" w14:textId="77777777" w:rsidR="00EB2BFD" w:rsidRDefault="00EB2BFD" w:rsidP="00EB2BFD">
      <w:pPr>
        <w:pStyle w:val="Dash"/>
      </w:pPr>
      <w:r>
        <w:t>regulations should be made under section 76 of the HART Act 2004 to regulate the performance of any kind of assisted reproductive procedure or the conduct of any kind of human reproductive research</w:t>
      </w:r>
    </w:p>
    <w:p w14:paraId="02E74C90" w14:textId="77777777" w:rsidR="00EB2BFD" w:rsidRDefault="00EB2BFD" w:rsidP="00EB2BFD">
      <w:pPr>
        <w:pStyle w:val="Bullet"/>
      </w:pPr>
      <w:r>
        <w:t>liaise with ECART on general and specific matters relating to assisted reproductive procedures or human reproductive research</w:t>
      </w:r>
    </w:p>
    <w:p w14:paraId="7E70D3FA" w14:textId="77777777" w:rsidR="00EB2BFD" w:rsidRDefault="00EB2BFD" w:rsidP="00EB2BFD">
      <w:pPr>
        <w:pStyle w:val="Bullet"/>
      </w:pPr>
      <w:r>
        <w:t>consult with anyone who, in the opinion of ACART, is able to assist it in performing its functions</w:t>
      </w:r>
    </w:p>
    <w:p w14:paraId="49810958" w14:textId="77777777" w:rsidR="00EB2BFD" w:rsidRDefault="00EB2BFD" w:rsidP="00EB2BFD">
      <w:pPr>
        <w:pStyle w:val="Bullet"/>
      </w:pPr>
      <w:r>
        <w:t>perform any other function that the Minister assigns to it by written notice.</w:t>
      </w:r>
    </w:p>
    <w:p w14:paraId="608D72EE" w14:textId="77777777" w:rsidR="00E81585" w:rsidRPr="004D294E" w:rsidRDefault="00E81585" w:rsidP="00570306"/>
    <w:p w14:paraId="2D7EF44C" w14:textId="77777777" w:rsidR="00E81585" w:rsidRPr="004D294E" w:rsidRDefault="00E81585" w:rsidP="00570306">
      <w:r w:rsidRPr="004D294E">
        <w:t>For the purposes of performing the above functions, ACART must monitor:</w:t>
      </w:r>
    </w:p>
    <w:p w14:paraId="7A6ED5AE" w14:textId="77777777" w:rsidR="00E81585" w:rsidRPr="004D294E" w:rsidRDefault="00E81585" w:rsidP="00570306">
      <w:pPr>
        <w:pStyle w:val="Bullet"/>
      </w:pPr>
      <w:r w:rsidRPr="004D294E">
        <w:t>the application, and health outcomes, of assisted reproductive procedures and established procedures</w:t>
      </w:r>
    </w:p>
    <w:p w14:paraId="09087EC2" w14:textId="77777777" w:rsidR="00E81585" w:rsidRDefault="00E81585" w:rsidP="00570306">
      <w:pPr>
        <w:pStyle w:val="Bullet"/>
      </w:pPr>
      <w:r w:rsidRPr="004D294E">
        <w:t>developments in human reproductive research.</w:t>
      </w:r>
    </w:p>
    <w:p w14:paraId="25F38669" w14:textId="77777777" w:rsidR="00E81585" w:rsidRDefault="00E81585" w:rsidP="00570306"/>
    <w:p w14:paraId="0A782AE3" w14:textId="77777777" w:rsidR="00E81585" w:rsidRDefault="00E81585" w:rsidP="00570306">
      <w:r>
        <w:t>ACART’s terms of reference are available on its website (</w:t>
      </w:r>
      <w:hyperlink r:id="rId22" w:history="1">
        <w:r w:rsidR="00570306" w:rsidRPr="00570306">
          <w:rPr>
            <w:rStyle w:val="Hyperlink"/>
          </w:rPr>
          <w:t>www.acart.health.govt.nz/about-us/terms-reference</w:t>
        </w:r>
      </w:hyperlink>
      <w:r>
        <w:t>).</w:t>
      </w:r>
    </w:p>
    <w:p w14:paraId="3F11F78B" w14:textId="77777777" w:rsidR="008569C6" w:rsidRDefault="008569C6" w:rsidP="00570306"/>
    <w:p w14:paraId="2F52685D" w14:textId="77777777" w:rsidR="00950BDD" w:rsidRPr="003B2165" w:rsidRDefault="00950BDD" w:rsidP="00200E40"/>
    <w:p w14:paraId="077A7B99" w14:textId="77777777" w:rsidR="00570F40" w:rsidRDefault="00570F40" w:rsidP="00200E40">
      <w:pPr>
        <w:pStyle w:val="Heading1"/>
        <w:jc w:val="both"/>
        <w:sectPr w:rsidR="00570F40" w:rsidSect="00E414C6">
          <w:footerReference w:type="even" r:id="rId23"/>
          <w:headerReference w:type="first" r:id="rId24"/>
          <w:footerReference w:type="first" r:id="rId25"/>
          <w:pgSz w:w="11907" w:h="16834" w:code="9"/>
          <w:pgMar w:top="1701" w:right="1418" w:bottom="1701" w:left="1701" w:header="0" w:footer="425" w:gutter="0"/>
          <w:pgNumType w:start="1"/>
          <w:cols w:space="720"/>
          <w:titlePg/>
        </w:sectPr>
      </w:pPr>
      <w:bookmarkStart w:id="28" w:name="_Toc206837288"/>
      <w:bookmarkStart w:id="29" w:name="_Toc210011656"/>
      <w:bookmarkStart w:id="30" w:name="_Toc210461436"/>
      <w:bookmarkStart w:id="31" w:name="_Toc210466429"/>
      <w:bookmarkStart w:id="32" w:name="_Toc272911744"/>
    </w:p>
    <w:p w14:paraId="00E45ED3" w14:textId="51D15D69" w:rsidR="008569C6" w:rsidRDefault="000F0E9D" w:rsidP="000D78C6">
      <w:pPr>
        <w:pStyle w:val="Heading1"/>
      </w:pPr>
      <w:bookmarkStart w:id="33" w:name="_Toc135719882"/>
      <w:r>
        <w:lastRenderedPageBreak/>
        <w:t>ACART</w:t>
      </w:r>
      <w:r w:rsidR="00AC6597">
        <w:t>’</w:t>
      </w:r>
      <w:r>
        <w:t>s w</w:t>
      </w:r>
      <w:r w:rsidR="008569C6" w:rsidRPr="004D294E">
        <w:t>ork</w:t>
      </w:r>
      <w:r w:rsidR="008569C6">
        <w:t xml:space="preserve"> </w:t>
      </w:r>
      <w:r w:rsidR="006C3777">
        <w:t>d</w:t>
      </w:r>
      <w:r w:rsidR="008569C6">
        <w:t xml:space="preserve">uring </w:t>
      </w:r>
      <w:bookmarkEnd w:id="28"/>
      <w:bookmarkEnd w:id="29"/>
      <w:bookmarkEnd w:id="30"/>
      <w:bookmarkEnd w:id="31"/>
      <w:r w:rsidR="008569C6">
        <w:t>20</w:t>
      </w:r>
      <w:bookmarkEnd w:id="32"/>
      <w:r w:rsidR="00EB2BFD">
        <w:t>20/21</w:t>
      </w:r>
      <w:bookmarkEnd w:id="33"/>
    </w:p>
    <w:p w14:paraId="541667A5" w14:textId="77777777" w:rsidR="004C7AFE" w:rsidRDefault="004C7AFE" w:rsidP="002F0CAD">
      <w:pPr>
        <w:pStyle w:val="Heading2"/>
      </w:pPr>
      <w:bookmarkStart w:id="34" w:name="_Toc493926782"/>
      <w:bookmarkStart w:id="35" w:name="_Toc135719883"/>
      <w:r w:rsidRPr="008972B9">
        <w:t>ACART</w:t>
      </w:r>
      <w:r w:rsidRPr="005F4B1B">
        <w:t xml:space="preserve"> </w:t>
      </w:r>
      <w:r>
        <w:t>meetings</w:t>
      </w:r>
      <w:bookmarkEnd w:id="34"/>
      <w:bookmarkEnd w:id="35"/>
    </w:p>
    <w:p w14:paraId="7A92F81C" w14:textId="0FA9C409" w:rsidR="00E81585" w:rsidRDefault="00EB2BFD" w:rsidP="002F0CAD">
      <w:r w:rsidRPr="00EB2BFD">
        <w:t>ACART met as a full committee, with the support of the secretariat, six times during 2020/21. (Appendix 2 sets out member attendance at these meetings.) Working groups met during two full committee meetings to progress specific projects. (Appendix 3 sets out detailed information on working group membership and meetings.)</w:t>
      </w:r>
    </w:p>
    <w:p w14:paraId="7345474D" w14:textId="77777777" w:rsidR="00E81585" w:rsidRDefault="00E81585" w:rsidP="002F0CAD"/>
    <w:p w14:paraId="43CD3C00" w14:textId="2278A267" w:rsidR="00E81585" w:rsidRPr="00D06753" w:rsidRDefault="00E81585" w:rsidP="002F0CAD">
      <w:pPr>
        <w:pStyle w:val="Heading2"/>
      </w:pPr>
      <w:bookmarkStart w:id="36" w:name="_Toc493926784"/>
      <w:bookmarkStart w:id="37" w:name="_Toc529455558"/>
      <w:bookmarkStart w:id="38" w:name="_Toc67314703"/>
      <w:bookmarkStart w:id="39" w:name="_Toc135719884"/>
      <w:bookmarkStart w:id="40" w:name="_Toc178338227"/>
      <w:bookmarkStart w:id="41" w:name="_Toc206837290"/>
      <w:r>
        <w:t>Advice</w:t>
      </w:r>
      <w:r w:rsidRPr="00CD2F1F">
        <w:t xml:space="preserve"> projects</w:t>
      </w:r>
      <w:r>
        <w:t xml:space="preserve"> in </w:t>
      </w:r>
      <w:bookmarkEnd w:id="36"/>
      <w:bookmarkEnd w:id="37"/>
      <w:bookmarkEnd w:id="38"/>
      <w:bookmarkEnd w:id="39"/>
      <w:r w:rsidR="00172617">
        <w:t>2020/21</w:t>
      </w:r>
    </w:p>
    <w:p w14:paraId="33839C8D" w14:textId="77777777" w:rsidR="00E81585" w:rsidRPr="00D06753" w:rsidRDefault="00E81585" w:rsidP="002F0CAD">
      <w:pPr>
        <w:pStyle w:val="Heading3"/>
        <w:rPr>
          <w:i/>
        </w:rPr>
      </w:pPr>
      <w:bookmarkStart w:id="42" w:name="_Toc178338228"/>
      <w:bookmarkStart w:id="43" w:name="_Toc206837291"/>
      <w:bookmarkEnd w:id="40"/>
      <w:bookmarkEnd w:id="41"/>
      <w:r w:rsidRPr="007A743A">
        <w:t xml:space="preserve">Review of the </w:t>
      </w:r>
      <w:r>
        <w:t>D</w:t>
      </w:r>
      <w:r w:rsidRPr="007A743A">
        <w:t xml:space="preserve">onation and </w:t>
      </w:r>
      <w:r>
        <w:t>S</w:t>
      </w:r>
      <w:r w:rsidRPr="007A743A">
        <w:t>urrogacy guidelines</w:t>
      </w:r>
    </w:p>
    <w:p w14:paraId="19C379B7" w14:textId="77777777" w:rsidR="00EB2BFD" w:rsidRDefault="00EB2BFD" w:rsidP="00EB2BFD">
      <w:r>
        <w:t xml:space="preserve">This project had looked at whether it is still necessary to require a biological link between at least one intending parent and a resulting child and if and when a ‘medical need’ should be required, and also merged the four existing guidelines for donations and surrogacy. ACART had consulted the public twice and, following the second round of consultation, finalised the guidelines and advice and submitted it to Associate Minister of Health Hon Jenny </w:t>
      </w:r>
      <w:proofErr w:type="spellStart"/>
      <w:r>
        <w:t>Salesa</w:t>
      </w:r>
      <w:proofErr w:type="spellEnd"/>
      <w:r>
        <w:t xml:space="preserve"> in September 2019. </w:t>
      </w:r>
    </w:p>
    <w:p w14:paraId="7B2132ED" w14:textId="77777777" w:rsidR="00EB2BFD" w:rsidRDefault="00EB2BFD" w:rsidP="00EB2BFD"/>
    <w:p w14:paraId="799FF8A5" w14:textId="7F641D3B" w:rsidR="00E81585" w:rsidRDefault="00EB2BFD" w:rsidP="00EB2BFD">
      <w:r>
        <w:t>In the 2020/21 financial year, ACART continued preparing supplementary advice and frequently asked questions and explanatory material for responding to any enquiries.</w:t>
      </w:r>
    </w:p>
    <w:p w14:paraId="0912D718" w14:textId="77777777" w:rsidR="00E81585" w:rsidRDefault="00E81585" w:rsidP="002F0CAD"/>
    <w:p w14:paraId="32D25EA7" w14:textId="77777777" w:rsidR="00E81585" w:rsidRPr="00D06753" w:rsidRDefault="00E81585" w:rsidP="002F0CAD">
      <w:pPr>
        <w:pStyle w:val="Heading3"/>
      </w:pPr>
      <w:r w:rsidRPr="00D06753">
        <w:t xml:space="preserve">Posthumous reproduction: review of the </w:t>
      </w:r>
      <w:r w:rsidRPr="002F0CAD">
        <w:rPr>
          <w:i/>
        </w:rPr>
        <w:t>Guidelines for the Storage, Use, and Disposal of Sperm from a Deceased Man</w:t>
      </w:r>
    </w:p>
    <w:p w14:paraId="4C267B36" w14:textId="77777777" w:rsidR="00EB2BFD" w:rsidRDefault="00EB2BFD" w:rsidP="00EB2BFD">
      <w:r w:rsidRPr="00193F46">
        <w:t xml:space="preserve">The current </w:t>
      </w:r>
      <w:r>
        <w:t>g</w:t>
      </w:r>
      <w:r w:rsidRPr="00D95588">
        <w:t>uidelines</w:t>
      </w:r>
      <w:r w:rsidRPr="7254E0E6">
        <w:rPr>
          <w:i/>
          <w:iCs/>
        </w:rPr>
        <w:t xml:space="preserve"> </w:t>
      </w:r>
      <w:r>
        <w:t>were issued in 2000.</w:t>
      </w:r>
      <w:r w:rsidRPr="002F0CAD">
        <w:rPr>
          <w:rStyle w:val="FootnoteReference"/>
        </w:rPr>
        <w:footnoteReference w:id="1"/>
      </w:r>
      <w:r>
        <w:t xml:space="preserve"> They pre-date the HART Act 2004 and reflect the technologies of the time. For instance, techniques for successful cryopreservation of eggs had not been established in 2000.</w:t>
      </w:r>
    </w:p>
    <w:p w14:paraId="7B51A7CC" w14:textId="77777777" w:rsidR="00EB2BFD" w:rsidRDefault="00EB2BFD" w:rsidP="00EB2BFD"/>
    <w:p w14:paraId="069F2D81" w14:textId="77777777" w:rsidR="00EB2BFD" w:rsidRDefault="00EB2BFD" w:rsidP="00EB2BFD">
      <w:pPr>
        <w:keepNext/>
        <w:keepLines/>
      </w:pPr>
      <w:r>
        <w:t>During the 2020/21 financial year, members developed the stage two consultation document, accompanied by draft guidelines which were released for public consultation in July 2020 for a period of eight weeks.</w:t>
      </w:r>
      <w:r w:rsidRPr="00610D0C">
        <w:t xml:space="preserve"> </w:t>
      </w:r>
      <w:r>
        <w:t>Following this consultation period, ACART considered the submissions and responses and publicly released the submissions on ACART’s website followed by a report to the Minister of Health.</w:t>
      </w:r>
    </w:p>
    <w:p w14:paraId="23A17306" w14:textId="77777777" w:rsidR="00EB2BFD" w:rsidRDefault="00EB2BFD" w:rsidP="00EB2BFD"/>
    <w:p w14:paraId="03C679C3" w14:textId="77777777" w:rsidR="00EB2BFD" w:rsidRDefault="00EB2BFD" w:rsidP="00EB2BFD">
      <w:r w:rsidRPr="005C7388">
        <w:t>ACAR</w:t>
      </w:r>
      <w:r>
        <w:t>T</w:t>
      </w:r>
      <w:r w:rsidRPr="005C7388">
        <w:t xml:space="preserve"> also prepared frequently asked questions and explanatory material for responding to any enquiries</w:t>
      </w:r>
      <w:r>
        <w:t xml:space="preserve"> after the new guidelines are published.</w:t>
      </w:r>
    </w:p>
    <w:p w14:paraId="1880FE4E" w14:textId="77777777" w:rsidR="00E81585" w:rsidRDefault="00E81585" w:rsidP="002F0CAD">
      <w:pPr>
        <w:rPr>
          <w:lang w:eastAsia="en-NZ"/>
        </w:rPr>
      </w:pPr>
    </w:p>
    <w:p w14:paraId="27A8BD2E" w14:textId="77777777" w:rsidR="00E81585" w:rsidRPr="009A30A2" w:rsidRDefault="00E81585" w:rsidP="002F0CAD">
      <w:pPr>
        <w:pStyle w:val="Heading3"/>
      </w:pPr>
      <w:r>
        <w:lastRenderedPageBreak/>
        <w:t xml:space="preserve">Amend the guidelines for extending the </w:t>
      </w:r>
      <w:r w:rsidRPr="009A30A2">
        <w:t xml:space="preserve">storage </w:t>
      </w:r>
      <w:r>
        <w:t>of</w:t>
      </w:r>
      <w:r w:rsidRPr="009A30A2">
        <w:t xml:space="preserve"> gametes and embryos</w:t>
      </w:r>
    </w:p>
    <w:p w14:paraId="411FDF3A" w14:textId="77777777" w:rsidR="00EB2BFD" w:rsidRDefault="00EB2BFD" w:rsidP="00EB2BFD">
      <w:pPr>
        <w:rPr>
          <w:lang w:eastAsia="en-NZ"/>
        </w:rPr>
      </w:pPr>
      <w:r>
        <w:rPr>
          <w:lang w:eastAsia="en-NZ"/>
        </w:rPr>
        <w:t>In the 2020/21 financial year, ACART began work on a consultation document to ask the public about a proposed change to the guidelines for extending the storage of gametes and embryos. The guidelines contain a provision that asks gamete donors to consent to the extension of storage of embryos that have been formed using their gametes. This policy is contrary to ACART's policy position (that once gametes have been used the gamete donor has no say in what happens to the embryos created) and the general understanding of the sector that is the same as ACART's.</w:t>
      </w:r>
    </w:p>
    <w:p w14:paraId="7EC38BF5" w14:textId="77777777" w:rsidR="00EB2BFD" w:rsidRDefault="00EB2BFD" w:rsidP="00EB2BFD">
      <w:pPr>
        <w:rPr>
          <w:lang w:eastAsia="en-NZ"/>
        </w:rPr>
      </w:pPr>
    </w:p>
    <w:p w14:paraId="4AD262A7" w14:textId="77D43CA8" w:rsidR="00E81585" w:rsidRPr="005C7388" w:rsidRDefault="00EB2BFD" w:rsidP="00EB2BFD">
      <w:pPr>
        <w:rPr>
          <w:lang w:eastAsia="en-NZ"/>
        </w:rPr>
      </w:pPr>
      <w:r>
        <w:rPr>
          <w:lang w:eastAsia="en-NZ"/>
        </w:rPr>
        <w:t>During the year, ACART worked through this policy matter and investigated whether any other provisions might need to be amended. At the end of the 20/21 financial year the consultation document was nearing completion and ACART anticipated having it ready for publication by the end of the 2021 calendar year. A standard consultation process would be followed before the Minister would be advised and the guidelines would be published.</w:t>
      </w:r>
    </w:p>
    <w:p w14:paraId="041F6C6D" w14:textId="77777777" w:rsidR="00E81585" w:rsidRPr="009A30A2" w:rsidRDefault="00E81585" w:rsidP="002F0CAD"/>
    <w:p w14:paraId="448F3736" w14:textId="77777777" w:rsidR="00E81585" w:rsidRDefault="00E81585" w:rsidP="002F0CAD">
      <w:pPr>
        <w:pStyle w:val="Heading3"/>
      </w:pPr>
      <w:r w:rsidRPr="00477FFE">
        <w:t>Proposal that the HART Order should explicitly state that the use of cryopreserved testicular tis</w:t>
      </w:r>
      <w:r w:rsidR="002F0CAD">
        <w:t>sue is an established procedure</w:t>
      </w:r>
    </w:p>
    <w:p w14:paraId="6EACF10C" w14:textId="77777777" w:rsidR="00EB2BFD" w:rsidRDefault="00EB2BFD" w:rsidP="00EB2BFD">
      <w:pPr>
        <w:rPr>
          <w:lang w:eastAsia="en-NZ"/>
        </w:rPr>
      </w:pPr>
      <w:r>
        <w:rPr>
          <w:lang w:eastAsia="en-NZ"/>
        </w:rPr>
        <w:t>During 2020/21, ACART started work on a consultation document to clarify the legal status of the use of cryopreserved testicular tissue (CTT). Currently, the use of CTT is not explicitly stated as an established procedure in the HART Order but Fertility clinics believe that the tissue can be used. ACART understands that there are also different understandings of the legal status of the use of the tissue and believes that there is no practical reason for the use of CTT to not be classified as an established procedure in the Order. This change would mean that the HART Order would be aligned with what happens in practice.</w:t>
      </w:r>
    </w:p>
    <w:p w14:paraId="7BA854C3" w14:textId="77777777" w:rsidR="00EB2BFD" w:rsidRDefault="00EB2BFD" w:rsidP="00EB2BFD">
      <w:pPr>
        <w:rPr>
          <w:lang w:eastAsia="en-NZ"/>
        </w:rPr>
      </w:pPr>
    </w:p>
    <w:p w14:paraId="03C8C357" w14:textId="77777777" w:rsidR="00EB2BFD" w:rsidRDefault="00EB2BFD" w:rsidP="00EB2BFD">
      <w:pPr>
        <w:rPr>
          <w:lang w:eastAsia="en-NZ"/>
        </w:rPr>
      </w:pPr>
      <w:r>
        <w:rPr>
          <w:lang w:eastAsia="en-NZ"/>
        </w:rPr>
        <w:t>The focus of the consultation document is on (a) the techniques currently used for collecting sperm, their safety and efficacy, and (b) comparing those techniques with what the Order describes as established procedures, noting the gap of cryopreserved testicular tissue.</w:t>
      </w:r>
    </w:p>
    <w:p w14:paraId="47FA95E1" w14:textId="77777777" w:rsidR="00EB2BFD" w:rsidRDefault="00EB2BFD" w:rsidP="00EB2BFD">
      <w:pPr>
        <w:rPr>
          <w:lang w:eastAsia="en-NZ"/>
        </w:rPr>
      </w:pPr>
    </w:p>
    <w:p w14:paraId="00BC81E8" w14:textId="623F92FF" w:rsidR="00E81585" w:rsidRDefault="00EB2BFD" w:rsidP="00EB2BFD">
      <w:pPr>
        <w:rPr>
          <w:lang w:eastAsia="en-NZ"/>
        </w:rPr>
      </w:pPr>
      <w:r>
        <w:rPr>
          <w:lang w:eastAsia="en-NZ"/>
        </w:rPr>
        <w:t>This document was published for public consultation in June 2021.</w:t>
      </w:r>
    </w:p>
    <w:p w14:paraId="3BF736F3" w14:textId="1603DADA" w:rsidR="00EB2BFD" w:rsidRDefault="00EB2BFD" w:rsidP="00EB2BFD">
      <w:pPr>
        <w:rPr>
          <w:lang w:eastAsia="en-NZ"/>
        </w:rPr>
      </w:pPr>
    </w:p>
    <w:p w14:paraId="7E851D08" w14:textId="77777777" w:rsidR="00EB2BFD" w:rsidRPr="00EB2BFD" w:rsidRDefault="00EB2BFD" w:rsidP="00EB2BFD">
      <w:pPr>
        <w:pStyle w:val="Heading3"/>
      </w:pPr>
      <w:r w:rsidRPr="00EB2BFD">
        <w:t>Guidelines for Research involving Human Gametes and Embryos</w:t>
      </w:r>
    </w:p>
    <w:p w14:paraId="53B7B284" w14:textId="77777777" w:rsidR="00EB2BFD" w:rsidRDefault="00EB2BFD" w:rsidP="00EB2BFD">
      <w:pPr>
        <w:rPr>
          <w:lang w:eastAsia="en-NZ"/>
        </w:rPr>
      </w:pPr>
      <w:r w:rsidRPr="57BD5007">
        <w:rPr>
          <w:lang w:eastAsia="en-NZ"/>
        </w:rPr>
        <w:t xml:space="preserve">In 2021, ACART started work on a draft consultation document for </w:t>
      </w:r>
      <w:r w:rsidRPr="004E7B8D">
        <w:rPr>
          <w:i/>
          <w:iCs/>
          <w:lang w:eastAsia="en-NZ"/>
        </w:rPr>
        <w:t>Guidelines for Research involving Human Gametes and Embryos</w:t>
      </w:r>
      <w:r w:rsidRPr="57BD5007">
        <w:rPr>
          <w:lang w:eastAsia="en-NZ"/>
        </w:rPr>
        <w:t xml:space="preserve">. </w:t>
      </w:r>
      <w:r>
        <w:rPr>
          <w:lang w:eastAsia="en-NZ"/>
        </w:rPr>
        <w:t>ACART’s c</w:t>
      </w:r>
      <w:r w:rsidRPr="57BD5007">
        <w:rPr>
          <w:lang w:eastAsia="en-NZ"/>
        </w:rPr>
        <w:t xml:space="preserve">urrent guidelines for human reproductive research were published in 2005, </w:t>
      </w:r>
      <w:r>
        <w:rPr>
          <w:lang w:eastAsia="en-NZ"/>
        </w:rPr>
        <w:t xml:space="preserve">and </w:t>
      </w:r>
      <w:r w:rsidRPr="57BD5007">
        <w:rPr>
          <w:lang w:eastAsia="en-NZ"/>
        </w:rPr>
        <w:t>ACART consider</w:t>
      </w:r>
      <w:r>
        <w:rPr>
          <w:lang w:eastAsia="en-NZ"/>
        </w:rPr>
        <w:t>s</w:t>
      </w:r>
      <w:r w:rsidRPr="57BD5007">
        <w:rPr>
          <w:lang w:eastAsia="en-NZ"/>
        </w:rPr>
        <w:t xml:space="preserve"> it timely to review these with a view to providing updated guidelines that still enable society to benefit from developments in ART while reflecting the views and attitudes of the day.</w:t>
      </w:r>
    </w:p>
    <w:p w14:paraId="49486079" w14:textId="77777777" w:rsidR="00EB2BFD" w:rsidRDefault="00EB2BFD" w:rsidP="00EB2BFD">
      <w:pPr>
        <w:rPr>
          <w:lang w:eastAsia="en-NZ"/>
        </w:rPr>
      </w:pPr>
    </w:p>
    <w:p w14:paraId="78A9D8B9" w14:textId="77777777" w:rsidR="00EB2BFD" w:rsidRDefault="00EB2BFD" w:rsidP="00EB2BFD">
      <w:pPr>
        <w:rPr>
          <w:lang w:eastAsia="en-NZ"/>
        </w:rPr>
      </w:pPr>
      <w:r w:rsidRPr="57BD5007">
        <w:rPr>
          <w:lang w:eastAsia="en-NZ"/>
        </w:rPr>
        <w:t xml:space="preserve">ACART intends to complete this </w:t>
      </w:r>
      <w:r>
        <w:rPr>
          <w:lang w:eastAsia="en-NZ"/>
        </w:rPr>
        <w:t xml:space="preserve">first </w:t>
      </w:r>
      <w:r w:rsidRPr="57BD5007">
        <w:rPr>
          <w:lang w:eastAsia="en-NZ"/>
        </w:rPr>
        <w:t>stage consultation document in the 2021/2022 financial year. Based on the outcome of this consultation, ACART will develop draft guidelines which will later be the subject of a second round of consultation.</w:t>
      </w:r>
    </w:p>
    <w:p w14:paraId="2CEF971E" w14:textId="77777777" w:rsidR="00EB2BFD" w:rsidRDefault="00EB2BFD" w:rsidP="00EB2BFD">
      <w:pPr>
        <w:rPr>
          <w:lang w:eastAsia="en-NZ"/>
        </w:rPr>
      </w:pPr>
    </w:p>
    <w:p w14:paraId="5AD05A86" w14:textId="77777777" w:rsidR="002F0CAD" w:rsidRPr="00ED266B" w:rsidRDefault="002F0CAD" w:rsidP="002F0CAD">
      <w:pPr>
        <w:rPr>
          <w:lang w:eastAsia="en-NZ"/>
        </w:rPr>
      </w:pPr>
    </w:p>
    <w:p w14:paraId="062DBE32" w14:textId="77777777" w:rsidR="00E81585" w:rsidRDefault="00E81585" w:rsidP="002F0CAD">
      <w:pPr>
        <w:pStyle w:val="Heading2"/>
      </w:pPr>
      <w:bookmarkStart w:id="44" w:name="_Toc206837293"/>
      <w:bookmarkStart w:id="45" w:name="_Toc210011659"/>
      <w:bookmarkStart w:id="46" w:name="_Toc210461439"/>
      <w:bookmarkStart w:id="47" w:name="_Toc210466432"/>
      <w:bookmarkStart w:id="48" w:name="_Toc272911750"/>
      <w:bookmarkStart w:id="49" w:name="_Toc304292508"/>
      <w:bookmarkStart w:id="50" w:name="_Toc493926785"/>
      <w:bookmarkStart w:id="51" w:name="_Toc529455559"/>
      <w:bookmarkStart w:id="52" w:name="_Toc67314704"/>
      <w:bookmarkStart w:id="53" w:name="_Toc135719885"/>
      <w:bookmarkEnd w:id="42"/>
      <w:bookmarkEnd w:id="43"/>
      <w:r w:rsidRPr="008972B9">
        <w:lastRenderedPageBreak/>
        <w:t>ACART</w:t>
      </w:r>
      <w:r>
        <w:t>’</w:t>
      </w:r>
      <w:r w:rsidRPr="008972B9">
        <w:t>s</w:t>
      </w:r>
      <w:r>
        <w:t xml:space="preserve"> m</w:t>
      </w:r>
      <w:r w:rsidRPr="00A65535">
        <w:t>onitoring</w:t>
      </w:r>
      <w:bookmarkEnd w:id="44"/>
      <w:bookmarkEnd w:id="45"/>
      <w:bookmarkEnd w:id="46"/>
      <w:bookmarkEnd w:id="47"/>
      <w:bookmarkEnd w:id="48"/>
      <w:bookmarkEnd w:id="49"/>
      <w:r>
        <w:t xml:space="preserve"> functions</w:t>
      </w:r>
      <w:bookmarkEnd w:id="50"/>
      <w:bookmarkEnd w:id="51"/>
      <w:bookmarkEnd w:id="52"/>
      <w:bookmarkEnd w:id="53"/>
    </w:p>
    <w:p w14:paraId="23E6383E" w14:textId="77777777" w:rsidR="00E81585" w:rsidRPr="00B954F8" w:rsidRDefault="00E81585" w:rsidP="002F0CAD">
      <w:pPr>
        <w:pStyle w:val="Heading3"/>
      </w:pPr>
      <w:r w:rsidRPr="00B954F8">
        <w:t>Monitoring the application and health outcomes of assisted reproductive procedures and established procedures</w:t>
      </w:r>
    </w:p>
    <w:p w14:paraId="52085F37" w14:textId="2D3BC9E7" w:rsidR="00E81585" w:rsidRDefault="00EB2BFD" w:rsidP="002F0CAD">
      <w:r w:rsidRPr="00EB2BFD">
        <w:t>Section 35(2) of the HART Act 2004 requires ACART to monitor the application and health outcomes of assisted reproductive procedures and established procedures.</w:t>
      </w:r>
    </w:p>
    <w:p w14:paraId="26399FC4" w14:textId="77777777" w:rsidR="00E81585" w:rsidRDefault="00E81585" w:rsidP="002F0CAD"/>
    <w:p w14:paraId="0BB2F36E" w14:textId="77777777" w:rsidR="00E81585" w:rsidRPr="00B90E91" w:rsidRDefault="00E81585" w:rsidP="002F0CAD">
      <w:pPr>
        <w:pStyle w:val="Heading3"/>
      </w:pPr>
      <w:r>
        <w:t>ANZARD Report</w:t>
      </w:r>
    </w:p>
    <w:p w14:paraId="36344956" w14:textId="77777777" w:rsidR="00EB2BFD" w:rsidRDefault="00EB2BFD" w:rsidP="00EB2BFD">
      <w:r>
        <w:t>In 2012, ACART entered a contract with the University of New South Wales (UNSW Sydney) to produce a quantitative, New Zealand-specific report on numbers, types and perinatal outcomes of assisted reproductive treatments, based on the annual Australian and New Zealand Assisted Reproduction Database (ANZARD) report, which in most aspects combines Australian and New Zealand data. The New Zealand-specific report draws on calendar-year data and is placed on ACART’s website.</w:t>
      </w:r>
    </w:p>
    <w:p w14:paraId="0EEE48D4" w14:textId="77777777" w:rsidR="00EB2BFD" w:rsidRDefault="00EB2BFD" w:rsidP="00EB2BFD"/>
    <w:p w14:paraId="666CA5A9" w14:textId="77777777" w:rsidR="00EB2BFD" w:rsidRDefault="00EB2BFD" w:rsidP="00EB2BFD">
      <w:r>
        <w:t>Eight further New Zealand-specific reports have now been received from UNSW Sydney for 2010, 2011, 2012, 2013, 2014, 2015, 2016 and 2017. ACART anticipates continuing to contract for annual New Zealand-specific reports, following the release of each ANZARD report.</w:t>
      </w:r>
    </w:p>
    <w:p w14:paraId="711C2A85" w14:textId="77777777" w:rsidR="00EB2BFD" w:rsidRDefault="00EB2BFD" w:rsidP="00EB2BFD"/>
    <w:p w14:paraId="60982042" w14:textId="77777777" w:rsidR="00EB2BFD" w:rsidRDefault="00EB2BFD" w:rsidP="00EB2BFD">
      <w:r>
        <w:t>The eighth ANZARD report, covering the 2017 calendar year was received in early 2021 and was considered and distributed to stakeholders by ACART. All previous years’ reports are publicly available on ACART’s website.</w:t>
      </w:r>
    </w:p>
    <w:p w14:paraId="471A6C34" w14:textId="77777777" w:rsidR="00EB2BFD" w:rsidRDefault="00EB2BFD" w:rsidP="00EB2BFD"/>
    <w:p w14:paraId="291D3FE4" w14:textId="6989EDFA" w:rsidR="00E81585" w:rsidRDefault="00EB2BFD" w:rsidP="00EB2BFD">
      <w:pPr>
        <w:rPr>
          <w:lang w:eastAsia="en-US"/>
        </w:rPr>
      </w:pPr>
      <w:r>
        <w:t>The 2018 report was commissioned in early 2021.</w:t>
      </w:r>
    </w:p>
    <w:p w14:paraId="6228DA67" w14:textId="77777777" w:rsidR="00E81585" w:rsidRPr="0015778B" w:rsidRDefault="00E81585" w:rsidP="002F0CAD">
      <w:pPr>
        <w:rPr>
          <w:lang w:eastAsia="en-US"/>
        </w:rPr>
      </w:pPr>
    </w:p>
    <w:p w14:paraId="544F93AF" w14:textId="77777777" w:rsidR="00E81585" w:rsidRPr="00B90E91" w:rsidRDefault="00E81585" w:rsidP="002F0CAD">
      <w:pPr>
        <w:pStyle w:val="Heading3"/>
      </w:pPr>
      <w:r w:rsidRPr="00B90E91">
        <w:t>Psychosocial outcomes</w:t>
      </w:r>
    </w:p>
    <w:p w14:paraId="0BE17A7E" w14:textId="0A5BAA8F" w:rsidR="00E81585" w:rsidRDefault="00EB2BFD" w:rsidP="002F0CAD">
      <w:r w:rsidRPr="00EB2BFD">
        <w:t>ACART also monitors, through published papers, health and psychosocial outcomes for parties involved in assisted reproduction and resulting children</w:t>
      </w:r>
      <w:r>
        <w:t>.</w:t>
      </w:r>
    </w:p>
    <w:p w14:paraId="6424E60C" w14:textId="77777777" w:rsidR="00E81585" w:rsidRDefault="00E81585" w:rsidP="002F0CAD"/>
    <w:p w14:paraId="769A55FD" w14:textId="77777777" w:rsidR="00E81585" w:rsidRDefault="00E81585" w:rsidP="002F0CAD">
      <w:pPr>
        <w:pStyle w:val="Heading3"/>
      </w:pPr>
      <w:r w:rsidRPr="00DD5AC4">
        <w:t>M</w:t>
      </w:r>
      <w:r>
        <w:t>o</w:t>
      </w:r>
      <w:r w:rsidRPr="00DD5AC4">
        <w:t>nitoring developments in human reproductive research</w:t>
      </w:r>
    </w:p>
    <w:p w14:paraId="3E7587F1" w14:textId="77777777" w:rsidR="00EB2BFD" w:rsidRDefault="00EB2BFD" w:rsidP="00EB2BFD">
      <w:r w:rsidRPr="004D294E">
        <w:t xml:space="preserve">Section 35(2) of the HART Act </w:t>
      </w:r>
      <w:r>
        <w:t xml:space="preserve">2004 also </w:t>
      </w:r>
      <w:r w:rsidRPr="004D294E">
        <w:t>re</w:t>
      </w:r>
      <w:r>
        <w:t xml:space="preserve">quires ACART to monitor </w:t>
      </w:r>
      <w:r w:rsidRPr="004D294E">
        <w:t>developments in human reproductive research</w:t>
      </w:r>
      <w:r>
        <w:t xml:space="preserve">. During 2020/21, members and the secretariat shared relevant media and academic journal articles, and the secretariat distributed </w:t>
      </w:r>
      <w:proofErr w:type="spellStart"/>
      <w:r w:rsidRPr="002A359F">
        <w:rPr>
          <w:i/>
        </w:rPr>
        <w:t>Bionews</w:t>
      </w:r>
      <w:proofErr w:type="spellEnd"/>
      <w:r>
        <w:t xml:space="preserve"> articles</w:t>
      </w:r>
      <w:r w:rsidRPr="002F0CAD">
        <w:rPr>
          <w:rStyle w:val="FootnoteReference"/>
        </w:rPr>
        <w:footnoteReference w:id="2"/>
      </w:r>
      <w:r>
        <w:t xml:space="preserve"> and Human Fertilisation and Embryology Authority updates to members.</w:t>
      </w:r>
    </w:p>
    <w:p w14:paraId="33D4237C" w14:textId="77777777" w:rsidR="00EB2BFD" w:rsidRDefault="00EB2BFD" w:rsidP="002F0CAD">
      <w:pPr>
        <w:sectPr w:rsidR="00EB2BFD" w:rsidSect="00CE0802">
          <w:headerReference w:type="default" r:id="rId26"/>
          <w:pgSz w:w="11907" w:h="16834" w:code="9"/>
          <w:pgMar w:top="1701" w:right="1418" w:bottom="1701" w:left="1701" w:header="0" w:footer="425" w:gutter="0"/>
          <w:cols w:space="720"/>
          <w:titlePg/>
        </w:sectPr>
      </w:pPr>
    </w:p>
    <w:p w14:paraId="597543EA" w14:textId="77777777" w:rsidR="00E81585" w:rsidRDefault="00E81585" w:rsidP="002F0CAD">
      <w:pPr>
        <w:pStyle w:val="Heading3"/>
      </w:pPr>
      <w:r w:rsidRPr="00B954F8">
        <w:lastRenderedPageBreak/>
        <w:t>Monitoring ECART decisions</w:t>
      </w:r>
    </w:p>
    <w:p w14:paraId="275FB2E2" w14:textId="77777777" w:rsidR="00EB2BFD" w:rsidRDefault="00EB2BFD" w:rsidP="00EB2BFD">
      <w:r>
        <w:t>ACART’s terms of reference require it to monitor ECART’s decisions, to ensure the decisions fall within the guidelines set by ACART. In April 2012, ACART considered options for the future operation of the function. In August 2012, ACART wrote to ECART seeking views on ACART’s proposal. ECART agreed with the proposal, and the details are set out below.</w:t>
      </w:r>
    </w:p>
    <w:p w14:paraId="1D5E5AAD" w14:textId="77777777" w:rsidR="00EB2BFD" w:rsidRDefault="00EB2BFD" w:rsidP="00EB2BFD"/>
    <w:p w14:paraId="47C958C4" w14:textId="77777777" w:rsidR="00EB2BFD" w:rsidRDefault="00EB2BFD" w:rsidP="00EB2BFD">
      <w:r>
        <w:t>ACART will continue the current practice of including in its agendas the summaries of applications prepared by the ECART secretariat, with the relevant ECART minutes. In addition, the ACART secretariat will report annually to ACART about ECART applications and decisions.</w:t>
      </w:r>
    </w:p>
    <w:p w14:paraId="125F40B5" w14:textId="77777777" w:rsidR="00EB2BFD" w:rsidRDefault="00EB2BFD" w:rsidP="00EB2BFD"/>
    <w:p w14:paraId="5DFBAFC5" w14:textId="5F78A0A8" w:rsidR="00E81585" w:rsidRDefault="00EB2BFD" w:rsidP="00EB2BFD">
      <w:pPr>
        <w:rPr>
          <w:lang w:eastAsia="en-US"/>
        </w:rPr>
      </w:pPr>
      <w:r>
        <w:t>ECART is required to give ACART a copy of the decisions from each meeting as soon as practicable after an ECART meeting. The ECART secretariat provides a summary of the decisions at each ACART full meeting for members’ information.</w:t>
      </w:r>
    </w:p>
    <w:p w14:paraId="1B92FD7F" w14:textId="77777777" w:rsidR="00E81585" w:rsidRPr="0015778B" w:rsidRDefault="00E81585" w:rsidP="002F0CAD">
      <w:pPr>
        <w:rPr>
          <w:lang w:eastAsia="en-US"/>
        </w:rPr>
      </w:pPr>
    </w:p>
    <w:p w14:paraId="7113BE4F" w14:textId="53CEDD7A" w:rsidR="00E81585" w:rsidRDefault="00E81585" w:rsidP="002F0CAD">
      <w:pPr>
        <w:pStyle w:val="Heading2"/>
        <w:rPr>
          <w:lang w:eastAsia="en-US"/>
        </w:rPr>
      </w:pPr>
      <w:bookmarkStart w:id="54" w:name="_Toc493926786"/>
      <w:bookmarkStart w:id="55" w:name="_Toc529455560"/>
      <w:bookmarkStart w:id="56" w:name="_Toc67314705"/>
      <w:bookmarkStart w:id="57" w:name="_Toc135719886"/>
      <w:r w:rsidRPr="00955E68">
        <w:rPr>
          <w:lang w:eastAsia="en-US"/>
        </w:rPr>
        <w:t xml:space="preserve">Other issues considered by ACART during </w:t>
      </w:r>
      <w:bookmarkEnd w:id="54"/>
      <w:bookmarkEnd w:id="55"/>
      <w:bookmarkEnd w:id="56"/>
      <w:r w:rsidR="00EB2BFD">
        <w:t>2020/21</w:t>
      </w:r>
      <w:bookmarkEnd w:id="57"/>
    </w:p>
    <w:p w14:paraId="1D78E05A" w14:textId="77777777" w:rsidR="00E81585" w:rsidRDefault="00E81585" w:rsidP="002F0CAD">
      <w:pPr>
        <w:pStyle w:val="Heading3"/>
      </w:pPr>
      <w:r>
        <w:t xml:space="preserve">Links </w:t>
      </w:r>
      <w:r w:rsidRPr="008972B9">
        <w:t>with</w:t>
      </w:r>
      <w:r>
        <w:t xml:space="preserve"> ECART</w:t>
      </w:r>
    </w:p>
    <w:p w14:paraId="004B86F7" w14:textId="77777777" w:rsidR="00EB2BFD" w:rsidRDefault="00EB2BFD" w:rsidP="00EB2BFD">
      <w:pPr>
        <w:rPr>
          <w:lang w:eastAsia="en-US"/>
        </w:rPr>
      </w:pPr>
      <w:bookmarkStart w:id="58" w:name="_Hlk135720948"/>
      <w:r>
        <w:rPr>
          <w:lang w:eastAsia="en-US"/>
        </w:rPr>
        <w:t>The HART Act 2004 requires that ACART and ECART liaise with one another. ACART is required to liaise with ECART on general and specific matters relating to assisted reproductive procedures and the conduct of any kind of human reproductive research.</w:t>
      </w:r>
    </w:p>
    <w:p w14:paraId="6C856BB9" w14:textId="77777777" w:rsidR="00EB2BFD" w:rsidRDefault="00EB2BFD" w:rsidP="00EB2BFD">
      <w:pPr>
        <w:rPr>
          <w:lang w:eastAsia="en-US"/>
        </w:rPr>
      </w:pPr>
    </w:p>
    <w:p w14:paraId="558288AD" w14:textId="77777777" w:rsidR="00EB2BFD" w:rsidRPr="00D93605" w:rsidRDefault="00EB2BFD" w:rsidP="00EB2BFD">
      <w:pPr>
        <w:rPr>
          <w:lang w:eastAsia="en-US"/>
        </w:rPr>
      </w:pPr>
      <w:r>
        <w:rPr>
          <w:lang w:eastAsia="en-US"/>
        </w:rPr>
        <w:t>The following communications</w:t>
      </w:r>
      <w:r w:rsidRPr="00D93605">
        <w:rPr>
          <w:lang w:eastAsia="en-US"/>
        </w:rPr>
        <w:t xml:space="preserve"> </w:t>
      </w:r>
      <w:r>
        <w:rPr>
          <w:lang w:eastAsia="en-US"/>
        </w:rPr>
        <w:t xml:space="preserve">took place </w:t>
      </w:r>
      <w:r w:rsidRPr="00D93605">
        <w:rPr>
          <w:lang w:eastAsia="en-US"/>
        </w:rPr>
        <w:t xml:space="preserve">during the </w:t>
      </w:r>
      <w:r>
        <w:rPr>
          <w:lang w:eastAsia="en-US"/>
        </w:rPr>
        <w:t xml:space="preserve">2020/21 </w:t>
      </w:r>
      <w:r w:rsidRPr="00D93605">
        <w:rPr>
          <w:lang w:eastAsia="en-US"/>
        </w:rPr>
        <w:t>period</w:t>
      </w:r>
      <w:r>
        <w:rPr>
          <w:lang w:eastAsia="en-US"/>
        </w:rPr>
        <w:t>.</w:t>
      </w:r>
    </w:p>
    <w:p w14:paraId="0BC22F71" w14:textId="61FC84C1" w:rsidR="00EB2BFD" w:rsidRDefault="00EB2BFD" w:rsidP="00EB2BFD">
      <w:pPr>
        <w:pStyle w:val="Bullet"/>
        <w:rPr>
          <w:lang w:eastAsia="en-US"/>
        </w:rPr>
      </w:pPr>
      <w:r w:rsidRPr="197EB72E">
        <w:rPr>
          <w:lang w:eastAsia="en-US"/>
        </w:rPr>
        <w:t>When possible, committee meetings for each committee, included a member of the other committee as a member-in-attendance. On some occasions, this was not possible due to budget restrictions and COVID-19 constraints.</w:t>
      </w:r>
    </w:p>
    <w:bookmarkEnd w:id="58"/>
    <w:p w14:paraId="2F7DBB4D" w14:textId="77777777" w:rsidR="00EB2BFD" w:rsidRPr="007235C9" w:rsidRDefault="00EB2BFD" w:rsidP="00EB2BFD">
      <w:pPr>
        <w:rPr>
          <w:lang w:eastAsia="en-US"/>
        </w:rPr>
      </w:pPr>
    </w:p>
    <w:p w14:paraId="7956DD14" w14:textId="77777777" w:rsidR="00E81585" w:rsidRPr="00767560" w:rsidRDefault="00E81585" w:rsidP="00EB2BFD">
      <w:pPr>
        <w:pStyle w:val="Heading2"/>
        <w:keepNext w:val="0"/>
      </w:pPr>
      <w:bookmarkStart w:id="59" w:name="_Toc493926789"/>
      <w:bookmarkStart w:id="60" w:name="_Toc529455562"/>
      <w:bookmarkStart w:id="61" w:name="_Toc67314707"/>
      <w:bookmarkStart w:id="62" w:name="_Toc135719887"/>
      <w:r w:rsidRPr="00767560">
        <w:t>Publications</w:t>
      </w:r>
      <w:bookmarkEnd w:id="59"/>
      <w:bookmarkEnd w:id="60"/>
      <w:bookmarkEnd w:id="61"/>
      <w:bookmarkEnd w:id="62"/>
    </w:p>
    <w:p w14:paraId="6A8BE452" w14:textId="77777777" w:rsidR="00EB2BFD" w:rsidRDefault="00EB2BFD" w:rsidP="00EB2BFD">
      <w:r>
        <w:t xml:space="preserve">In the 2020/21 year, </w:t>
      </w:r>
      <w:r w:rsidRPr="007235C9">
        <w:t xml:space="preserve">ACART published on its </w:t>
      </w:r>
      <w:hyperlink r:id="rId27" w:history="1">
        <w:r w:rsidRPr="00186254">
          <w:rPr>
            <w:rStyle w:val="Hyperlink"/>
          </w:rPr>
          <w:t>website</w:t>
        </w:r>
      </w:hyperlink>
    </w:p>
    <w:p w14:paraId="13C311C8" w14:textId="77777777" w:rsidR="00EB2BFD" w:rsidRPr="00FC7546" w:rsidRDefault="00EB2BFD" w:rsidP="00EB2BFD">
      <w:pPr>
        <w:pStyle w:val="Bullet"/>
        <w:jc w:val="left"/>
      </w:pPr>
      <w:r>
        <w:t>agendas of ACART meetings (after each meeting)</w:t>
      </w:r>
    </w:p>
    <w:p w14:paraId="3D8DE007" w14:textId="77777777" w:rsidR="00EB2BFD" w:rsidRPr="00FC7546" w:rsidRDefault="00EB2BFD" w:rsidP="00EB2BFD">
      <w:pPr>
        <w:pStyle w:val="Bullet"/>
        <w:jc w:val="left"/>
      </w:pPr>
      <w:r>
        <w:t>minutes of ACART meetings (after their confirmation at each following meeting)</w:t>
      </w:r>
    </w:p>
    <w:p w14:paraId="06D83321" w14:textId="77777777" w:rsidR="00EB2BFD" w:rsidRPr="00861356" w:rsidRDefault="00EB2BFD" w:rsidP="00EB2BFD">
      <w:pPr>
        <w:pStyle w:val="Bullet"/>
        <w:jc w:val="left"/>
        <w:rPr>
          <w:i/>
          <w:iCs/>
        </w:rPr>
      </w:pPr>
      <w:r w:rsidRPr="61DACC64">
        <w:rPr>
          <w:i/>
          <w:iCs/>
        </w:rPr>
        <w:t>ACART Advice and Guidelines for Gamete and Embryo Donation and Surrogacy</w:t>
      </w:r>
    </w:p>
    <w:p w14:paraId="2F2E3083" w14:textId="77777777" w:rsidR="00EB2BFD" w:rsidRPr="00861356" w:rsidRDefault="00EB2BFD" w:rsidP="00EB2BFD">
      <w:pPr>
        <w:pStyle w:val="Bullet"/>
        <w:jc w:val="left"/>
        <w:rPr>
          <w:i/>
          <w:iCs/>
        </w:rPr>
      </w:pPr>
      <w:r w:rsidRPr="61DACC64">
        <w:rPr>
          <w:i/>
          <w:iCs/>
        </w:rPr>
        <w:t>Guidelines for family gamete donation, embryo donation, the use of donated eggs with donated sperm and clinic assisted surrogacy</w:t>
      </w:r>
    </w:p>
    <w:p w14:paraId="1A07DBEC" w14:textId="77777777" w:rsidR="00EB2BFD" w:rsidRDefault="00EB2BFD" w:rsidP="00EB2BFD">
      <w:pPr>
        <w:pStyle w:val="Bullet"/>
        <w:jc w:val="left"/>
        <w:rPr>
          <w:i/>
          <w:iCs/>
        </w:rPr>
      </w:pPr>
      <w:r w:rsidRPr="61DACC64">
        <w:rPr>
          <w:i/>
          <w:iCs/>
        </w:rPr>
        <w:t>Proposed Guidelines for the Posthumous Use of Gametes, Reproductive Tissue and Stored Embryos: Stage two consultation document</w:t>
      </w:r>
    </w:p>
    <w:p w14:paraId="3A8CA767" w14:textId="77777777" w:rsidR="00EB2BFD" w:rsidRPr="00E3393D" w:rsidRDefault="00EB2BFD" w:rsidP="00EB2BFD">
      <w:pPr>
        <w:pStyle w:val="Bullet"/>
        <w:jc w:val="left"/>
      </w:pPr>
      <w:r w:rsidRPr="00E3393D">
        <w:rPr>
          <w:i/>
          <w:iCs/>
        </w:rPr>
        <w:t xml:space="preserve">Proposal that the HART Order should explicitly state that the use of cryopreserved testicular tissue is an established procedure </w:t>
      </w:r>
      <w:r w:rsidRPr="00E3393D">
        <w:t>consultation document</w:t>
      </w:r>
    </w:p>
    <w:p w14:paraId="40FEFCE0" w14:textId="77777777" w:rsidR="00EB2BFD" w:rsidRPr="00861356" w:rsidRDefault="00EB2BFD" w:rsidP="00EB2BFD">
      <w:pPr>
        <w:pStyle w:val="Bullet"/>
        <w:jc w:val="left"/>
        <w:rPr>
          <w:i/>
          <w:iCs/>
        </w:rPr>
      </w:pPr>
      <w:r w:rsidRPr="61DACC64">
        <w:rPr>
          <w:i/>
          <w:iCs/>
        </w:rPr>
        <w:lastRenderedPageBreak/>
        <w:t>Summaries of the regulation of assisted reproduction in New Zealand and the legal, ethical and cultural issues often involved in assisted reproduction</w:t>
      </w:r>
    </w:p>
    <w:p w14:paraId="1137EAC7" w14:textId="77777777" w:rsidR="00EB2BFD" w:rsidRDefault="00EB2BFD" w:rsidP="00EB2BFD">
      <w:pPr>
        <w:pStyle w:val="Bullet"/>
        <w:jc w:val="left"/>
      </w:pPr>
      <w:r w:rsidRPr="61DACC64">
        <w:rPr>
          <w:i/>
          <w:iCs/>
        </w:rPr>
        <w:t>Assisted Reproductive Technology in New Zealand 2016</w:t>
      </w:r>
      <w:r>
        <w:t xml:space="preserve"> (ANZARD)</w:t>
      </w:r>
    </w:p>
    <w:p w14:paraId="2936A01F" w14:textId="77777777" w:rsidR="00EB2BFD" w:rsidRDefault="00EB2BFD" w:rsidP="00EB2BFD">
      <w:pPr>
        <w:pStyle w:val="Bullet"/>
        <w:jc w:val="left"/>
      </w:pPr>
      <w:r w:rsidRPr="61DACC64">
        <w:rPr>
          <w:i/>
          <w:iCs/>
        </w:rPr>
        <w:t>Assisted Reproductive Technology in New Zealand 2017</w:t>
      </w:r>
      <w:r>
        <w:t xml:space="preserve"> (ANZARD)</w:t>
      </w:r>
    </w:p>
    <w:p w14:paraId="2FA99835" w14:textId="77777777" w:rsidR="00EB2BFD" w:rsidRPr="00D44C26" w:rsidRDefault="00EB2BFD" w:rsidP="00EB2BFD">
      <w:pPr>
        <w:pStyle w:val="Bullet"/>
        <w:jc w:val="left"/>
        <w:rPr>
          <w:i/>
          <w:iCs/>
        </w:rPr>
      </w:pPr>
      <w:r w:rsidRPr="61DACC64">
        <w:rPr>
          <w:i/>
          <w:iCs/>
        </w:rPr>
        <w:t>Advisory Committee on Assisted Reproductive Technology Annual Report 2019/20</w:t>
      </w:r>
    </w:p>
    <w:p w14:paraId="18410605" w14:textId="77777777" w:rsidR="00EB2BFD" w:rsidRPr="00D44C26" w:rsidRDefault="00EB2BFD" w:rsidP="00EB2BFD">
      <w:pPr>
        <w:pStyle w:val="Bullet"/>
        <w:jc w:val="left"/>
        <w:rPr>
          <w:i/>
          <w:iCs/>
        </w:rPr>
      </w:pPr>
      <w:r w:rsidRPr="61DACC64">
        <w:rPr>
          <w:i/>
          <w:iCs/>
        </w:rPr>
        <w:t>Advisory Committee on Assisted Reproductive Technology Annual Report 2018/19</w:t>
      </w:r>
    </w:p>
    <w:p w14:paraId="37B62F88" w14:textId="77777777" w:rsidR="008569C6" w:rsidRDefault="008569C6" w:rsidP="002F0CAD"/>
    <w:p w14:paraId="634A4E78" w14:textId="77777777" w:rsidR="00B5558C" w:rsidRDefault="00B5558C" w:rsidP="001739F8"/>
    <w:p w14:paraId="34B1382C" w14:textId="77777777" w:rsidR="001739F8" w:rsidRDefault="001739F8" w:rsidP="001739F8">
      <w:pPr>
        <w:pStyle w:val="Heading1"/>
        <w:sectPr w:rsidR="001739F8" w:rsidSect="00CE0802">
          <w:pgSz w:w="11907" w:h="16834" w:code="9"/>
          <w:pgMar w:top="1701" w:right="1418" w:bottom="1701" w:left="1701" w:header="0" w:footer="425" w:gutter="0"/>
          <w:cols w:space="720"/>
          <w:titlePg/>
        </w:sectPr>
      </w:pPr>
      <w:bookmarkStart w:id="63" w:name="_Toc272911756"/>
      <w:bookmarkStart w:id="64" w:name="_Toc210011721"/>
      <w:bookmarkStart w:id="65" w:name="_Toc206837295"/>
      <w:bookmarkStart w:id="66" w:name="_Toc210011722"/>
      <w:bookmarkStart w:id="67" w:name="_Toc210461502"/>
      <w:bookmarkStart w:id="68" w:name="_Toc210466495"/>
    </w:p>
    <w:p w14:paraId="0DC4BD04" w14:textId="079A8E6E" w:rsidR="008569C6" w:rsidRPr="004D294E" w:rsidRDefault="00501F2E" w:rsidP="001739F8">
      <w:pPr>
        <w:pStyle w:val="Heading1"/>
      </w:pPr>
      <w:bookmarkStart w:id="69" w:name="_Toc135719888"/>
      <w:r>
        <w:lastRenderedPageBreak/>
        <w:t>ECART</w:t>
      </w:r>
      <w:r w:rsidR="008569C6" w:rsidRPr="004D294E">
        <w:t xml:space="preserve"> </w:t>
      </w:r>
      <w:r>
        <w:t>d</w:t>
      </w:r>
      <w:r w:rsidR="008569C6" w:rsidRPr="004D294E">
        <w:t>ecisions</w:t>
      </w:r>
      <w:r w:rsidR="004D5C25">
        <w:t xml:space="preserve"> </w:t>
      </w:r>
      <w:bookmarkEnd w:id="63"/>
      <w:r w:rsidR="00EB2BFD">
        <w:t>2020/21</w:t>
      </w:r>
      <w:bookmarkEnd w:id="69"/>
    </w:p>
    <w:p w14:paraId="48EF204F" w14:textId="77777777" w:rsidR="00EB2BFD" w:rsidRPr="00FC7546" w:rsidRDefault="00EB2BFD" w:rsidP="00EB2BFD">
      <w:pPr>
        <w:rPr>
          <w:rFonts w:eastAsia="Calibri"/>
          <w:lang w:eastAsia="en-US"/>
        </w:rPr>
      </w:pPr>
      <w:r w:rsidRPr="00FC7546">
        <w:rPr>
          <w:rFonts w:eastAsia="Calibri"/>
          <w:lang w:eastAsia="en-US"/>
        </w:rPr>
        <w:t>Between 30 June 20</w:t>
      </w:r>
      <w:r>
        <w:rPr>
          <w:rFonts w:eastAsia="Calibri"/>
          <w:lang w:eastAsia="en-US"/>
        </w:rPr>
        <w:t>20</w:t>
      </w:r>
      <w:r w:rsidRPr="00FC7546">
        <w:rPr>
          <w:rFonts w:eastAsia="Calibri"/>
          <w:lang w:eastAsia="en-US"/>
        </w:rPr>
        <w:t xml:space="preserve"> and 30 June 202</w:t>
      </w:r>
      <w:r>
        <w:rPr>
          <w:rFonts w:eastAsia="Calibri"/>
          <w:lang w:eastAsia="en-US"/>
        </w:rPr>
        <w:t>1</w:t>
      </w:r>
      <w:r w:rsidRPr="00FC7546">
        <w:rPr>
          <w:rFonts w:eastAsia="Calibri"/>
          <w:lang w:eastAsia="en-US"/>
        </w:rPr>
        <w:t xml:space="preserve">, ECART considered </w:t>
      </w:r>
      <w:r>
        <w:rPr>
          <w:rFonts w:eastAsia="Calibri"/>
          <w:lang w:eastAsia="en-US"/>
        </w:rPr>
        <w:t>71</w:t>
      </w:r>
      <w:r w:rsidRPr="00FC7546">
        <w:rPr>
          <w:rFonts w:eastAsia="Calibri"/>
          <w:lang w:eastAsia="en-US"/>
        </w:rPr>
        <w:t xml:space="preserve"> applications for assisted reproductive procedures and human reproductive research. There were:</w:t>
      </w:r>
    </w:p>
    <w:p w14:paraId="18B7490C" w14:textId="77777777" w:rsidR="00EB2BFD" w:rsidRPr="00FC7546" w:rsidRDefault="00EB2BFD" w:rsidP="00EB2BFD">
      <w:pPr>
        <w:pStyle w:val="Bullet"/>
      </w:pPr>
      <w:r>
        <w:t>38 applications for surrogacy involving fertility providers</w:t>
      </w:r>
    </w:p>
    <w:p w14:paraId="4A7A1CBD" w14:textId="77777777" w:rsidR="00EB2BFD" w:rsidRPr="001008E2" w:rsidRDefault="00EB2BFD" w:rsidP="00EB2BFD">
      <w:pPr>
        <w:pStyle w:val="Bullet"/>
      </w:pPr>
      <w:r>
        <w:t>11 applications for embryo donation for reproductive purposes</w:t>
      </w:r>
    </w:p>
    <w:p w14:paraId="49AD4E29" w14:textId="77777777" w:rsidR="00EB2BFD" w:rsidRDefault="00EB2BFD" w:rsidP="00EB2BFD">
      <w:pPr>
        <w:pStyle w:val="Bullet"/>
      </w:pPr>
      <w:r>
        <w:t>15 applications for the creation and use, for reproductive purposes, of an embryo created from donated eggs in conjunction with donated sperm</w:t>
      </w:r>
    </w:p>
    <w:p w14:paraId="189C4A06" w14:textId="77777777" w:rsidR="00EB2BFD" w:rsidRDefault="00EB2BFD" w:rsidP="00EB2BFD">
      <w:pPr>
        <w:pStyle w:val="Bullet"/>
      </w:pPr>
      <w:r>
        <w:t>4 applications for the donation of eggs or sperm between certain family members</w:t>
      </w:r>
    </w:p>
    <w:p w14:paraId="3ED07476" w14:textId="77777777" w:rsidR="00EB2BFD" w:rsidRDefault="00EB2BFD" w:rsidP="00EB2BFD">
      <w:pPr>
        <w:pStyle w:val="Bullet"/>
      </w:pPr>
      <w:r>
        <w:t>1 application for the posthumous use of stored sperm</w:t>
      </w:r>
    </w:p>
    <w:p w14:paraId="5E10BA1E" w14:textId="77777777" w:rsidR="00EB2BFD" w:rsidRPr="002E036A" w:rsidRDefault="00EB2BFD" w:rsidP="00EB2BFD">
      <w:pPr>
        <w:pStyle w:val="Bullet"/>
      </w:pPr>
      <w:r>
        <w:t>1 application for preimplantation genetic diagnosis with human leucocyte antigen tissue typing.</w:t>
      </w:r>
    </w:p>
    <w:p w14:paraId="42C0F647" w14:textId="77777777" w:rsidR="00EB2BFD" w:rsidRPr="00EC5A3F" w:rsidRDefault="00EB2BFD" w:rsidP="00EB2BFD">
      <w:pPr>
        <w:rPr>
          <w:rFonts w:eastAsia="Calibri"/>
          <w:lang w:eastAsia="en-US"/>
        </w:rPr>
      </w:pPr>
    </w:p>
    <w:p w14:paraId="7FB4D26A" w14:textId="77777777" w:rsidR="00EB2BFD" w:rsidRPr="00D03F19" w:rsidRDefault="00EB2BFD" w:rsidP="00EB2BFD">
      <w:pPr>
        <w:rPr>
          <w:rFonts w:eastAsia="Calibri"/>
          <w:lang w:eastAsia="en-US"/>
        </w:rPr>
      </w:pPr>
      <w:r w:rsidRPr="00D03F19">
        <w:rPr>
          <w:rFonts w:eastAsia="Calibri"/>
          <w:lang w:eastAsia="en-US"/>
        </w:rPr>
        <w:t>Of these applications:</w:t>
      </w:r>
    </w:p>
    <w:p w14:paraId="56F9176E" w14:textId="77777777" w:rsidR="00EB2BFD" w:rsidRPr="00D03F19" w:rsidRDefault="00EB2BFD" w:rsidP="00EB2BFD">
      <w:pPr>
        <w:pStyle w:val="Bullet"/>
      </w:pPr>
      <w:r>
        <w:t>58 were approved outright</w:t>
      </w:r>
    </w:p>
    <w:p w14:paraId="2D04B898" w14:textId="77777777" w:rsidR="00EB2BFD" w:rsidRPr="00D03F19" w:rsidRDefault="00EB2BFD" w:rsidP="00EB2BFD">
      <w:pPr>
        <w:pStyle w:val="Bullet"/>
      </w:pPr>
      <w:r>
        <w:t>11 were deferred</w:t>
      </w:r>
    </w:p>
    <w:p w14:paraId="292A6CB2" w14:textId="77777777" w:rsidR="00EB2BFD" w:rsidRPr="00D03F19" w:rsidRDefault="00EB2BFD" w:rsidP="00EB2BFD">
      <w:pPr>
        <w:pStyle w:val="Bullet"/>
      </w:pPr>
      <w:r>
        <w:t>2 were declined.</w:t>
      </w:r>
    </w:p>
    <w:p w14:paraId="5B98BB75" w14:textId="77777777" w:rsidR="00EB2BFD" w:rsidRPr="00E943D4" w:rsidRDefault="00EB2BFD" w:rsidP="00EB2BFD">
      <w:pPr>
        <w:rPr>
          <w:rFonts w:eastAsia="Calibri"/>
          <w:highlight w:val="yellow"/>
          <w:lang w:eastAsia="en-US"/>
        </w:rPr>
      </w:pPr>
    </w:p>
    <w:p w14:paraId="0D5C6CB2" w14:textId="77777777" w:rsidR="00EB2BFD" w:rsidRDefault="00EB2BFD" w:rsidP="00EB2BFD">
      <w:pPr>
        <w:rPr>
          <w:rFonts w:eastAsia="Calibri"/>
          <w:lang w:eastAsia="en-US"/>
        </w:rPr>
      </w:pPr>
      <w:r w:rsidRPr="00D259D7">
        <w:rPr>
          <w:rFonts w:eastAsia="Calibri"/>
          <w:lang w:eastAsia="en-US"/>
        </w:rPr>
        <w:t xml:space="preserve">In addition, ECART considered </w:t>
      </w:r>
      <w:r>
        <w:rPr>
          <w:rFonts w:eastAsia="Calibri"/>
          <w:lang w:eastAsia="en-US"/>
        </w:rPr>
        <w:t xml:space="preserve">89 </w:t>
      </w:r>
      <w:r w:rsidRPr="00D259D7">
        <w:rPr>
          <w:rFonts w:eastAsia="Calibri"/>
          <w:lang w:eastAsia="en-US"/>
        </w:rPr>
        <w:t xml:space="preserve">applications to extend the storage period of gametes, embryos or tissue. </w:t>
      </w:r>
      <w:r>
        <w:rPr>
          <w:rFonts w:eastAsia="Calibri"/>
          <w:lang w:eastAsia="en-US"/>
        </w:rPr>
        <w:t>Of these applications:</w:t>
      </w:r>
    </w:p>
    <w:p w14:paraId="2DC29F70" w14:textId="77777777" w:rsidR="00EB2BFD" w:rsidRPr="00D03F19" w:rsidRDefault="00EB2BFD" w:rsidP="00EB2BFD">
      <w:pPr>
        <w:pStyle w:val="Bullet"/>
      </w:pPr>
      <w:r>
        <w:t>86 were approved outright</w:t>
      </w:r>
    </w:p>
    <w:p w14:paraId="1E6B5D10" w14:textId="77777777" w:rsidR="00EB2BFD" w:rsidRPr="00D03F19" w:rsidRDefault="00EB2BFD" w:rsidP="00EB2BFD">
      <w:pPr>
        <w:pStyle w:val="Bullet"/>
      </w:pPr>
      <w:r>
        <w:t>1 was deferred</w:t>
      </w:r>
    </w:p>
    <w:p w14:paraId="17DDEC55" w14:textId="77777777" w:rsidR="00EB2BFD" w:rsidRPr="00D03F19" w:rsidRDefault="00EB2BFD" w:rsidP="00EB2BFD">
      <w:pPr>
        <w:pStyle w:val="Bullet"/>
      </w:pPr>
      <w:r>
        <w:t>2 were declined.</w:t>
      </w:r>
    </w:p>
    <w:p w14:paraId="37C0313A" w14:textId="77777777" w:rsidR="00EB2BFD" w:rsidRPr="007332AE" w:rsidRDefault="00EB2BFD" w:rsidP="00EB2BFD">
      <w:pPr>
        <w:rPr>
          <w:rFonts w:eastAsia="Calibri"/>
          <w:lang w:eastAsia="en-US"/>
        </w:rPr>
      </w:pPr>
    </w:p>
    <w:p w14:paraId="632D4853" w14:textId="77777777" w:rsidR="00EB2BFD" w:rsidRDefault="00EB2BFD" w:rsidP="00EB2BFD">
      <w:pPr>
        <w:rPr>
          <w:rFonts w:eastAsia="Calibri"/>
          <w:lang w:eastAsia="en-US"/>
        </w:rPr>
      </w:pPr>
      <w:r w:rsidRPr="007332AE">
        <w:rPr>
          <w:rFonts w:eastAsia="Calibri"/>
          <w:lang w:eastAsia="en-US"/>
        </w:rPr>
        <w:t xml:space="preserve">The details of these decisions will be set out in ECART’s </w:t>
      </w:r>
      <w:r>
        <w:rPr>
          <w:rFonts w:eastAsia="Calibri"/>
          <w:lang w:eastAsia="en-US"/>
        </w:rPr>
        <w:t>annual report for 2020/21.</w:t>
      </w:r>
    </w:p>
    <w:p w14:paraId="07FBB951" w14:textId="77777777" w:rsidR="00B5558C" w:rsidRDefault="00B5558C" w:rsidP="009026D8">
      <w:pPr>
        <w:rPr>
          <w:rFonts w:eastAsia="Calibri"/>
          <w:lang w:eastAsia="en-US"/>
        </w:rPr>
      </w:pPr>
    </w:p>
    <w:p w14:paraId="5F0109CD" w14:textId="77777777" w:rsidR="003474CE" w:rsidRDefault="003474CE" w:rsidP="009026D8">
      <w:pPr>
        <w:rPr>
          <w:rFonts w:eastAsia="Calibri"/>
          <w:lang w:eastAsia="en-US"/>
        </w:rPr>
        <w:sectPr w:rsidR="003474CE" w:rsidSect="00CE0802">
          <w:footerReference w:type="first" r:id="rId28"/>
          <w:pgSz w:w="11907" w:h="16834" w:code="9"/>
          <w:pgMar w:top="1701" w:right="1418" w:bottom="1701" w:left="1701" w:header="0" w:footer="425" w:gutter="0"/>
          <w:cols w:space="720"/>
          <w:titlePg/>
        </w:sectPr>
      </w:pPr>
    </w:p>
    <w:p w14:paraId="45E1F236" w14:textId="77777777" w:rsidR="003474CE" w:rsidRDefault="003474CE" w:rsidP="003C648C">
      <w:pPr>
        <w:pStyle w:val="Heading1"/>
        <w:rPr>
          <w:rFonts w:eastAsia="Calibri"/>
          <w:lang w:eastAsia="en-US"/>
        </w:rPr>
      </w:pPr>
      <w:bookmarkStart w:id="70" w:name="_Toc135719889"/>
      <w:r>
        <w:rPr>
          <w:rFonts w:eastAsia="Calibri"/>
          <w:lang w:eastAsia="en-US"/>
        </w:rPr>
        <w:lastRenderedPageBreak/>
        <w:t>Governance</w:t>
      </w:r>
      <w:bookmarkEnd w:id="70"/>
    </w:p>
    <w:p w14:paraId="7C0DA37D" w14:textId="77777777" w:rsidR="00EB2BFD" w:rsidRDefault="00EB2BFD" w:rsidP="00EB2BFD">
      <w:pPr>
        <w:pStyle w:val="Heading2"/>
        <w:rPr>
          <w:rFonts w:eastAsia="Calibri"/>
          <w:lang w:eastAsia="en-US"/>
        </w:rPr>
      </w:pPr>
      <w:bookmarkStart w:id="71" w:name="_Toc493926792"/>
      <w:bookmarkStart w:id="72" w:name="_Toc125982807"/>
      <w:bookmarkStart w:id="73" w:name="_Toc135719890"/>
      <w:r>
        <w:rPr>
          <w:rFonts w:eastAsia="Calibri"/>
          <w:lang w:eastAsia="en-US"/>
        </w:rPr>
        <w:t>Chair and Deputy Chair</w:t>
      </w:r>
      <w:bookmarkEnd w:id="71"/>
      <w:bookmarkEnd w:id="72"/>
      <w:bookmarkEnd w:id="73"/>
    </w:p>
    <w:p w14:paraId="3245E02E" w14:textId="77777777" w:rsidR="00EB2BFD" w:rsidRDefault="00EB2BFD" w:rsidP="00EB2BFD">
      <w:pPr>
        <w:pStyle w:val="Heading3"/>
        <w:rPr>
          <w:rFonts w:eastAsia="Calibri"/>
          <w:lang w:eastAsia="en-US"/>
        </w:rPr>
      </w:pPr>
      <w:r>
        <w:rPr>
          <w:rFonts w:eastAsia="Calibri"/>
          <w:lang w:eastAsia="en-US"/>
        </w:rPr>
        <w:t>Current Chair</w:t>
      </w:r>
    </w:p>
    <w:p w14:paraId="3DB62299" w14:textId="77777777" w:rsidR="00EB2BFD" w:rsidRDefault="00EB2BFD" w:rsidP="00EB2BFD">
      <w:pPr>
        <w:rPr>
          <w:rFonts w:eastAsia="Calibri"/>
          <w:lang w:eastAsia="en-US"/>
        </w:rPr>
      </w:pPr>
      <w:r w:rsidRPr="001E688B">
        <w:rPr>
          <w:rFonts w:eastAsia="Calibri"/>
          <w:lang w:eastAsia="en-US"/>
        </w:rPr>
        <w:t>Kathleen Logan had originally been appointed to ACART on 1 April 2015 for a three-year term. Kathleen was subsequently re-appointed for a second term, then appointed as Chair for the term starting 31 May 2019</w:t>
      </w:r>
      <w:r>
        <w:rPr>
          <w:rFonts w:eastAsia="Calibri"/>
          <w:lang w:eastAsia="en-US"/>
        </w:rPr>
        <w:t>.</w:t>
      </w:r>
    </w:p>
    <w:p w14:paraId="0F5A11EA" w14:textId="77777777" w:rsidR="00EB2BFD" w:rsidRDefault="00EB2BFD" w:rsidP="00EB2BFD">
      <w:pPr>
        <w:rPr>
          <w:rFonts w:eastAsia="Calibri"/>
          <w:lang w:eastAsia="en-US"/>
        </w:rPr>
      </w:pPr>
    </w:p>
    <w:p w14:paraId="0D6DF8AE" w14:textId="77777777" w:rsidR="00EB2BFD" w:rsidRDefault="00EB2BFD" w:rsidP="00EB2BFD">
      <w:pPr>
        <w:pStyle w:val="Heading3"/>
        <w:rPr>
          <w:rFonts w:eastAsia="Calibri"/>
          <w:lang w:eastAsia="en-US"/>
        </w:rPr>
      </w:pPr>
      <w:r>
        <w:rPr>
          <w:rFonts w:eastAsia="Calibri"/>
          <w:lang w:eastAsia="en-US"/>
        </w:rPr>
        <w:t>Deputy Chair</w:t>
      </w:r>
    </w:p>
    <w:p w14:paraId="4EE9E74E" w14:textId="77777777" w:rsidR="00EB2BFD" w:rsidRDefault="00EB2BFD" w:rsidP="00EB2BFD">
      <w:pPr>
        <w:rPr>
          <w:rFonts w:eastAsia="Calibri"/>
          <w:lang w:eastAsia="en-US"/>
        </w:rPr>
      </w:pPr>
      <w:r>
        <w:rPr>
          <w:rFonts w:eastAsia="Calibri"/>
          <w:lang w:eastAsia="en-US"/>
        </w:rPr>
        <w:t xml:space="preserve">Calum Barrett has formally served as Deputy Chair since April </w:t>
      </w:r>
      <w:r w:rsidRPr="00924761">
        <w:rPr>
          <w:rFonts w:eastAsia="Calibri"/>
          <w:lang w:eastAsia="en-US"/>
        </w:rPr>
        <w:t>20</w:t>
      </w:r>
      <w:r>
        <w:rPr>
          <w:rFonts w:eastAsia="Calibri"/>
          <w:lang w:eastAsia="en-US"/>
        </w:rPr>
        <w:t>21</w:t>
      </w:r>
      <w:r w:rsidRPr="00924761">
        <w:rPr>
          <w:rFonts w:eastAsia="Calibri"/>
          <w:lang w:eastAsia="en-US"/>
        </w:rPr>
        <w:t>.</w:t>
      </w:r>
    </w:p>
    <w:p w14:paraId="7E5B68BC" w14:textId="77777777" w:rsidR="00EB2BFD" w:rsidRDefault="00EB2BFD" w:rsidP="00EB2BFD">
      <w:pPr>
        <w:rPr>
          <w:rFonts w:eastAsia="Calibri"/>
          <w:lang w:eastAsia="en-US"/>
        </w:rPr>
      </w:pPr>
    </w:p>
    <w:p w14:paraId="13CDE67E" w14:textId="77777777" w:rsidR="00EB2BFD" w:rsidRPr="00D95588" w:rsidRDefault="00EB2BFD" w:rsidP="00EB2BFD">
      <w:pPr>
        <w:pStyle w:val="Heading2"/>
        <w:rPr>
          <w:rFonts w:eastAsia="Calibri"/>
          <w:lang w:eastAsia="en-US"/>
        </w:rPr>
      </w:pPr>
      <w:bookmarkStart w:id="74" w:name="_Toc493926793"/>
      <w:bookmarkStart w:id="75" w:name="_Toc529455566"/>
      <w:bookmarkStart w:id="76" w:name="_Toc67314711"/>
      <w:bookmarkStart w:id="77" w:name="_Toc125982808"/>
      <w:bookmarkStart w:id="78" w:name="_Toc135719891"/>
      <w:r w:rsidRPr="00A62E71">
        <w:rPr>
          <w:rFonts w:eastAsia="Calibri"/>
          <w:lang w:eastAsia="en-US"/>
        </w:rPr>
        <w:t>Contact with the Minister of Health</w:t>
      </w:r>
      <w:bookmarkEnd w:id="74"/>
      <w:bookmarkEnd w:id="75"/>
      <w:bookmarkEnd w:id="76"/>
      <w:bookmarkEnd w:id="77"/>
      <w:bookmarkEnd w:id="78"/>
    </w:p>
    <w:p w14:paraId="5D101C5B" w14:textId="77777777" w:rsidR="00EB2BFD" w:rsidRPr="00787992" w:rsidRDefault="00EB2BFD" w:rsidP="00EB2BFD">
      <w:pPr>
        <w:rPr>
          <w:rFonts w:eastAsia="Calibri"/>
          <w:lang w:eastAsia="en-US"/>
        </w:rPr>
      </w:pPr>
      <w:r>
        <w:rPr>
          <w:rFonts w:eastAsia="Calibri"/>
          <w:lang w:eastAsia="en-US"/>
        </w:rPr>
        <w:t>Kathleen Logan</w:t>
      </w:r>
      <w:r w:rsidRPr="00924761">
        <w:rPr>
          <w:rFonts w:eastAsia="Calibri"/>
          <w:lang w:eastAsia="en-US"/>
        </w:rPr>
        <w:t xml:space="preserve"> met the </w:t>
      </w:r>
      <w:r>
        <w:rPr>
          <w:rFonts w:eastAsia="Calibri"/>
          <w:lang w:eastAsia="en-US"/>
        </w:rPr>
        <w:t xml:space="preserve">Associate </w:t>
      </w:r>
      <w:r w:rsidRPr="00924761">
        <w:rPr>
          <w:rFonts w:eastAsia="Calibri"/>
          <w:lang w:eastAsia="en-US"/>
        </w:rPr>
        <w:t>Minister</w:t>
      </w:r>
      <w:r>
        <w:rPr>
          <w:rFonts w:eastAsia="Calibri"/>
          <w:lang w:eastAsia="en-US"/>
        </w:rPr>
        <w:t xml:space="preserve"> of Health</w:t>
      </w:r>
      <w:r w:rsidRPr="00924761">
        <w:rPr>
          <w:rFonts w:eastAsia="Calibri"/>
          <w:lang w:eastAsia="en-US"/>
        </w:rPr>
        <w:t xml:space="preserve">, </w:t>
      </w:r>
      <w:r>
        <w:rPr>
          <w:rFonts w:eastAsia="Calibri"/>
          <w:lang w:eastAsia="en-US"/>
        </w:rPr>
        <w:t>Hon Andrew Little on 3 March 2021 to update the Minister on ACART’s work programme and agree on new items of work.</w:t>
      </w:r>
    </w:p>
    <w:p w14:paraId="76F3E1AA" w14:textId="77777777" w:rsidR="00787992" w:rsidRPr="00787992" w:rsidRDefault="00787992" w:rsidP="007B4D88">
      <w:pPr>
        <w:rPr>
          <w:rFonts w:eastAsia="Calibri"/>
          <w:lang w:eastAsia="en-US"/>
        </w:rPr>
      </w:pPr>
    </w:p>
    <w:p w14:paraId="05252B20" w14:textId="77777777" w:rsidR="003474CE" w:rsidRPr="00096277" w:rsidRDefault="003474CE" w:rsidP="009026D8">
      <w:pPr>
        <w:rPr>
          <w:rFonts w:eastAsia="Calibri"/>
          <w:lang w:eastAsia="en-US"/>
        </w:rPr>
      </w:pPr>
    </w:p>
    <w:p w14:paraId="7DF4218B" w14:textId="77777777" w:rsidR="006C2B40" w:rsidRDefault="006C2B40" w:rsidP="006C2B40">
      <w:pPr>
        <w:pStyle w:val="Heading1"/>
        <w:sectPr w:rsidR="006C2B40" w:rsidSect="00CE0802">
          <w:footerReference w:type="first" r:id="rId29"/>
          <w:pgSz w:w="11907" w:h="16834" w:code="9"/>
          <w:pgMar w:top="1701" w:right="1418" w:bottom="1701" w:left="1701" w:header="0" w:footer="425" w:gutter="0"/>
          <w:cols w:space="720"/>
          <w:titlePg/>
        </w:sectPr>
      </w:pPr>
      <w:bookmarkStart w:id="79" w:name="_Toc272911757"/>
    </w:p>
    <w:p w14:paraId="19B7D72C" w14:textId="77777777" w:rsidR="00096277" w:rsidRDefault="008569C6" w:rsidP="00EB2BFD">
      <w:pPr>
        <w:pStyle w:val="Heading1"/>
        <w:spacing w:after="480"/>
      </w:pPr>
      <w:bookmarkStart w:id="80" w:name="_Toc135719892"/>
      <w:r w:rsidRPr="006A4FE5">
        <w:lastRenderedPageBreak/>
        <w:t>Appendix</w:t>
      </w:r>
      <w:r>
        <w:t xml:space="preserve"> 1: </w:t>
      </w:r>
      <w:r w:rsidRPr="00D522BE">
        <w:t xml:space="preserve">ACART </w:t>
      </w:r>
      <w:r w:rsidR="006A4FE5">
        <w:t>m</w:t>
      </w:r>
      <w:r w:rsidRPr="00D522BE">
        <w:t>embership</w:t>
      </w:r>
      <w:bookmarkEnd w:id="64"/>
      <w:bookmarkEnd w:id="65"/>
      <w:bookmarkEnd w:id="66"/>
      <w:bookmarkEnd w:id="67"/>
      <w:bookmarkEnd w:id="68"/>
      <w:bookmarkEnd w:id="79"/>
      <w:bookmarkEnd w:id="80"/>
    </w:p>
    <w:p w14:paraId="3CC66842" w14:textId="77777777" w:rsidR="00787992" w:rsidRDefault="00787992" w:rsidP="00787992">
      <w:pPr>
        <w:pStyle w:val="Heading2"/>
      </w:pPr>
      <w:bookmarkStart w:id="81" w:name="_Toc338072580"/>
      <w:bookmarkStart w:id="82" w:name="_Toc370463154"/>
      <w:bookmarkStart w:id="83" w:name="_Toc493926795"/>
      <w:bookmarkStart w:id="84" w:name="_Toc135719893"/>
      <w:bookmarkStart w:id="85" w:name="_Toc272911760"/>
      <w:bookmarkStart w:id="86" w:name="_Toc178338239"/>
      <w:bookmarkStart w:id="87" w:name="_Toc206837342"/>
      <w:bookmarkStart w:id="88" w:name="_Toc210011742"/>
      <w:bookmarkStart w:id="89" w:name="_Toc210461521"/>
      <w:bookmarkStart w:id="90" w:name="_Toc210466514"/>
      <w:r w:rsidRPr="00933F2F">
        <w:t xml:space="preserve">ACART </w:t>
      </w:r>
      <w:r>
        <w:t>m</w:t>
      </w:r>
      <w:r w:rsidRPr="00933F2F">
        <w:t>embers</w:t>
      </w:r>
      <w:bookmarkEnd w:id="81"/>
      <w:bookmarkEnd w:id="82"/>
      <w:r>
        <w:t xml:space="preserve"> in the period</w:t>
      </w:r>
      <w:bookmarkEnd w:id="83"/>
      <w:bookmarkEnd w:id="84"/>
    </w:p>
    <w:p w14:paraId="28035668" w14:textId="77777777" w:rsidR="00EB2BFD" w:rsidRDefault="00EB2BFD" w:rsidP="00EB2BFD">
      <w:pPr>
        <w:spacing w:before="30"/>
      </w:pPr>
      <w:r w:rsidRPr="00924761">
        <w:t>Dr Kathleen Logan</w:t>
      </w:r>
      <w:r>
        <w:t xml:space="preserve"> – Chair from 31 May 2019</w:t>
      </w:r>
    </w:p>
    <w:p w14:paraId="23169C3D" w14:textId="77777777" w:rsidR="00EB2BFD" w:rsidRPr="00924761" w:rsidRDefault="00EB2BFD" w:rsidP="00EB2BFD">
      <w:pPr>
        <w:spacing w:before="30"/>
      </w:pPr>
      <w:r w:rsidRPr="00263D68">
        <w:t>Calum Barrett</w:t>
      </w:r>
      <w:r>
        <w:t xml:space="preserve"> – Deputy </w:t>
      </w:r>
      <w:r w:rsidRPr="00924761">
        <w:t xml:space="preserve">Chair from </w:t>
      </w:r>
      <w:r>
        <w:t>April</w:t>
      </w:r>
      <w:r w:rsidRPr="00924761">
        <w:t xml:space="preserve"> 20</w:t>
      </w:r>
      <w:r>
        <w:t>21</w:t>
      </w:r>
    </w:p>
    <w:p w14:paraId="35749C70" w14:textId="77777777" w:rsidR="00EB2BFD" w:rsidRDefault="00EB2BFD" w:rsidP="00EB2BFD">
      <w:pPr>
        <w:spacing w:before="30"/>
      </w:pPr>
      <w:r>
        <w:t xml:space="preserve">Dr Karaitiana </w:t>
      </w:r>
      <w:proofErr w:type="spellStart"/>
      <w:r>
        <w:t>Taiuru</w:t>
      </w:r>
      <w:proofErr w:type="spellEnd"/>
    </w:p>
    <w:p w14:paraId="55A24B14" w14:textId="77777777" w:rsidR="00EB2BFD" w:rsidRDefault="00EB2BFD" w:rsidP="00EB2BFD">
      <w:pPr>
        <w:spacing w:before="30"/>
      </w:pPr>
      <w:r w:rsidRPr="00654A9C">
        <w:t>Colin Gavaghan</w:t>
      </w:r>
    </w:p>
    <w:p w14:paraId="4E2728AA" w14:textId="77777777" w:rsidR="00EB2BFD" w:rsidRPr="0025429B" w:rsidRDefault="00EB2BFD" w:rsidP="00EB2BFD">
      <w:pPr>
        <w:spacing w:before="30"/>
      </w:pPr>
      <w:r>
        <w:t>Seth Fraser</w:t>
      </w:r>
    </w:p>
    <w:p w14:paraId="4F4FD8E6" w14:textId="77777777" w:rsidR="00EB2BFD" w:rsidRDefault="00EB2BFD" w:rsidP="00EB2BFD">
      <w:pPr>
        <w:spacing w:before="30"/>
      </w:pPr>
      <w:r w:rsidRPr="00924761">
        <w:t>Dr Karen Reader</w:t>
      </w:r>
    </w:p>
    <w:p w14:paraId="4540D2E9" w14:textId="77777777" w:rsidR="00EB2BFD" w:rsidRDefault="00EB2BFD" w:rsidP="00EB2BFD">
      <w:pPr>
        <w:spacing w:before="30"/>
      </w:pPr>
      <w:r>
        <w:t>Catherine Ryan</w:t>
      </w:r>
    </w:p>
    <w:p w14:paraId="62E808F0" w14:textId="77777777" w:rsidR="00EB2BFD" w:rsidRDefault="00EB2BFD" w:rsidP="00EB2BFD">
      <w:pPr>
        <w:spacing w:before="30"/>
      </w:pPr>
      <w:r>
        <w:t>Dr Sarah Wakeman</w:t>
      </w:r>
    </w:p>
    <w:p w14:paraId="7AABC649" w14:textId="77777777" w:rsidR="00EB2BFD" w:rsidRDefault="00EB2BFD" w:rsidP="00EB2BFD">
      <w:pPr>
        <w:spacing w:before="30"/>
      </w:pPr>
      <w:r>
        <w:t xml:space="preserve">Dr </w:t>
      </w:r>
      <w:r w:rsidRPr="0058648B">
        <w:t>Analosa Veukiso-Ulugia</w:t>
      </w:r>
    </w:p>
    <w:p w14:paraId="2AE2DC53" w14:textId="77777777" w:rsidR="00EB2BFD" w:rsidRDefault="00EB2BFD" w:rsidP="00EB2BFD">
      <w:pPr>
        <w:spacing w:before="30"/>
      </w:pPr>
      <w:r w:rsidRPr="003C21B1">
        <w:t>Jonathan Darby</w:t>
      </w:r>
    </w:p>
    <w:p w14:paraId="5C2B3517" w14:textId="77777777" w:rsidR="00EB2BFD" w:rsidRPr="000069C8" w:rsidRDefault="00EB2BFD" w:rsidP="00EB2BFD">
      <w:r w:rsidRPr="003C21B1">
        <w:t>Sue McKenzie</w:t>
      </w:r>
    </w:p>
    <w:p w14:paraId="00A0A480" w14:textId="018A8825" w:rsidR="00EB2BFD" w:rsidRDefault="00EB2BFD" w:rsidP="00EB2BFD">
      <w:pPr>
        <w:spacing w:before="30"/>
      </w:pPr>
      <w:r w:rsidRPr="00654A9C">
        <w:t>Rosemary De Luca</w:t>
      </w:r>
    </w:p>
    <w:p w14:paraId="3A95926D" w14:textId="77777777" w:rsidR="00EB2BFD" w:rsidRDefault="00EB2BFD" w:rsidP="00EB2BFD">
      <w:pPr>
        <w:spacing w:before="30"/>
      </w:pPr>
    </w:p>
    <w:p w14:paraId="7A25AB61" w14:textId="77777777" w:rsidR="00E81585" w:rsidRPr="00B90E91" w:rsidRDefault="00E81585" w:rsidP="007B4D88">
      <w:pPr>
        <w:pStyle w:val="Heading2"/>
      </w:pPr>
      <w:bookmarkStart w:id="91" w:name="_Toc338072581"/>
      <w:bookmarkStart w:id="92" w:name="_Toc493926796"/>
      <w:bookmarkStart w:id="93" w:name="_Toc529455569"/>
      <w:bookmarkStart w:id="94" w:name="_Toc67314714"/>
      <w:bookmarkStart w:id="95" w:name="_Toc135719894"/>
      <w:r w:rsidRPr="00B90E91">
        <w:t>Secretariat</w:t>
      </w:r>
      <w:r>
        <w:t xml:space="preserve"> staff</w:t>
      </w:r>
      <w:r w:rsidRPr="00B90E91">
        <w:t xml:space="preserve"> members</w:t>
      </w:r>
      <w:bookmarkEnd w:id="91"/>
      <w:bookmarkEnd w:id="92"/>
      <w:bookmarkEnd w:id="93"/>
      <w:bookmarkEnd w:id="94"/>
      <w:bookmarkEnd w:id="95"/>
    </w:p>
    <w:p w14:paraId="62409A18" w14:textId="77777777" w:rsidR="00EB2BFD" w:rsidRDefault="00EB2BFD" w:rsidP="00EB2BFD">
      <w:bookmarkStart w:id="96" w:name="_Toc244685352"/>
      <w:bookmarkStart w:id="97" w:name="_Toc272911759"/>
      <w:bookmarkStart w:id="98" w:name="_Toc304292515"/>
      <w:r>
        <w:t>Martin Kennedy, Senior Policy Analyst</w:t>
      </w:r>
    </w:p>
    <w:p w14:paraId="6364684D" w14:textId="77777777" w:rsidR="00EB2BFD" w:rsidRDefault="00EB2BFD" w:rsidP="00EB2BFD">
      <w:pPr>
        <w:spacing w:before="30"/>
      </w:pPr>
      <w:r>
        <w:t>Zoe Benge, Assistant Advisor</w:t>
      </w:r>
    </w:p>
    <w:p w14:paraId="1E024D28" w14:textId="77777777" w:rsidR="00EB2BFD" w:rsidRDefault="00EB2BFD" w:rsidP="00EB2BFD">
      <w:pPr>
        <w:spacing w:before="30"/>
      </w:pPr>
      <w:r>
        <w:t>Mirae Wilson, Advisor</w:t>
      </w:r>
    </w:p>
    <w:p w14:paraId="733151D7" w14:textId="77777777" w:rsidR="00E81585" w:rsidRDefault="00E81585" w:rsidP="007B4D88"/>
    <w:p w14:paraId="461DA72E" w14:textId="77777777" w:rsidR="00E81585" w:rsidRPr="005C40E4" w:rsidRDefault="00E81585" w:rsidP="007B4D88">
      <w:pPr>
        <w:pStyle w:val="Heading2"/>
        <w:rPr>
          <w:b/>
        </w:rPr>
      </w:pPr>
      <w:bookmarkStart w:id="99" w:name="_Toc338072582"/>
      <w:bookmarkStart w:id="100" w:name="_Toc370463155"/>
      <w:bookmarkStart w:id="101" w:name="_Toc493926797"/>
      <w:bookmarkStart w:id="102" w:name="_Toc529455570"/>
      <w:bookmarkStart w:id="103" w:name="_Toc67314715"/>
      <w:bookmarkStart w:id="104" w:name="_Toc135719895"/>
      <w:r w:rsidRPr="005C40E4">
        <w:t>Biographies of ACART member</w:t>
      </w:r>
      <w:bookmarkEnd w:id="96"/>
      <w:bookmarkEnd w:id="97"/>
      <w:bookmarkEnd w:id="98"/>
      <w:bookmarkEnd w:id="99"/>
      <w:bookmarkEnd w:id="100"/>
      <w:r w:rsidRPr="005C40E4">
        <w:t>s</w:t>
      </w:r>
      <w:bookmarkEnd w:id="101"/>
      <w:bookmarkEnd w:id="102"/>
      <w:bookmarkEnd w:id="103"/>
      <w:bookmarkEnd w:id="104"/>
    </w:p>
    <w:p w14:paraId="7AA37622" w14:textId="0DF42B0A" w:rsidR="00E81585" w:rsidRPr="006C3777" w:rsidRDefault="00E81585" w:rsidP="007B4D88">
      <w:pPr>
        <w:pStyle w:val="Heading3"/>
      </w:pPr>
      <w:r>
        <w:t>M</w:t>
      </w:r>
      <w:r w:rsidRPr="006C3777">
        <w:t>embers</w:t>
      </w:r>
      <w:r>
        <w:t xml:space="preserve"> during </w:t>
      </w:r>
      <w:r w:rsidR="00EB2BFD">
        <w:t>2020/21</w:t>
      </w:r>
    </w:p>
    <w:p w14:paraId="43A56B2E" w14:textId="274152FE" w:rsidR="00EB2BFD" w:rsidRDefault="00EB2BFD" w:rsidP="00EB2BFD">
      <w:pPr>
        <w:pStyle w:val="Heading5"/>
        <w:spacing w:before="240"/>
        <w:rPr>
          <w:b/>
          <w:i w:val="0"/>
          <w:lang w:eastAsia="en-NZ"/>
        </w:rPr>
      </w:pPr>
      <w:r w:rsidRPr="00EB2BFD">
        <w:rPr>
          <w:b/>
          <w:i w:val="0"/>
          <w:lang w:eastAsia="en-NZ"/>
        </w:rPr>
        <w:t>Dr Kathleen Logan (Chair)</w:t>
      </w:r>
    </w:p>
    <w:p w14:paraId="2478035D" w14:textId="71C4BF00" w:rsidR="00E81585" w:rsidRPr="007C2616" w:rsidRDefault="00E81585" w:rsidP="007B4D88">
      <w:pPr>
        <w:pStyle w:val="Heading5"/>
        <w:rPr>
          <w:lang w:eastAsia="en-NZ"/>
        </w:rPr>
      </w:pPr>
      <w:r w:rsidRPr="007C2616">
        <w:rPr>
          <w:lang w:eastAsia="en-NZ"/>
        </w:rPr>
        <w:t xml:space="preserve">Membership role: </w:t>
      </w:r>
      <w:r w:rsidR="00EB2BFD" w:rsidRPr="57BD5007">
        <w:rPr>
          <w:lang w:eastAsia="en-NZ"/>
        </w:rPr>
        <w:t>Ability to articulate the interests of children</w:t>
      </w:r>
    </w:p>
    <w:p w14:paraId="34C6D8A5" w14:textId="4F0BA735" w:rsidR="00EB2BFD" w:rsidRDefault="00EB2BFD" w:rsidP="00B514A6">
      <w:pPr>
        <w:rPr>
          <w:lang w:eastAsia="en-NZ"/>
        </w:rPr>
      </w:pPr>
      <w:r w:rsidRPr="57BD5007">
        <w:rPr>
          <w:lang w:eastAsia="en-NZ"/>
        </w:rPr>
        <w:t>Kathleen was originally appointed to ACART in April 2015 and was reappointed for a further three years in August 2018.</w:t>
      </w:r>
    </w:p>
    <w:p w14:paraId="0D1A75CC" w14:textId="77777777" w:rsidR="00B514A6" w:rsidRDefault="00B514A6" w:rsidP="00B514A6">
      <w:pPr>
        <w:rPr>
          <w:lang w:eastAsia="en-NZ"/>
        </w:rPr>
      </w:pPr>
    </w:p>
    <w:p w14:paraId="4B720E7A" w14:textId="4B25C8E8" w:rsidR="00EB2BFD" w:rsidRDefault="00EB2BFD" w:rsidP="00B514A6">
      <w:pPr>
        <w:rPr>
          <w:lang w:eastAsia="en-NZ"/>
        </w:rPr>
      </w:pPr>
      <w:r w:rsidRPr="57BD5007">
        <w:rPr>
          <w:lang w:eastAsia="en-NZ"/>
        </w:rPr>
        <w:t>Kathleen works for the Children's Commissioner, Judge Andrew Becroft, and advocates for the rights and wellbeing of all children in New Zealand. Kathleen joined the Office of the Children's Commissioner in 2013.</w:t>
      </w:r>
    </w:p>
    <w:p w14:paraId="03995629" w14:textId="77777777" w:rsidR="00B514A6" w:rsidRDefault="00B514A6" w:rsidP="00B514A6">
      <w:pPr>
        <w:rPr>
          <w:lang w:eastAsia="en-NZ"/>
        </w:rPr>
      </w:pPr>
    </w:p>
    <w:p w14:paraId="71A244AB" w14:textId="77777777" w:rsidR="00EB2BFD" w:rsidRDefault="00EB2BFD" w:rsidP="00B514A6">
      <w:pPr>
        <w:rPr>
          <w:lang w:eastAsia="en-NZ"/>
        </w:rPr>
      </w:pPr>
      <w:r w:rsidRPr="57BD5007">
        <w:rPr>
          <w:lang w:eastAsia="en-NZ"/>
        </w:rPr>
        <w:t>In the past, Kathleen had a 13-year research career in human and animal reproduction and genetics, graduating in 1998 from Newcastle University Medical School (UK) with a PhD in reproductive physiology. Subsequently, she was a policy analyst in science research and investment for the Royal Society of New Zealand and then a science strategy advisor for the New Zealand government.</w:t>
      </w:r>
    </w:p>
    <w:p w14:paraId="793158F7" w14:textId="525F5DE2" w:rsidR="00EB2BFD" w:rsidRDefault="00EB2BFD" w:rsidP="00EB2BFD">
      <w:pPr>
        <w:spacing w:before="120" w:after="120" w:line="276" w:lineRule="auto"/>
        <w:rPr>
          <w:lang w:eastAsia="en-NZ"/>
        </w:rPr>
      </w:pPr>
      <w:r w:rsidRPr="57BD5007">
        <w:rPr>
          <w:lang w:eastAsia="en-NZ"/>
        </w:rPr>
        <w:lastRenderedPageBreak/>
        <w:t>Kathleen lives in Wellington with her husband and two teenage children.</w:t>
      </w:r>
    </w:p>
    <w:p w14:paraId="2FA1915A" w14:textId="77777777" w:rsidR="00EB2BFD" w:rsidRDefault="00EB2BFD" w:rsidP="00EB2BFD">
      <w:pPr>
        <w:spacing w:before="120" w:after="120" w:line="276" w:lineRule="auto"/>
        <w:rPr>
          <w:rFonts w:eastAsia="Calibri"/>
          <w:lang w:eastAsia="en-US"/>
        </w:rPr>
      </w:pPr>
    </w:p>
    <w:p w14:paraId="61D78263" w14:textId="77777777" w:rsidR="00EB2BFD" w:rsidRPr="00EB2BFD" w:rsidRDefault="00EB2BFD" w:rsidP="00EB2BFD">
      <w:pPr>
        <w:pStyle w:val="Heading5"/>
        <w:spacing w:before="240"/>
        <w:rPr>
          <w:b/>
          <w:i w:val="0"/>
          <w:lang w:eastAsia="en-NZ"/>
        </w:rPr>
      </w:pPr>
      <w:r w:rsidRPr="00EB2BFD">
        <w:rPr>
          <w:b/>
          <w:i w:val="0"/>
          <w:lang w:eastAsia="en-NZ"/>
        </w:rPr>
        <w:t>Calum Barrett (Deputy Chair)</w:t>
      </w:r>
    </w:p>
    <w:p w14:paraId="23B1F532" w14:textId="77777777" w:rsidR="00EB2BFD" w:rsidRPr="007C2616" w:rsidRDefault="00EB2BFD" w:rsidP="00EB2BFD">
      <w:pPr>
        <w:pStyle w:val="Heading5"/>
        <w:spacing w:line="276" w:lineRule="auto"/>
        <w:jc w:val="both"/>
        <w:rPr>
          <w:lang w:eastAsia="en-NZ"/>
        </w:rPr>
      </w:pPr>
      <w:r w:rsidRPr="57BD5007">
        <w:rPr>
          <w:lang w:eastAsia="en-NZ"/>
        </w:rPr>
        <w:t>Membership role: Ability to articulate issues from a consumer perspective</w:t>
      </w:r>
    </w:p>
    <w:p w14:paraId="7D1841D9" w14:textId="439BD5EC" w:rsidR="00EB2BFD" w:rsidRDefault="00EB2BFD" w:rsidP="00EB2BFD">
      <w:pPr>
        <w:rPr>
          <w:lang w:eastAsia="en-NZ"/>
        </w:rPr>
      </w:pPr>
      <w:r w:rsidRPr="57BD5007">
        <w:rPr>
          <w:lang w:eastAsia="en-NZ"/>
        </w:rPr>
        <w:t>Calum Barrett was appointed to ACART for a period of three years beginning on 31 May 2019.</w:t>
      </w:r>
    </w:p>
    <w:p w14:paraId="4C6AA23D" w14:textId="77777777" w:rsidR="00EB2BFD" w:rsidRDefault="00EB2BFD" w:rsidP="00EB2BFD">
      <w:pPr>
        <w:rPr>
          <w:lang w:eastAsia="en-NZ"/>
        </w:rPr>
      </w:pPr>
    </w:p>
    <w:p w14:paraId="26A31500" w14:textId="31DEE064" w:rsidR="00EB2BFD" w:rsidRDefault="00EB2BFD" w:rsidP="00EB2BFD">
      <w:pPr>
        <w:rPr>
          <w:lang w:eastAsia="en-NZ"/>
        </w:rPr>
      </w:pPr>
      <w:r w:rsidRPr="57BD5007">
        <w:rPr>
          <w:lang w:eastAsia="en-NZ"/>
        </w:rPr>
        <w:t>Calum currently works for the Tertiary Education Commission, having previously worked in policy roles with the Royal Australasian College of Surgeons and New Zealand Police.</w:t>
      </w:r>
    </w:p>
    <w:p w14:paraId="4E533B30" w14:textId="77777777" w:rsidR="00EB2BFD" w:rsidRDefault="00EB2BFD" w:rsidP="00EB2BFD">
      <w:pPr>
        <w:rPr>
          <w:lang w:eastAsia="en-NZ"/>
        </w:rPr>
      </w:pPr>
    </w:p>
    <w:p w14:paraId="59695B85" w14:textId="6A1278A0" w:rsidR="00EB2BFD" w:rsidRDefault="00EB2BFD" w:rsidP="00EB2BFD">
      <w:pPr>
        <w:rPr>
          <w:lang w:eastAsia="en-NZ"/>
        </w:rPr>
      </w:pPr>
      <w:r w:rsidRPr="57BD5007">
        <w:rPr>
          <w:lang w:eastAsia="en-NZ"/>
        </w:rPr>
        <w:t>He holds a Bachelor of Laws (2011), a Bachelor of Arts (2013), and a Masters in Bioethics and Health Law awarded with Distinction (2015), the dissertation of which proposed ACART guidelines for the regulation of Mitochondrial Replacement Therapy in New Zealand.</w:t>
      </w:r>
    </w:p>
    <w:p w14:paraId="61AA8A4F" w14:textId="77777777" w:rsidR="00EB2BFD" w:rsidRDefault="00EB2BFD" w:rsidP="00EB2BFD">
      <w:pPr>
        <w:rPr>
          <w:lang w:eastAsia="en-NZ"/>
        </w:rPr>
      </w:pPr>
    </w:p>
    <w:p w14:paraId="39E8D1D6" w14:textId="6451F2E6" w:rsidR="00EB2BFD" w:rsidRDefault="00EB2BFD" w:rsidP="00EB2BFD">
      <w:pPr>
        <w:rPr>
          <w:lang w:eastAsia="en-NZ"/>
        </w:rPr>
      </w:pPr>
      <w:r w:rsidRPr="57BD5007">
        <w:rPr>
          <w:lang w:eastAsia="en-NZ"/>
        </w:rPr>
        <w:t>Calum lives in Wellington with his wife and two young children.</w:t>
      </w:r>
    </w:p>
    <w:p w14:paraId="36E04D27" w14:textId="77777777" w:rsidR="00EB2BFD" w:rsidRDefault="00EB2BFD" w:rsidP="00EB2BFD">
      <w:pPr>
        <w:spacing w:before="120" w:after="120" w:line="276" w:lineRule="auto"/>
        <w:rPr>
          <w:lang w:eastAsia="en-NZ"/>
        </w:rPr>
      </w:pPr>
    </w:p>
    <w:p w14:paraId="6DCEA50A" w14:textId="77777777" w:rsidR="00EB2BFD" w:rsidRPr="00EB2BFD" w:rsidRDefault="00EB2BFD" w:rsidP="00EB2BFD">
      <w:pPr>
        <w:pStyle w:val="Heading5"/>
        <w:spacing w:before="240"/>
        <w:rPr>
          <w:b/>
          <w:i w:val="0"/>
          <w:lang w:eastAsia="en-NZ"/>
        </w:rPr>
      </w:pPr>
      <w:r w:rsidRPr="00EB2BFD">
        <w:rPr>
          <w:b/>
          <w:i w:val="0"/>
          <w:lang w:eastAsia="en-NZ"/>
        </w:rPr>
        <w:t>Jonathan Darby</w:t>
      </w:r>
    </w:p>
    <w:p w14:paraId="2B9E70FD" w14:textId="77777777" w:rsidR="00EB2BFD" w:rsidRDefault="00EB2BFD" w:rsidP="00EB2BFD">
      <w:pPr>
        <w:pStyle w:val="Heading5"/>
        <w:spacing w:line="276" w:lineRule="auto"/>
        <w:jc w:val="both"/>
      </w:pPr>
      <w:r>
        <w:t>Membership role: Disability perspective</w:t>
      </w:r>
    </w:p>
    <w:p w14:paraId="7861533A" w14:textId="6688E006" w:rsidR="00EB2BFD" w:rsidRDefault="00EB2BFD" w:rsidP="00EB2BFD">
      <w:r>
        <w:t xml:space="preserve">Jonathan Darby was appointed to ACART in April 2013. </w:t>
      </w:r>
    </w:p>
    <w:p w14:paraId="2C073287" w14:textId="77777777" w:rsidR="00EB2BFD" w:rsidRDefault="00EB2BFD" w:rsidP="00EB2BFD"/>
    <w:p w14:paraId="75ADAA13" w14:textId="77777777" w:rsidR="00EB2BFD" w:rsidRDefault="00EB2BFD" w:rsidP="00EB2BFD">
      <w:r>
        <w:t xml:space="preserve">Jonathan grew up in Christchurch. He has experience of disability, being a paraplegic since birth. He is an enrolled barrister and solicitor of the High Court, with significant experience in the disability sector of the law. He has been a member of Canterbury District Health Board Community &amp; Public Health and Disability Support Advisory Committee (CPH&amp;DSAC) (2011–2013). He is the current presiding member of the Lottery Individuals with Disabilities distribution committee. </w:t>
      </w:r>
    </w:p>
    <w:p w14:paraId="2262865A" w14:textId="77777777" w:rsidR="00EB2BFD" w:rsidRDefault="00EB2BFD" w:rsidP="00EB2BFD"/>
    <w:p w14:paraId="38C8F074" w14:textId="55FCA4B6" w:rsidR="00EB2BFD" w:rsidRDefault="00EB2BFD" w:rsidP="00EB2BFD">
      <w:r>
        <w:t>Jonathan holds a Bachelor of Laws (2007), a Bachelor of Arts (2007), a New Zealand Diploma in Business and a Diploma in Management. He is employed by Auckland Disability Law as their community worker.</w:t>
      </w:r>
    </w:p>
    <w:p w14:paraId="5847C843" w14:textId="77777777" w:rsidR="00EB2BFD" w:rsidRDefault="00EB2BFD" w:rsidP="00EB2BFD">
      <w:pPr>
        <w:spacing w:line="276" w:lineRule="auto"/>
      </w:pPr>
    </w:p>
    <w:p w14:paraId="718266BD" w14:textId="77777777" w:rsidR="00EB2BFD" w:rsidRPr="00EB2BFD" w:rsidRDefault="00EB2BFD" w:rsidP="00EB2BFD">
      <w:pPr>
        <w:pStyle w:val="Heading5"/>
        <w:spacing w:before="240"/>
        <w:rPr>
          <w:b/>
          <w:i w:val="0"/>
          <w:lang w:eastAsia="en-NZ"/>
        </w:rPr>
      </w:pPr>
      <w:r w:rsidRPr="00EB2BFD">
        <w:rPr>
          <w:b/>
          <w:i w:val="0"/>
          <w:lang w:eastAsia="en-NZ"/>
        </w:rPr>
        <w:t>Rosemary De Luca</w:t>
      </w:r>
    </w:p>
    <w:p w14:paraId="32AC63F0" w14:textId="77777777" w:rsidR="00EB2BFD" w:rsidRDefault="00EB2BFD" w:rsidP="00EB2BFD">
      <w:pPr>
        <w:pStyle w:val="Heading5"/>
        <w:spacing w:line="276" w:lineRule="auto"/>
        <w:jc w:val="both"/>
      </w:pPr>
      <w:r>
        <w:t>Membership role: Ethics</w:t>
      </w:r>
    </w:p>
    <w:p w14:paraId="1A82AAA8" w14:textId="2B2A318C" w:rsidR="00EB2BFD" w:rsidRDefault="00EB2BFD" w:rsidP="00EB2BFD">
      <w:pPr>
        <w:rPr>
          <w:lang w:eastAsia="en-NZ"/>
        </w:rPr>
      </w:pPr>
      <w:r w:rsidRPr="57BD5007">
        <w:rPr>
          <w:lang w:eastAsia="en-NZ"/>
        </w:rPr>
        <w:t>Rosemary was appointed to ACART in August 2020 for a period of two years.</w:t>
      </w:r>
    </w:p>
    <w:p w14:paraId="0CBB8CCC" w14:textId="77777777" w:rsidR="00EB2BFD" w:rsidRDefault="00EB2BFD" w:rsidP="00EB2BFD">
      <w:pPr>
        <w:rPr>
          <w:lang w:eastAsia="en-NZ"/>
        </w:rPr>
      </w:pPr>
    </w:p>
    <w:p w14:paraId="21D9B8EA" w14:textId="121525C9" w:rsidR="00EB2BFD" w:rsidRDefault="00EB2BFD" w:rsidP="00EB2BFD">
      <w:pPr>
        <w:rPr>
          <w:lang w:eastAsia="en-NZ"/>
        </w:rPr>
      </w:pPr>
      <w:r w:rsidRPr="57BD5007">
        <w:rPr>
          <w:lang w:eastAsia="en-NZ"/>
        </w:rPr>
        <w:t>Rosemary is a research associate of the University of Waikato, in the Division of Education. She graduated from the Universities of Auckland and Waikato, and is an educator. Latterly, she supervised the research and theses of several masters and doctoral students, most from Pasifika and Asian countries.</w:t>
      </w:r>
    </w:p>
    <w:p w14:paraId="505741EC" w14:textId="77777777" w:rsidR="00EB2BFD" w:rsidRDefault="00EB2BFD" w:rsidP="00EB2BFD">
      <w:pPr>
        <w:rPr>
          <w:lang w:eastAsia="en-NZ"/>
        </w:rPr>
      </w:pPr>
    </w:p>
    <w:p w14:paraId="3897A03B" w14:textId="3E88D386" w:rsidR="00EB2BFD" w:rsidRDefault="00EB2BFD" w:rsidP="00EB2BFD">
      <w:pPr>
        <w:rPr>
          <w:lang w:eastAsia="en-NZ"/>
        </w:rPr>
      </w:pPr>
      <w:r w:rsidRPr="57BD5007">
        <w:rPr>
          <w:lang w:eastAsia="en-NZ"/>
        </w:rPr>
        <w:t xml:space="preserve">Rosemary’s interests are in communication and ethics, emphasising diversity, equity, autonomy, personal values and societal norms, practical and theoretical aspects of </w:t>
      </w:r>
      <w:r w:rsidRPr="57BD5007">
        <w:rPr>
          <w:lang w:eastAsia="en-NZ"/>
        </w:rPr>
        <w:lastRenderedPageBreak/>
        <w:t>narrative, and philosophy of language. See De Luca, R. (2012). Attempting to standardise ethical review within the complexity of health-related research.</w:t>
      </w:r>
    </w:p>
    <w:p w14:paraId="22279EE3" w14:textId="77777777" w:rsidR="00EB2BFD" w:rsidRDefault="00EB2BFD" w:rsidP="00EB2BFD">
      <w:pPr>
        <w:rPr>
          <w:lang w:eastAsia="en-NZ"/>
        </w:rPr>
      </w:pPr>
    </w:p>
    <w:p w14:paraId="2BEACC41" w14:textId="650730D2" w:rsidR="00EB2BFD" w:rsidRDefault="00EB2BFD" w:rsidP="00EB2BFD">
      <w:pPr>
        <w:rPr>
          <w:lang w:eastAsia="en-NZ"/>
        </w:rPr>
      </w:pPr>
      <w:r w:rsidRPr="57BD5007">
        <w:rPr>
          <w:lang w:eastAsia="en-NZ"/>
        </w:rPr>
        <w:t xml:space="preserve">From 1990, Rosemary was instrumental in the ethics of research and clinical practice, including assisted reproductive technologies. See De Luca, R. (2003) Perspectives on Informed Consent: An Investigation into Attitudes and Practices in Relation to Informed Consent to Medical Treatment in a Group of New Zealand Hospitals; and De Luca, R. (2004) The New Zealand Way: ART within an Ethical Framework. In J. Gunning &amp; H. </w:t>
      </w:r>
      <w:proofErr w:type="spellStart"/>
      <w:r w:rsidRPr="57BD5007">
        <w:rPr>
          <w:lang w:eastAsia="en-NZ"/>
        </w:rPr>
        <w:t>Szoke</w:t>
      </w:r>
      <w:proofErr w:type="spellEnd"/>
      <w:r w:rsidRPr="57BD5007">
        <w:rPr>
          <w:lang w:eastAsia="en-NZ"/>
        </w:rPr>
        <w:t>, (eds) The Regulation of Assisted Reproductive Technology.  The chapter was written prior to the Human Assisted Reproductive Technology Act (2004), referencing the preparatory work that preceded this Act. Rosemary has been awarded membership of the New Zealand Order of Merit for services to ethics.</w:t>
      </w:r>
    </w:p>
    <w:p w14:paraId="5FE8D7A2" w14:textId="77777777" w:rsidR="00EB2BFD" w:rsidRDefault="00EB2BFD" w:rsidP="00EB2BFD">
      <w:pPr>
        <w:rPr>
          <w:lang w:eastAsia="en-NZ"/>
        </w:rPr>
      </w:pPr>
    </w:p>
    <w:p w14:paraId="69AAA4C4" w14:textId="02A5388C" w:rsidR="00EB2BFD" w:rsidRDefault="00EB2BFD" w:rsidP="00EB2BFD">
      <w:pPr>
        <w:rPr>
          <w:lang w:eastAsia="en-NZ"/>
        </w:rPr>
      </w:pPr>
      <w:r w:rsidRPr="57BD5007">
        <w:rPr>
          <w:lang w:eastAsia="en-NZ"/>
        </w:rPr>
        <w:t xml:space="preserve">Rosemary is the mother of three adult children and </w:t>
      </w:r>
      <w:proofErr w:type="spellStart"/>
      <w:r w:rsidRPr="57BD5007">
        <w:rPr>
          <w:lang w:eastAsia="en-NZ"/>
        </w:rPr>
        <w:t>nonna</w:t>
      </w:r>
      <w:proofErr w:type="spellEnd"/>
      <w:r w:rsidRPr="57BD5007">
        <w:rPr>
          <w:lang w:eastAsia="en-NZ"/>
        </w:rPr>
        <w:t xml:space="preserve"> of five grandchildren.</w:t>
      </w:r>
    </w:p>
    <w:p w14:paraId="17770C68" w14:textId="77777777" w:rsidR="00EB2BFD" w:rsidRDefault="00EB2BFD" w:rsidP="00EB2BFD">
      <w:pPr>
        <w:rPr>
          <w:lang w:eastAsia="en-NZ"/>
        </w:rPr>
      </w:pPr>
    </w:p>
    <w:p w14:paraId="0CFB0463" w14:textId="77777777" w:rsidR="00EB2BFD" w:rsidRPr="00E23435" w:rsidRDefault="00EB2BFD" w:rsidP="00EB2BFD">
      <w:pPr>
        <w:pStyle w:val="Heading4"/>
        <w:spacing w:line="276" w:lineRule="auto"/>
        <w:jc w:val="both"/>
        <w:rPr>
          <w:i/>
          <w:iCs/>
        </w:rPr>
      </w:pPr>
      <w:r>
        <w:t>Seth Fraser</w:t>
      </w:r>
    </w:p>
    <w:p w14:paraId="14E3F520" w14:textId="77777777" w:rsidR="00EB2BFD" w:rsidRPr="00F21695" w:rsidRDefault="00EB2BFD" w:rsidP="00EB2BFD">
      <w:pPr>
        <w:pStyle w:val="Heading5"/>
        <w:spacing w:line="276" w:lineRule="auto"/>
        <w:jc w:val="both"/>
      </w:pPr>
      <w:r>
        <w:t>Membership role: Ability to articulate issues from a disability representative</w:t>
      </w:r>
    </w:p>
    <w:p w14:paraId="083F9815" w14:textId="4D23B871" w:rsidR="00EB2BFD" w:rsidRDefault="00EB2BFD" w:rsidP="00EB2BFD">
      <w:pPr>
        <w:rPr>
          <w:lang w:eastAsia="en-NZ"/>
        </w:rPr>
      </w:pPr>
      <w:r w:rsidRPr="57BD5007">
        <w:rPr>
          <w:lang w:eastAsia="en-NZ"/>
        </w:rPr>
        <w:t>Seth was appointed to ACART in August 2020.</w:t>
      </w:r>
    </w:p>
    <w:p w14:paraId="6E679C8B" w14:textId="77777777" w:rsidR="00EB2BFD" w:rsidRDefault="00EB2BFD" w:rsidP="00EB2BFD">
      <w:pPr>
        <w:rPr>
          <w:lang w:eastAsia="en-NZ"/>
        </w:rPr>
      </w:pPr>
    </w:p>
    <w:p w14:paraId="0ABA0DBD" w14:textId="17ED6401" w:rsidR="00EB2BFD" w:rsidRDefault="00EB2BFD" w:rsidP="00EB2BFD">
      <w:pPr>
        <w:rPr>
          <w:lang w:eastAsia="en-NZ"/>
        </w:rPr>
      </w:pPr>
      <w:r w:rsidRPr="57BD5007">
        <w:rPr>
          <w:lang w:eastAsia="en-NZ"/>
        </w:rPr>
        <w:t>Seth grew up in Wellington. He is a practising barrister sole with significant experience in the disability sector of the law. Seth has represented numerous clients with disabilities in various Courts, including being appointed amicus curiae in both the High Court and Court of Appeal to assist litigants with disabilities.</w:t>
      </w:r>
    </w:p>
    <w:p w14:paraId="0922363C" w14:textId="77777777" w:rsidR="00EB2BFD" w:rsidRDefault="00EB2BFD" w:rsidP="00EB2BFD">
      <w:pPr>
        <w:rPr>
          <w:lang w:eastAsia="en-NZ"/>
        </w:rPr>
      </w:pPr>
    </w:p>
    <w:p w14:paraId="1EADB04D" w14:textId="0087544C" w:rsidR="00EB2BFD" w:rsidRDefault="00EB2BFD" w:rsidP="00EB2BFD">
      <w:pPr>
        <w:rPr>
          <w:lang w:eastAsia="en-NZ"/>
        </w:rPr>
      </w:pPr>
      <w:r w:rsidRPr="57BD5007">
        <w:rPr>
          <w:lang w:eastAsia="en-NZ"/>
        </w:rPr>
        <w:t>Seth is currently completing a Master of Laws  and holds a Bachelor of Film with Honours (2006) from Victoria University. He also holds a Graduate Diploma in Digital Media from the National College of Design.</w:t>
      </w:r>
    </w:p>
    <w:p w14:paraId="62B9996F" w14:textId="77777777" w:rsidR="00EB2BFD" w:rsidRDefault="00EB2BFD" w:rsidP="00EB2BFD">
      <w:pPr>
        <w:rPr>
          <w:lang w:eastAsia="en-NZ"/>
        </w:rPr>
      </w:pPr>
    </w:p>
    <w:p w14:paraId="08514CFF" w14:textId="60E30E55" w:rsidR="00EB2BFD" w:rsidRDefault="00EB2BFD" w:rsidP="00EB2BFD">
      <w:pPr>
        <w:rPr>
          <w:lang w:eastAsia="en-NZ"/>
        </w:rPr>
      </w:pPr>
      <w:r w:rsidRPr="57BD5007">
        <w:rPr>
          <w:lang w:eastAsia="en-NZ"/>
        </w:rPr>
        <w:t>Seth is married with three children.</w:t>
      </w:r>
    </w:p>
    <w:p w14:paraId="01A9C9B8" w14:textId="77777777" w:rsidR="00EB2BFD" w:rsidRPr="00436D26" w:rsidRDefault="00EB2BFD" w:rsidP="00EB2BFD">
      <w:pPr>
        <w:spacing w:before="120" w:after="120" w:line="276" w:lineRule="auto"/>
        <w:rPr>
          <w:lang w:eastAsia="en-NZ"/>
        </w:rPr>
      </w:pPr>
    </w:p>
    <w:p w14:paraId="4DB84723" w14:textId="77777777" w:rsidR="00EB2BFD" w:rsidRDefault="00EB2BFD" w:rsidP="00EB2BFD">
      <w:pPr>
        <w:pStyle w:val="Heading4"/>
        <w:spacing w:line="276" w:lineRule="auto"/>
        <w:jc w:val="both"/>
      </w:pPr>
      <w:r>
        <w:t>Colin Gavaghan</w:t>
      </w:r>
    </w:p>
    <w:p w14:paraId="318DDC36" w14:textId="77777777" w:rsidR="00EB2BFD" w:rsidRDefault="00EB2BFD" w:rsidP="00EB2BFD">
      <w:pPr>
        <w:pStyle w:val="Heading5"/>
        <w:spacing w:line="276" w:lineRule="auto"/>
        <w:jc w:val="both"/>
      </w:pPr>
      <w:r>
        <w:t>Membership role: Expertise in relevant areas of law</w:t>
      </w:r>
    </w:p>
    <w:p w14:paraId="2A45DCEF" w14:textId="77777777" w:rsidR="00EB2BFD" w:rsidRDefault="00EB2BFD" w:rsidP="00EB2BFD">
      <w:r>
        <w:t xml:space="preserve">Colin Gavaghan was appointed to ACART in May 2017. </w:t>
      </w:r>
    </w:p>
    <w:p w14:paraId="55398414" w14:textId="77777777" w:rsidR="00EB2BFD" w:rsidRDefault="00EB2BFD" w:rsidP="00EB2BFD"/>
    <w:p w14:paraId="1A8CE981" w14:textId="77777777" w:rsidR="00EB2BFD" w:rsidRDefault="00EB2BFD" w:rsidP="00EB2BFD">
      <w:r>
        <w:t xml:space="preserve">Colin is the first holder of the New Zealand Law Foundation Chair in Law and Policy in Emerging Technologies, at the University of Otago, where he also teaches medical and criminal law. Before that, he was a lecturer at the University of Glasgow. </w:t>
      </w:r>
    </w:p>
    <w:p w14:paraId="2AE6C578" w14:textId="77777777" w:rsidR="00EB2BFD" w:rsidRDefault="00EB2BFD" w:rsidP="00EB2BFD"/>
    <w:p w14:paraId="72324AA2" w14:textId="77777777" w:rsidR="00EB2BFD" w:rsidRDefault="00EB2BFD" w:rsidP="00EB2BFD">
      <w:r>
        <w:t>In 2006, Colin completed a PhD, focusing on the law and ethics of pre-implantation genetic diagnosis. This formed the basis for his book, Defending the Genetic Supermarket: The law &amp; ethics of selecting the next generation (Routledge-Cavendish, 2007). He has also published widely on issues relevant to ACART’s work.</w:t>
      </w:r>
    </w:p>
    <w:p w14:paraId="0E6611FB" w14:textId="77777777" w:rsidR="00EB2BFD" w:rsidRDefault="00EB2BFD" w:rsidP="00EB2BFD">
      <w:pPr>
        <w:pStyle w:val="Heading4"/>
        <w:spacing w:line="276" w:lineRule="auto"/>
        <w:jc w:val="both"/>
      </w:pPr>
      <w:r>
        <w:lastRenderedPageBreak/>
        <w:t>Sue McKenzie</w:t>
      </w:r>
    </w:p>
    <w:p w14:paraId="7CCC77A9" w14:textId="77777777" w:rsidR="00EB2BFD" w:rsidRDefault="00EB2BFD" w:rsidP="00EB2BFD">
      <w:pPr>
        <w:pStyle w:val="Heading5"/>
        <w:spacing w:line="276" w:lineRule="auto"/>
        <w:jc w:val="both"/>
      </w:pPr>
      <w:r>
        <w:t>Membership role: General layperson</w:t>
      </w:r>
    </w:p>
    <w:p w14:paraId="4B179869" w14:textId="59415AC8" w:rsidR="00EB2BFD" w:rsidRDefault="00EB2BFD" w:rsidP="00EB2BFD">
      <w:pPr>
        <w:rPr>
          <w:lang w:eastAsia="en-NZ"/>
        </w:rPr>
      </w:pPr>
      <w:r w:rsidRPr="57BD5007">
        <w:rPr>
          <w:lang w:eastAsia="en-NZ"/>
        </w:rPr>
        <w:t xml:space="preserve">Sue McKenzie was appointed to ACART in April 2013. </w:t>
      </w:r>
    </w:p>
    <w:p w14:paraId="3B448CD0" w14:textId="77777777" w:rsidR="00EB2BFD" w:rsidRDefault="00EB2BFD" w:rsidP="00EB2BFD">
      <w:pPr>
        <w:rPr>
          <w:lang w:eastAsia="en-NZ"/>
        </w:rPr>
      </w:pPr>
    </w:p>
    <w:p w14:paraId="633EE476" w14:textId="05402F84" w:rsidR="00EB2BFD" w:rsidRDefault="00EB2BFD" w:rsidP="00EB2BFD">
      <w:pPr>
        <w:rPr>
          <w:lang w:eastAsia="en-NZ"/>
        </w:rPr>
      </w:pPr>
      <w:r w:rsidRPr="57BD5007">
        <w:rPr>
          <w:lang w:eastAsia="en-NZ"/>
        </w:rPr>
        <w:t xml:space="preserve">She has had two careers over the last 30 years – lecturing as a senior academic at tertiary level and working in private business consultancy, advising corporates and small business clients. Sue has had a long voluntary association with various business and community groups at a local and national level. </w:t>
      </w:r>
    </w:p>
    <w:p w14:paraId="0A6B8105" w14:textId="77777777" w:rsidR="00EB2BFD" w:rsidRDefault="00EB2BFD" w:rsidP="00EB2BFD">
      <w:pPr>
        <w:rPr>
          <w:lang w:eastAsia="en-NZ"/>
        </w:rPr>
      </w:pPr>
    </w:p>
    <w:p w14:paraId="7ECF676B" w14:textId="4FDADF74" w:rsidR="00EB2BFD" w:rsidRDefault="00EB2BFD" w:rsidP="00EB2BFD">
      <w:pPr>
        <w:rPr>
          <w:lang w:eastAsia="en-NZ"/>
        </w:rPr>
      </w:pPr>
      <w:r w:rsidRPr="57BD5007">
        <w:rPr>
          <w:lang w:eastAsia="en-NZ"/>
        </w:rPr>
        <w:t xml:space="preserve">After the Christchurch earthquakes, Sue relocated to the country and now works full time on her Board positions. Her Board positions and responsibilities include the New Zealand Medical Radiation Technologists Board (as Convenor of the Education Committee and a member of the Professional Standards Committee), a trustee of the </w:t>
      </w:r>
      <w:proofErr w:type="spellStart"/>
      <w:r w:rsidRPr="57BD5007">
        <w:rPr>
          <w:lang w:eastAsia="en-NZ"/>
        </w:rPr>
        <w:t>Rātā</w:t>
      </w:r>
      <w:proofErr w:type="spellEnd"/>
      <w:r w:rsidRPr="57BD5007">
        <w:rPr>
          <w:lang w:eastAsia="en-NZ"/>
        </w:rPr>
        <w:t xml:space="preserve"> Foundation (Chair of the Housing Committee and a member of the Investment Committee), Chair of the Greater Canterbury Response Forum, working with the Ministry of Social Development to help transform social services, and a member of the Canterbury Aoraki Conservation Board (member of the Land and Water Committee and Chair of the Awards and Marketing Committee). </w:t>
      </w:r>
    </w:p>
    <w:p w14:paraId="1ABB4174" w14:textId="77777777" w:rsidR="00EB2BFD" w:rsidRDefault="00EB2BFD" w:rsidP="00EB2BFD">
      <w:pPr>
        <w:rPr>
          <w:lang w:eastAsia="en-NZ"/>
        </w:rPr>
      </w:pPr>
    </w:p>
    <w:p w14:paraId="75BF6AEE" w14:textId="69AC4E77" w:rsidR="00EB2BFD" w:rsidRDefault="00EB2BFD" w:rsidP="00EB2BFD">
      <w:pPr>
        <w:rPr>
          <w:lang w:eastAsia="en-NZ"/>
        </w:rPr>
      </w:pPr>
      <w:r w:rsidRPr="57BD5007">
        <w:rPr>
          <w:lang w:eastAsia="en-NZ"/>
        </w:rPr>
        <w:t>Sue is also a member of the Institute of Directors and a Justice of the Peace.</w:t>
      </w:r>
    </w:p>
    <w:p w14:paraId="124B1509" w14:textId="77777777" w:rsidR="00EB2BFD" w:rsidRDefault="00EB2BFD" w:rsidP="00EB2BFD">
      <w:pPr>
        <w:spacing w:before="120" w:after="120" w:line="276" w:lineRule="auto"/>
        <w:rPr>
          <w:lang w:eastAsia="en-NZ"/>
        </w:rPr>
      </w:pPr>
    </w:p>
    <w:p w14:paraId="0D7A2014" w14:textId="77777777" w:rsidR="00EB2BFD" w:rsidRDefault="00EB2BFD" w:rsidP="00EB2BFD">
      <w:pPr>
        <w:pStyle w:val="Heading4"/>
        <w:spacing w:line="276" w:lineRule="auto"/>
        <w:jc w:val="both"/>
        <w:rPr>
          <w:lang w:eastAsia="en-NZ"/>
        </w:rPr>
      </w:pPr>
      <w:r>
        <w:t>Dr Karen Reader</w:t>
      </w:r>
    </w:p>
    <w:p w14:paraId="212D68FF" w14:textId="77777777" w:rsidR="00EB2BFD" w:rsidRDefault="00EB2BFD" w:rsidP="00EB2BFD">
      <w:pPr>
        <w:pStyle w:val="Heading5"/>
        <w:spacing w:line="276" w:lineRule="auto"/>
        <w:jc w:val="both"/>
      </w:pPr>
      <w:r>
        <w:t>Membership role: Expertise in human reproductive research</w:t>
      </w:r>
    </w:p>
    <w:p w14:paraId="6621CE49" w14:textId="1CCAD097" w:rsidR="00EB2BFD" w:rsidRDefault="00EB2BFD" w:rsidP="00EB2BFD">
      <w:pPr>
        <w:rPr>
          <w:lang w:eastAsia="en-NZ"/>
        </w:rPr>
      </w:pPr>
      <w:r w:rsidRPr="57BD5007">
        <w:rPr>
          <w:lang w:eastAsia="en-NZ"/>
        </w:rPr>
        <w:t>Karen Reader was appointed to ACART in December 2017.</w:t>
      </w:r>
    </w:p>
    <w:p w14:paraId="2BB0F557" w14:textId="77777777" w:rsidR="00EB2BFD" w:rsidRDefault="00EB2BFD" w:rsidP="00EB2BFD">
      <w:pPr>
        <w:rPr>
          <w:lang w:eastAsia="en-NZ"/>
        </w:rPr>
      </w:pPr>
    </w:p>
    <w:p w14:paraId="39F3A395" w14:textId="3EC0E532" w:rsidR="00EB2BFD" w:rsidRDefault="00EB2BFD" w:rsidP="00EB2BFD">
      <w:pPr>
        <w:rPr>
          <w:lang w:eastAsia="en-NZ"/>
        </w:rPr>
      </w:pPr>
      <w:r w:rsidRPr="57BD5007">
        <w:rPr>
          <w:lang w:eastAsia="en-NZ"/>
        </w:rPr>
        <w:t>Karen is a Lecturer in the Department of Pathology at the University of Otago, undertaking research and teaching in reproduction, ovarian and prostate cancer. She was awarded a Rutherford Foundation New Zealand Postdoctoral Fellowship in 2015 and a Lottery Health Fellowship in 2017.</w:t>
      </w:r>
    </w:p>
    <w:p w14:paraId="092579CC" w14:textId="77777777" w:rsidR="00EB2BFD" w:rsidRDefault="00EB2BFD" w:rsidP="00EB2BFD">
      <w:pPr>
        <w:rPr>
          <w:lang w:eastAsia="en-NZ"/>
        </w:rPr>
      </w:pPr>
    </w:p>
    <w:p w14:paraId="52D75588" w14:textId="4AB44381" w:rsidR="00EB2BFD" w:rsidRDefault="00EB2BFD" w:rsidP="00EB2BFD">
      <w:pPr>
        <w:rPr>
          <w:lang w:eastAsia="en-NZ"/>
        </w:rPr>
      </w:pPr>
      <w:r w:rsidRPr="57BD5007">
        <w:rPr>
          <w:lang w:eastAsia="en-NZ"/>
        </w:rPr>
        <w:t xml:space="preserve">Karen completed her PhD in 2014 at the University of Otago and </w:t>
      </w:r>
      <w:proofErr w:type="spellStart"/>
      <w:r w:rsidRPr="57BD5007">
        <w:rPr>
          <w:lang w:eastAsia="en-NZ"/>
        </w:rPr>
        <w:t>AgResearch</w:t>
      </w:r>
      <w:proofErr w:type="spellEnd"/>
      <w:r w:rsidRPr="57BD5007">
        <w:rPr>
          <w:lang w:eastAsia="en-NZ"/>
        </w:rPr>
        <w:t xml:space="preserve">, studying oocyte (egg) quality. Before this, she worked in the Reproductive Biology Group at </w:t>
      </w:r>
      <w:proofErr w:type="spellStart"/>
      <w:r w:rsidRPr="57BD5007">
        <w:rPr>
          <w:lang w:eastAsia="en-NZ"/>
        </w:rPr>
        <w:t>AgResearch</w:t>
      </w:r>
      <w:proofErr w:type="spellEnd"/>
      <w:r w:rsidRPr="57BD5007">
        <w:rPr>
          <w:lang w:eastAsia="en-NZ"/>
        </w:rPr>
        <w:t xml:space="preserve"> for 13 years, researching ovarian factors that regulate fertility. During this time, Karen established an in-vitro fertilisation laboratory for sheep fertility research. She has a strong interest in both the scientific and ethical aspects of human assisted reproductive technologies.</w:t>
      </w:r>
    </w:p>
    <w:p w14:paraId="008E85B5" w14:textId="77777777" w:rsidR="00EB2BFD" w:rsidRDefault="00EB2BFD" w:rsidP="00EB2BFD">
      <w:pPr>
        <w:spacing w:before="120" w:after="120" w:line="276" w:lineRule="auto"/>
        <w:rPr>
          <w:lang w:eastAsia="en-NZ"/>
        </w:rPr>
      </w:pPr>
    </w:p>
    <w:p w14:paraId="055BE3DC" w14:textId="77777777" w:rsidR="00EB2BFD" w:rsidRDefault="00EB2BFD" w:rsidP="00EB2BFD">
      <w:pPr>
        <w:pStyle w:val="Heading4"/>
        <w:keepNext w:val="0"/>
        <w:spacing w:line="276" w:lineRule="auto"/>
        <w:jc w:val="both"/>
      </w:pPr>
    </w:p>
    <w:p w14:paraId="2933875A" w14:textId="77777777" w:rsidR="00EB2BFD" w:rsidRDefault="00EB2BFD" w:rsidP="00EB2BFD">
      <w:pPr>
        <w:pStyle w:val="Heading4"/>
        <w:keepNext w:val="0"/>
        <w:spacing w:line="276" w:lineRule="auto"/>
        <w:jc w:val="both"/>
      </w:pPr>
    </w:p>
    <w:p w14:paraId="76777A64" w14:textId="77777777" w:rsidR="00EB2BFD" w:rsidRDefault="00EB2BFD" w:rsidP="00EB2BFD">
      <w:pPr>
        <w:pStyle w:val="Heading4"/>
        <w:keepNext w:val="0"/>
        <w:spacing w:line="276" w:lineRule="auto"/>
        <w:jc w:val="both"/>
      </w:pPr>
    </w:p>
    <w:p w14:paraId="59BA12FB" w14:textId="77777777" w:rsidR="00EB2BFD" w:rsidRDefault="00EB2BFD" w:rsidP="00EB2BFD">
      <w:pPr>
        <w:pStyle w:val="Heading4"/>
        <w:keepNext w:val="0"/>
        <w:spacing w:line="276" w:lineRule="auto"/>
        <w:jc w:val="both"/>
      </w:pPr>
    </w:p>
    <w:p w14:paraId="29F92A69" w14:textId="609F48D6" w:rsidR="00EB2BFD" w:rsidRDefault="00EB2BFD" w:rsidP="00EB2BFD">
      <w:pPr>
        <w:pStyle w:val="Heading4"/>
        <w:keepNext w:val="0"/>
        <w:spacing w:line="276" w:lineRule="auto"/>
        <w:jc w:val="both"/>
        <w:rPr>
          <w:highlight w:val="yellow"/>
        </w:rPr>
      </w:pPr>
      <w:r>
        <w:lastRenderedPageBreak/>
        <w:t>Catherine Ryan</w:t>
      </w:r>
    </w:p>
    <w:p w14:paraId="56DCB61D" w14:textId="77777777" w:rsidR="00EB2BFD" w:rsidRPr="004531CA" w:rsidRDefault="00EB2BFD" w:rsidP="00EB2BFD">
      <w:pPr>
        <w:pStyle w:val="Heading5"/>
        <w:keepNext w:val="0"/>
        <w:spacing w:line="276" w:lineRule="auto"/>
        <w:jc w:val="both"/>
        <w:rPr>
          <w:highlight w:val="yellow"/>
        </w:rPr>
      </w:pPr>
      <w:r>
        <w:t>Membership role: General layperson</w:t>
      </w:r>
    </w:p>
    <w:p w14:paraId="6C436AAC" w14:textId="52770DD6" w:rsidR="00EB2BFD" w:rsidRDefault="00EB2BFD" w:rsidP="00EB2BFD">
      <w:pPr>
        <w:rPr>
          <w:lang w:eastAsia="en-NZ"/>
        </w:rPr>
      </w:pPr>
      <w:r w:rsidRPr="57BD5007">
        <w:rPr>
          <w:lang w:eastAsia="en-NZ"/>
        </w:rPr>
        <w:t xml:space="preserve">Catherine was appointed to ACART in August 2020. </w:t>
      </w:r>
    </w:p>
    <w:p w14:paraId="3C5A9EBD" w14:textId="77777777" w:rsidR="00EB2BFD" w:rsidRDefault="00EB2BFD" w:rsidP="00EB2BFD">
      <w:pPr>
        <w:rPr>
          <w:lang w:eastAsia="en-NZ"/>
        </w:rPr>
      </w:pPr>
    </w:p>
    <w:p w14:paraId="71603727" w14:textId="7B8883E3" w:rsidR="00EB2BFD" w:rsidRDefault="00EB2BFD" w:rsidP="00EB2BFD">
      <w:pPr>
        <w:rPr>
          <w:lang w:eastAsia="en-NZ"/>
        </w:rPr>
      </w:pPr>
      <w:r w:rsidRPr="57BD5007">
        <w:rPr>
          <w:lang w:eastAsia="en-NZ"/>
        </w:rPr>
        <w:t>Catherine is a graduate of Education and Law. She has taught law at the University of Waikato Commerce Faculty and worked in private practice and as legal advisor for Waitemata DHB.</w:t>
      </w:r>
    </w:p>
    <w:p w14:paraId="3F388364" w14:textId="77777777" w:rsidR="00EB2BFD" w:rsidRDefault="00EB2BFD" w:rsidP="00EB2BFD">
      <w:pPr>
        <w:rPr>
          <w:lang w:eastAsia="en-NZ"/>
        </w:rPr>
      </w:pPr>
    </w:p>
    <w:p w14:paraId="1330B7F3" w14:textId="76156AC4" w:rsidR="00EB2BFD" w:rsidRDefault="00EB2BFD" w:rsidP="00EB2BFD">
      <w:pPr>
        <w:rPr>
          <w:lang w:eastAsia="en-NZ"/>
        </w:rPr>
      </w:pPr>
      <w:r w:rsidRPr="57BD5007">
        <w:rPr>
          <w:lang w:eastAsia="en-NZ"/>
        </w:rPr>
        <w:t>Catherine’s medical experience is in Research Ethics at Waikato DHB and Clinical Ethics for Auckland, Waitemata and Counties Manukau DHBs. At present, Catherine is a member of Counties Manukau Clinical Ethics Committee.</w:t>
      </w:r>
    </w:p>
    <w:p w14:paraId="2EADE06F" w14:textId="77777777" w:rsidR="00EB2BFD" w:rsidRDefault="00EB2BFD" w:rsidP="00EB2BFD">
      <w:pPr>
        <w:rPr>
          <w:lang w:eastAsia="en-NZ"/>
        </w:rPr>
      </w:pPr>
    </w:p>
    <w:p w14:paraId="4F0DA497" w14:textId="5F87C648" w:rsidR="00EB2BFD" w:rsidRDefault="00EB2BFD" w:rsidP="00EB2BFD">
      <w:pPr>
        <w:rPr>
          <w:lang w:eastAsia="en-NZ"/>
        </w:rPr>
      </w:pPr>
      <w:r w:rsidRPr="57BD5007">
        <w:rPr>
          <w:lang w:eastAsia="en-NZ"/>
        </w:rPr>
        <w:t xml:space="preserve">Catherine is a member of 2 </w:t>
      </w:r>
      <w:proofErr w:type="spellStart"/>
      <w:r w:rsidRPr="57BD5007">
        <w:rPr>
          <w:lang w:eastAsia="en-NZ"/>
        </w:rPr>
        <w:t>Medsafe</w:t>
      </w:r>
      <w:proofErr w:type="spellEnd"/>
      <w:r w:rsidRPr="57BD5007">
        <w:rPr>
          <w:lang w:eastAsia="en-NZ"/>
        </w:rPr>
        <w:t xml:space="preserve"> </w:t>
      </w:r>
      <w:proofErr w:type="spellStart"/>
      <w:r w:rsidRPr="57BD5007">
        <w:rPr>
          <w:lang w:eastAsia="en-NZ"/>
        </w:rPr>
        <w:t>Committes</w:t>
      </w:r>
      <w:proofErr w:type="spellEnd"/>
      <w:r w:rsidRPr="57BD5007">
        <w:rPr>
          <w:lang w:eastAsia="en-NZ"/>
        </w:rPr>
        <w:t>; Medicines Adverse Reaction Committee and Medicines Assessment Advisory Committee.</w:t>
      </w:r>
    </w:p>
    <w:p w14:paraId="76CEAEB1" w14:textId="77777777" w:rsidR="00EB2BFD" w:rsidRDefault="00EB2BFD" w:rsidP="00EB2BFD">
      <w:pPr>
        <w:rPr>
          <w:lang w:eastAsia="en-NZ"/>
        </w:rPr>
      </w:pPr>
    </w:p>
    <w:p w14:paraId="5970215A" w14:textId="6572A520" w:rsidR="00EB2BFD" w:rsidRDefault="00EB2BFD" w:rsidP="00EB2BFD">
      <w:pPr>
        <w:rPr>
          <w:lang w:eastAsia="en-NZ"/>
        </w:rPr>
      </w:pPr>
      <w:r w:rsidRPr="57BD5007">
        <w:rPr>
          <w:lang w:eastAsia="en-NZ"/>
        </w:rPr>
        <w:t>Catherine is a Trustee of the Waikato DHB Complaints Service which facilitates resolution of complaints between the Provider and the Consumer.</w:t>
      </w:r>
    </w:p>
    <w:p w14:paraId="7A35B8EE" w14:textId="77777777" w:rsidR="00EB2BFD" w:rsidRPr="007B4D88" w:rsidRDefault="00EB2BFD" w:rsidP="00EB2BFD">
      <w:pPr>
        <w:spacing w:before="120" w:after="120" w:line="276" w:lineRule="auto"/>
        <w:rPr>
          <w:lang w:eastAsia="en-NZ"/>
        </w:rPr>
      </w:pPr>
    </w:p>
    <w:p w14:paraId="3DBC5422" w14:textId="77777777" w:rsidR="00EB2BFD" w:rsidRPr="00E23435" w:rsidRDefault="00EB2BFD" w:rsidP="00EB2BFD">
      <w:pPr>
        <w:pStyle w:val="Heading4"/>
        <w:spacing w:line="276" w:lineRule="auto"/>
        <w:jc w:val="both"/>
        <w:rPr>
          <w:i/>
          <w:iCs/>
        </w:rPr>
      </w:pPr>
      <w:r>
        <w:t xml:space="preserve">Dr Karaitiana </w:t>
      </w:r>
      <w:proofErr w:type="spellStart"/>
      <w:r>
        <w:t>Taiuru</w:t>
      </w:r>
      <w:proofErr w:type="spellEnd"/>
    </w:p>
    <w:p w14:paraId="7CF47F67" w14:textId="77777777" w:rsidR="00EB2BFD" w:rsidRPr="007C2616" w:rsidRDefault="00EB2BFD" w:rsidP="00EB2BFD">
      <w:pPr>
        <w:pStyle w:val="Heading5"/>
        <w:spacing w:line="276" w:lineRule="auto"/>
        <w:jc w:val="both"/>
      </w:pPr>
      <w:r>
        <w:t>Membership role: Expertise in Māori customary values and practice and the ability to articulate issues from a Māori perspective</w:t>
      </w:r>
    </w:p>
    <w:p w14:paraId="4AC89791" w14:textId="7210A3C6" w:rsidR="00EB2BFD" w:rsidRDefault="00EB2BFD" w:rsidP="00EB2BFD">
      <w:pPr>
        <w:rPr>
          <w:lang w:eastAsia="en-NZ"/>
        </w:rPr>
      </w:pPr>
      <w:r w:rsidRPr="57BD5007">
        <w:rPr>
          <w:lang w:eastAsia="en-NZ"/>
        </w:rPr>
        <w:t xml:space="preserve">Dr Karaitiana </w:t>
      </w:r>
      <w:proofErr w:type="spellStart"/>
      <w:r w:rsidRPr="57BD5007">
        <w:rPr>
          <w:lang w:eastAsia="en-NZ"/>
        </w:rPr>
        <w:t>Taiuru</w:t>
      </w:r>
      <w:proofErr w:type="spellEnd"/>
      <w:r w:rsidRPr="57BD5007">
        <w:rPr>
          <w:lang w:eastAsia="en-NZ"/>
        </w:rPr>
        <w:t xml:space="preserve"> PhD, JP</w:t>
      </w:r>
    </w:p>
    <w:p w14:paraId="0367DD4B" w14:textId="77777777" w:rsidR="00EB2BFD" w:rsidRDefault="00EB2BFD" w:rsidP="00EB2BFD">
      <w:pPr>
        <w:rPr>
          <w:lang w:eastAsia="en-NZ"/>
        </w:rPr>
      </w:pPr>
    </w:p>
    <w:p w14:paraId="0C6B66FA" w14:textId="42A12B30" w:rsidR="00EB2BFD" w:rsidRDefault="00EB2BFD" w:rsidP="00EB2BFD">
      <w:pPr>
        <w:rPr>
          <w:lang w:eastAsia="en-NZ"/>
        </w:rPr>
      </w:pPr>
      <w:proofErr w:type="spellStart"/>
      <w:r w:rsidRPr="57BD5007">
        <w:rPr>
          <w:lang w:eastAsia="en-NZ"/>
        </w:rPr>
        <w:t>Ngāi</w:t>
      </w:r>
      <w:proofErr w:type="spellEnd"/>
      <w:r w:rsidRPr="57BD5007">
        <w:rPr>
          <w:lang w:eastAsia="en-NZ"/>
        </w:rPr>
        <w:t xml:space="preserve"> </w:t>
      </w:r>
      <w:proofErr w:type="spellStart"/>
      <w:r w:rsidRPr="57BD5007">
        <w:rPr>
          <w:lang w:eastAsia="en-NZ"/>
        </w:rPr>
        <w:t>Tahu</w:t>
      </w:r>
      <w:proofErr w:type="spellEnd"/>
      <w:r w:rsidRPr="57BD5007">
        <w:rPr>
          <w:lang w:eastAsia="en-NZ"/>
        </w:rPr>
        <w:t xml:space="preserve">, </w:t>
      </w:r>
      <w:proofErr w:type="spellStart"/>
      <w:r w:rsidRPr="57BD5007">
        <w:rPr>
          <w:lang w:eastAsia="en-NZ"/>
        </w:rPr>
        <w:t>Ngāti</w:t>
      </w:r>
      <w:proofErr w:type="spellEnd"/>
      <w:r w:rsidRPr="57BD5007">
        <w:rPr>
          <w:lang w:eastAsia="en-NZ"/>
        </w:rPr>
        <w:t xml:space="preserve"> </w:t>
      </w:r>
      <w:proofErr w:type="spellStart"/>
      <w:r w:rsidRPr="57BD5007">
        <w:rPr>
          <w:lang w:eastAsia="en-NZ"/>
        </w:rPr>
        <w:t>Rārua</w:t>
      </w:r>
      <w:proofErr w:type="spellEnd"/>
      <w:r w:rsidRPr="57BD5007">
        <w:rPr>
          <w:lang w:eastAsia="en-NZ"/>
        </w:rPr>
        <w:t xml:space="preserve">, </w:t>
      </w:r>
      <w:proofErr w:type="spellStart"/>
      <w:r w:rsidRPr="57BD5007">
        <w:rPr>
          <w:lang w:eastAsia="en-NZ"/>
        </w:rPr>
        <w:t>Ngāti</w:t>
      </w:r>
      <w:proofErr w:type="spellEnd"/>
      <w:r w:rsidRPr="57BD5007">
        <w:rPr>
          <w:lang w:eastAsia="en-NZ"/>
        </w:rPr>
        <w:t xml:space="preserve"> </w:t>
      </w:r>
      <w:proofErr w:type="spellStart"/>
      <w:r w:rsidRPr="57BD5007">
        <w:rPr>
          <w:lang w:eastAsia="en-NZ"/>
        </w:rPr>
        <w:t>Kahungunu</w:t>
      </w:r>
      <w:proofErr w:type="spellEnd"/>
    </w:p>
    <w:p w14:paraId="3C0298F8" w14:textId="77777777" w:rsidR="00EB2BFD" w:rsidRDefault="00EB2BFD" w:rsidP="00EB2BFD">
      <w:pPr>
        <w:rPr>
          <w:lang w:eastAsia="en-NZ"/>
        </w:rPr>
      </w:pPr>
    </w:p>
    <w:p w14:paraId="0F5A3B5F" w14:textId="4AB33557" w:rsidR="00EB2BFD" w:rsidRDefault="00EB2BFD" w:rsidP="00EB2BFD">
      <w:pPr>
        <w:rPr>
          <w:lang w:eastAsia="en-NZ"/>
        </w:rPr>
      </w:pPr>
      <w:r w:rsidRPr="57BD5007">
        <w:rPr>
          <w:lang w:eastAsia="en-NZ"/>
        </w:rPr>
        <w:t>Karaitiana was appointed to ACART in August 2020.</w:t>
      </w:r>
    </w:p>
    <w:p w14:paraId="58121CE0" w14:textId="77777777" w:rsidR="00EB2BFD" w:rsidRDefault="00EB2BFD" w:rsidP="00EB2BFD">
      <w:pPr>
        <w:rPr>
          <w:lang w:eastAsia="en-NZ"/>
        </w:rPr>
      </w:pPr>
    </w:p>
    <w:p w14:paraId="13A467FB" w14:textId="49EAA826" w:rsidR="00EB2BFD" w:rsidRDefault="00EB2BFD" w:rsidP="00EB2BFD">
      <w:pPr>
        <w:rPr>
          <w:lang w:eastAsia="en-NZ"/>
        </w:rPr>
      </w:pPr>
      <w:r w:rsidRPr="57BD5007">
        <w:rPr>
          <w:lang w:eastAsia="en-NZ"/>
        </w:rPr>
        <w:t xml:space="preserve">Karaitiana completed his PhD in Māori Genetic Data - Inalienable Rights and Tikanga Sovereignty in 2021 at Te Whare Wānanga o </w:t>
      </w:r>
      <w:proofErr w:type="spellStart"/>
      <w:r w:rsidRPr="57BD5007">
        <w:rPr>
          <w:lang w:eastAsia="en-NZ"/>
        </w:rPr>
        <w:t>Awanuiārangi</w:t>
      </w:r>
      <w:proofErr w:type="spellEnd"/>
      <w:r w:rsidRPr="57BD5007">
        <w:rPr>
          <w:lang w:eastAsia="en-NZ"/>
        </w:rPr>
        <w:t xml:space="preserve">, after a lifetime of being immersed in Te </w:t>
      </w:r>
      <w:proofErr w:type="spellStart"/>
      <w:r w:rsidRPr="57BD5007">
        <w:rPr>
          <w:lang w:eastAsia="en-NZ"/>
        </w:rPr>
        <w:t>Ao</w:t>
      </w:r>
      <w:proofErr w:type="spellEnd"/>
      <w:r w:rsidRPr="57BD5007">
        <w:rPr>
          <w:lang w:eastAsia="en-NZ"/>
        </w:rPr>
        <w:t xml:space="preserve"> Māori and </w:t>
      </w:r>
      <w:proofErr w:type="spellStart"/>
      <w:r w:rsidRPr="57BD5007">
        <w:rPr>
          <w:lang w:eastAsia="en-NZ"/>
        </w:rPr>
        <w:t>mātauranga</w:t>
      </w:r>
      <w:proofErr w:type="spellEnd"/>
      <w:r w:rsidRPr="57BD5007">
        <w:rPr>
          <w:lang w:eastAsia="en-NZ"/>
        </w:rPr>
        <w:t>. He is a nationally recognised Tikanga Māori expert with significant networks with Iwi and Māori organisations.</w:t>
      </w:r>
    </w:p>
    <w:p w14:paraId="4A418D6D" w14:textId="77777777" w:rsidR="00EB2BFD" w:rsidRDefault="00EB2BFD" w:rsidP="00EB2BFD">
      <w:pPr>
        <w:rPr>
          <w:lang w:eastAsia="en-NZ"/>
        </w:rPr>
      </w:pPr>
    </w:p>
    <w:p w14:paraId="2535D211" w14:textId="4FDB5D59" w:rsidR="00EB2BFD" w:rsidRDefault="00EB2BFD" w:rsidP="00EB2BFD">
      <w:pPr>
        <w:rPr>
          <w:lang w:eastAsia="en-NZ"/>
        </w:rPr>
      </w:pPr>
      <w:r w:rsidRPr="57BD5007">
        <w:rPr>
          <w:lang w:eastAsia="en-NZ"/>
        </w:rPr>
        <w:t>Karaitiana holds several national board and academic appointments as the expert Māori advisor and currently works at the University of Otago Christchurch as a Researcher.</w:t>
      </w:r>
    </w:p>
    <w:p w14:paraId="2D98F580" w14:textId="77777777" w:rsidR="00EB2BFD" w:rsidRDefault="00EB2BFD" w:rsidP="00EB2BFD">
      <w:pPr>
        <w:rPr>
          <w:lang w:eastAsia="en-NZ"/>
        </w:rPr>
      </w:pPr>
    </w:p>
    <w:p w14:paraId="1CC88D67" w14:textId="7A046969" w:rsidR="00EB2BFD" w:rsidRDefault="00EB2BFD" w:rsidP="00EB2BFD">
      <w:pPr>
        <w:rPr>
          <w:lang w:eastAsia="en-NZ"/>
        </w:rPr>
      </w:pPr>
      <w:r w:rsidRPr="57BD5007">
        <w:rPr>
          <w:lang w:eastAsia="en-NZ"/>
        </w:rPr>
        <w:t xml:space="preserve">Karaitiana is a father of six children who range in ages from adults to young children and is a </w:t>
      </w:r>
      <w:proofErr w:type="spellStart"/>
      <w:r w:rsidRPr="57BD5007">
        <w:rPr>
          <w:lang w:eastAsia="en-NZ"/>
        </w:rPr>
        <w:t>Pōua</w:t>
      </w:r>
      <w:proofErr w:type="spellEnd"/>
      <w:r w:rsidRPr="57BD5007">
        <w:rPr>
          <w:lang w:eastAsia="en-NZ"/>
        </w:rPr>
        <w:t xml:space="preserve"> to three </w:t>
      </w:r>
      <w:proofErr w:type="spellStart"/>
      <w:r w:rsidRPr="57BD5007">
        <w:rPr>
          <w:lang w:eastAsia="en-NZ"/>
        </w:rPr>
        <w:t>mokopuna</w:t>
      </w:r>
      <w:proofErr w:type="spellEnd"/>
      <w:r w:rsidRPr="57BD5007">
        <w:rPr>
          <w:lang w:eastAsia="en-NZ"/>
        </w:rPr>
        <w:t>.</w:t>
      </w:r>
    </w:p>
    <w:p w14:paraId="164CD12A" w14:textId="600F04FE" w:rsidR="00EB2BFD" w:rsidRDefault="00EB2BFD" w:rsidP="00EB2BFD">
      <w:pPr>
        <w:spacing w:before="120" w:after="120" w:line="276" w:lineRule="auto"/>
        <w:rPr>
          <w:lang w:eastAsia="en-NZ"/>
        </w:rPr>
      </w:pPr>
    </w:p>
    <w:p w14:paraId="3B3F67C7" w14:textId="77777777" w:rsidR="00EB2BFD" w:rsidRDefault="00EB2BFD" w:rsidP="00EB2BFD">
      <w:pPr>
        <w:spacing w:before="120" w:after="120" w:line="276" w:lineRule="auto"/>
        <w:rPr>
          <w:lang w:eastAsia="en-NZ"/>
        </w:rPr>
      </w:pPr>
    </w:p>
    <w:p w14:paraId="54E556DF" w14:textId="77777777" w:rsidR="00EB2BFD" w:rsidRDefault="00EB2BFD" w:rsidP="00EB2BFD">
      <w:pPr>
        <w:pStyle w:val="Heading4"/>
        <w:spacing w:line="276" w:lineRule="auto"/>
        <w:jc w:val="both"/>
      </w:pPr>
      <w:r>
        <w:lastRenderedPageBreak/>
        <w:t>Dr Analosa Veukiso-Ulugia</w:t>
      </w:r>
    </w:p>
    <w:p w14:paraId="7D429A86" w14:textId="77777777" w:rsidR="00EB2BFD" w:rsidRDefault="00EB2BFD" w:rsidP="00EB2BFD">
      <w:pPr>
        <w:pStyle w:val="Heading5"/>
        <w:spacing w:line="276" w:lineRule="auto"/>
        <w:jc w:val="both"/>
      </w:pPr>
      <w:r>
        <w:t>Membership role: General layperson (with expertise in Pacific people's health)</w:t>
      </w:r>
    </w:p>
    <w:p w14:paraId="7F2F0DFF" w14:textId="77777777" w:rsidR="00EB2BFD" w:rsidRDefault="00EB2BFD" w:rsidP="00EB2BFD">
      <w:r>
        <w:t xml:space="preserve">Dr Analosa Veukiso-Ulugia was appointed to ACART for a period of three years beginning on 6 December 2018. </w:t>
      </w:r>
    </w:p>
    <w:p w14:paraId="4B38F1A3" w14:textId="77777777" w:rsidR="00EB2BFD" w:rsidRDefault="00EB2BFD" w:rsidP="00EB2BFD"/>
    <w:p w14:paraId="629AD9BF" w14:textId="77777777" w:rsidR="00EB2BFD" w:rsidRDefault="00EB2BFD" w:rsidP="00EB2BFD">
      <w:r>
        <w:t xml:space="preserve">Analosa is a </w:t>
      </w:r>
      <w:proofErr w:type="spellStart"/>
      <w:r>
        <w:t>Sāmoan</w:t>
      </w:r>
      <w:proofErr w:type="spellEnd"/>
      <w:r>
        <w:t xml:space="preserve"> lecturer in the School of Counselling, Human Services and Social Work at the University of Auckland. </w:t>
      </w:r>
    </w:p>
    <w:p w14:paraId="69A064ED" w14:textId="77777777" w:rsidR="00EB2BFD" w:rsidRDefault="00EB2BFD" w:rsidP="00EB2BFD"/>
    <w:p w14:paraId="494CD18E" w14:textId="1C010104" w:rsidR="00EB2BFD" w:rsidRDefault="00EB2BFD" w:rsidP="00EB2BFD">
      <w:r>
        <w:t>A health professional specialising in Pacific youth health, Analosa is committed to the empowerment of Pacific communities, in the area of sexual health and wellbeing. Analosa draws on over 15 years of clinical, community, research and management experience. Analosa completed her PhD in 2017 on the Sexual Health Knowledge, Attitudes and Behaviour of Samoan Youth in Aotearoa New Zealand.</w:t>
      </w:r>
    </w:p>
    <w:p w14:paraId="6D90B83D" w14:textId="77777777" w:rsidR="00EB2BFD" w:rsidRDefault="00EB2BFD" w:rsidP="00EB2BFD">
      <w:pPr>
        <w:spacing w:line="276" w:lineRule="auto"/>
      </w:pPr>
    </w:p>
    <w:p w14:paraId="23101F49" w14:textId="77777777" w:rsidR="00EB2BFD" w:rsidRDefault="00EB2BFD" w:rsidP="00EB2BFD">
      <w:pPr>
        <w:pStyle w:val="Heading4"/>
        <w:spacing w:before="120" w:line="276" w:lineRule="auto"/>
        <w:jc w:val="both"/>
        <w:rPr>
          <w:lang w:eastAsia="en-NZ"/>
        </w:rPr>
      </w:pPr>
      <w:r>
        <w:t xml:space="preserve">Dr Sarah Wakeman </w:t>
      </w:r>
    </w:p>
    <w:p w14:paraId="3C8D002C" w14:textId="77777777" w:rsidR="00EB2BFD" w:rsidRPr="008279CB" w:rsidRDefault="00EB2BFD" w:rsidP="00EB2BFD">
      <w:pPr>
        <w:pStyle w:val="Heading5"/>
        <w:spacing w:line="276" w:lineRule="auto"/>
        <w:jc w:val="both"/>
      </w:pPr>
      <w:r>
        <w:t>Membership role: Expertise in assisted reproductive procedures</w:t>
      </w:r>
    </w:p>
    <w:p w14:paraId="084C6ADC" w14:textId="0A7D1F87" w:rsidR="00EB2BFD" w:rsidRDefault="00EB2BFD" w:rsidP="00EB2BFD">
      <w:pPr>
        <w:rPr>
          <w:lang w:eastAsia="en-NZ"/>
        </w:rPr>
      </w:pPr>
      <w:r w:rsidRPr="57BD5007">
        <w:rPr>
          <w:lang w:eastAsia="en-NZ"/>
        </w:rPr>
        <w:t>Sarah was appointed to ACART in December 2016.</w:t>
      </w:r>
    </w:p>
    <w:p w14:paraId="7D2F3689" w14:textId="77777777" w:rsidR="00EB2BFD" w:rsidRDefault="00EB2BFD" w:rsidP="00EB2BFD">
      <w:pPr>
        <w:rPr>
          <w:lang w:eastAsia="en-NZ"/>
        </w:rPr>
      </w:pPr>
    </w:p>
    <w:p w14:paraId="76AC2959" w14:textId="174C2454" w:rsidR="00EB2BFD" w:rsidRDefault="00EB2BFD" w:rsidP="00EB2BFD">
      <w:pPr>
        <w:rPr>
          <w:lang w:eastAsia="en-NZ"/>
        </w:rPr>
      </w:pPr>
      <w:r w:rsidRPr="57BD5007">
        <w:rPr>
          <w:lang w:eastAsia="en-NZ"/>
        </w:rPr>
        <w:t>Sarah is a graduate of Otago Medical School and trained as an obstetrician and gynaecologist in Hawkes Bay and Christchurch. She then went on to subspecialise in reproductive endocrinology and infertility, spending time working in Christchurch and Melbourne, and gained her Certificate of Reproductive Endocrinology and Infertility in 2008. She has been working in the area of infertility for 16 years. She is the medical director of Fertility Associates, Christchurch, which provides both public and private fertility related services. She has special interests in recurrent miscarriage, genetic testing and fertility preservation. She has ongoing involvement in clinical research and teaching of medical students and graduates.</w:t>
      </w:r>
    </w:p>
    <w:p w14:paraId="5F1A560C" w14:textId="77777777" w:rsidR="00EB2BFD" w:rsidRDefault="00EB2BFD" w:rsidP="00EB2BFD">
      <w:pPr>
        <w:rPr>
          <w:lang w:eastAsia="en-NZ"/>
        </w:rPr>
      </w:pPr>
    </w:p>
    <w:p w14:paraId="45BB3AB6" w14:textId="77777777" w:rsidR="00EB2BFD" w:rsidRDefault="00EB2BFD" w:rsidP="00EB2BFD">
      <w:pPr>
        <w:rPr>
          <w:lang w:eastAsia="en-NZ"/>
        </w:rPr>
      </w:pPr>
      <w:r w:rsidRPr="57BD5007">
        <w:rPr>
          <w:lang w:eastAsia="en-NZ"/>
        </w:rPr>
        <w:t>Sarah is married and has three school-age children.</w:t>
      </w:r>
    </w:p>
    <w:p w14:paraId="1A5801FC" w14:textId="77777777" w:rsidR="00EB2BFD" w:rsidRDefault="00EB2BFD" w:rsidP="007B4D88">
      <w:pPr>
        <w:rPr>
          <w:lang w:val="en"/>
        </w:rPr>
      </w:pPr>
    </w:p>
    <w:p w14:paraId="125EC4F0" w14:textId="77777777" w:rsidR="003B6FBE" w:rsidRPr="00436D26" w:rsidRDefault="003B6FBE" w:rsidP="007B4D88">
      <w:pPr>
        <w:rPr>
          <w:lang w:eastAsia="en-US"/>
        </w:rPr>
      </w:pPr>
    </w:p>
    <w:p w14:paraId="58B5DF1D" w14:textId="77777777" w:rsidR="006C3777" w:rsidRPr="006C3777" w:rsidRDefault="006C3777" w:rsidP="00863649">
      <w:pPr>
        <w:rPr>
          <w:i/>
        </w:rPr>
        <w:sectPr w:rsidR="006C3777" w:rsidRPr="006C3777" w:rsidSect="00CE0802">
          <w:footerReference w:type="even" r:id="rId30"/>
          <w:footerReference w:type="first" r:id="rId31"/>
          <w:pgSz w:w="11907" w:h="16834" w:code="9"/>
          <w:pgMar w:top="1701" w:right="1418" w:bottom="1701" w:left="1701" w:header="0" w:footer="425" w:gutter="0"/>
          <w:cols w:space="720"/>
          <w:titlePg/>
        </w:sectPr>
      </w:pPr>
    </w:p>
    <w:p w14:paraId="543D30A7" w14:textId="77777777" w:rsidR="008569C6" w:rsidRDefault="000F0E9D" w:rsidP="00A53FBB">
      <w:pPr>
        <w:pStyle w:val="Heading1"/>
      </w:pPr>
      <w:bookmarkStart w:id="105" w:name="_Toc272911773"/>
      <w:bookmarkStart w:id="106" w:name="_Toc135719896"/>
      <w:bookmarkEnd w:id="85"/>
      <w:r>
        <w:lastRenderedPageBreak/>
        <w:t>Appendix 2</w:t>
      </w:r>
      <w:r w:rsidR="008569C6" w:rsidRPr="00EC0075">
        <w:t xml:space="preserve">: Member </w:t>
      </w:r>
      <w:r w:rsidR="00486D31">
        <w:t>a</w:t>
      </w:r>
      <w:r w:rsidR="008569C6" w:rsidRPr="00EC0075">
        <w:t>ttendance</w:t>
      </w:r>
      <w:bookmarkEnd w:id="105"/>
      <w:r w:rsidR="00486D31">
        <w:t xml:space="preserve"> at full ACART meetings</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7"/>
        <w:gridCol w:w="1134"/>
        <w:gridCol w:w="1077"/>
        <w:gridCol w:w="1077"/>
        <w:gridCol w:w="1077"/>
      </w:tblGrid>
      <w:tr w:rsidR="00EB2BFD" w:rsidRPr="00000EC6" w14:paraId="27E80D65" w14:textId="77777777" w:rsidTr="00DA7933">
        <w:trPr>
          <w:cantSplit/>
        </w:trPr>
        <w:tc>
          <w:tcPr>
            <w:tcW w:w="2268" w:type="dxa"/>
            <w:shd w:val="clear" w:color="auto" w:fill="D9D9D9"/>
          </w:tcPr>
          <w:p w14:paraId="0ECB6CAA" w14:textId="77777777" w:rsidR="00EB2BFD" w:rsidRPr="00000EC6" w:rsidRDefault="00EB2BFD" w:rsidP="00DA7933">
            <w:pPr>
              <w:pStyle w:val="TableText"/>
              <w:rPr>
                <w:b/>
              </w:rPr>
            </w:pPr>
            <w:r w:rsidRPr="00000EC6">
              <w:rPr>
                <w:b/>
              </w:rPr>
              <w:t>Member</w:t>
            </w:r>
          </w:p>
        </w:tc>
        <w:tc>
          <w:tcPr>
            <w:tcW w:w="1077" w:type="dxa"/>
            <w:shd w:val="clear" w:color="auto" w:fill="D9D9D9"/>
          </w:tcPr>
          <w:p w14:paraId="2D146A22" w14:textId="77777777" w:rsidR="00EB2BFD" w:rsidRPr="00FC3F17" w:rsidRDefault="00EB2BFD" w:rsidP="00DA7933">
            <w:pPr>
              <w:pStyle w:val="TableText"/>
              <w:jc w:val="center"/>
              <w:rPr>
                <w:b/>
              </w:rPr>
            </w:pPr>
            <w:r w:rsidRPr="00FC3F17">
              <w:rPr>
                <w:b/>
              </w:rPr>
              <w:t>August 20</w:t>
            </w:r>
            <w:r>
              <w:rPr>
                <w:b/>
              </w:rPr>
              <w:t>20</w:t>
            </w:r>
          </w:p>
        </w:tc>
        <w:tc>
          <w:tcPr>
            <w:tcW w:w="1077" w:type="dxa"/>
            <w:shd w:val="clear" w:color="auto" w:fill="D9D9D9"/>
          </w:tcPr>
          <w:p w14:paraId="033872EC" w14:textId="77777777" w:rsidR="00EB2BFD" w:rsidRPr="00FC3F17" w:rsidRDefault="00EB2BFD" w:rsidP="00DA7933">
            <w:pPr>
              <w:pStyle w:val="TableText"/>
              <w:jc w:val="center"/>
              <w:rPr>
                <w:b/>
              </w:rPr>
            </w:pPr>
            <w:r w:rsidRPr="00FC3F17">
              <w:rPr>
                <w:b/>
              </w:rPr>
              <w:t>October 20</w:t>
            </w:r>
            <w:r>
              <w:rPr>
                <w:b/>
              </w:rPr>
              <w:t>20</w:t>
            </w:r>
          </w:p>
        </w:tc>
        <w:tc>
          <w:tcPr>
            <w:tcW w:w="1134" w:type="dxa"/>
            <w:shd w:val="clear" w:color="auto" w:fill="D9D9D9"/>
            <w:vAlign w:val="bottom"/>
          </w:tcPr>
          <w:p w14:paraId="279D6FAC" w14:textId="77777777" w:rsidR="00EB2BFD" w:rsidRPr="00FC3F17" w:rsidRDefault="00EB2BFD" w:rsidP="00DA7933">
            <w:pPr>
              <w:pStyle w:val="TableText"/>
              <w:jc w:val="center"/>
              <w:rPr>
                <w:b/>
              </w:rPr>
            </w:pPr>
            <w:r w:rsidRPr="00FC3F17">
              <w:rPr>
                <w:b/>
              </w:rPr>
              <w:t>December20</w:t>
            </w:r>
            <w:r>
              <w:rPr>
                <w:b/>
              </w:rPr>
              <w:t>20</w:t>
            </w:r>
          </w:p>
        </w:tc>
        <w:tc>
          <w:tcPr>
            <w:tcW w:w="1077" w:type="dxa"/>
            <w:shd w:val="clear" w:color="auto" w:fill="D9D9D9"/>
          </w:tcPr>
          <w:p w14:paraId="5DD1EC35" w14:textId="77777777" w:rsidR="00EB2BFD" w:rsidRPr="00FC3F17" w:rsidRDefault="00EB2BFD" w:rsidP="00DA7933">
            <w:pPr>
              <w:pStyle w:val="TableText"/>
              <w:jc w:val="center"/>
              <w:rPr>
                <w:b/>
              </w:rPr>
            </w:pPr>
            <w:r w:rsidRPr="00FC3F17">
              <w:rPr>
                <w:b/>
              </w:rPr>
              <w:t>February 20</w:t>
            </w:r>
            <w:r>
              <w:rPr>
                <w:b/>
              </w:rPr>
              <w:t>21</w:t>
            </w:r>
          </w:p>
        </w:tc>
        <w:tc>
          <w:tcPr>
            <w:tcW w:w="1077" w:type="dxa"/>
            <w:shd w:val="clear" w:color="auto" w:fill="D9D9D9"/>
          </w:tcPr>
          <w:p w14:paraId="595F8C1D" w14:textId="77777777" w:rsidR="00EB2BFD" w:rsidRPr="00FC3F17" w:rsidRDefault="00EB2BFD" w:rsidP="00DA7933">
            <w:pPr>
              <w:pStyle w:val="TableText"/>
              <w:jc w:val="center"/>
              <w:rPr>
                <w:b/>
              </w:rPr>
            </w:pPr>
            <w:r w:rsidRPr="00FC3F17">
              <w:rPr>
                <w:b/>
              </w:rPr>
              <w:t>April</w:t>
            </w:r>
            <w:r w:rsidRPr="00FC3F17">
              <w:rPr>
                <w:b/>
              </w:rPr>
              <w:br/>
              <w:t>20</w:t>
            </w:r>
            <w:r>
              <w:rPr>
                <w:b/>
              </w:rPr>
              <w:t>21</w:t>
            </w:r>
          </w:p>
        </w:tc>
        <w:tc>
          <w:tcPr>
            <w:tcW w:w="1077" w:type="dxa"/>
            <w:shd w:val="clear" w:color="auto" w:fill="D9D9D9"/>
          </w:tcPr>
          <w:p w14:paraId="418F0CBA" w14:textId="77777777" w:rsidR="00EB2BFD" w:rsidRPr="00FC3F17" w:rsidRDefault="00EB2BFD" w:rsidP="00DA7933">
            <w:pPr>
              <w:pStyle w:val="TableText"/>
              <w:jc w:val="center"/>
              <w:rPr>
                <w:b/>
              </w:rPr>
            </w:pPr>
            <w:r w:rsidRPr="00FC3F17">
              <w:rPr>
                <w:b/>
              </w:rPr>
              <w:t>June</w:t>
            </w:r>
            <w:r w:rsidRPr="00FC3F17">
              <w:rPr>
                <w:b/>
              </w:rPr>
              <w:br/>
              <w:t>20</w:t>
            </w:r>
            <w:r>
              <w:rPr>
                <w:b/>
              </w:rPr>
              <w:t>21</w:t>
            </w:r>
          </w:p>
        </w:tc>
      </w:tr>
      <w:tr w:rsidR="00EB2BFD" w:rsidRPr="00D06753" w14:paraId="595E9E9C" w14:textId="77777777" w:rsidTr="00DA7933">
        <w:trPr>
          <w:cantSplit/>
        </w:trPr>
        <w:tc>
          <w:tcPr>
            <w:tcW w:w="2268" w:type="dxa"/>
            <w:shd w:val="clear" w:color="auto" w:fill="auto"/>
          </w:tcPr>
          <w:p w14:paraId="0C569CA8" w14:textId="77777777" w:rsidR="00EB2BFD" w:rsidRPr="007A743A" w:rsidRDefault="00EB2BFD" w:rsidP="00DA7933">
            <w:pPr>
              <w:pStyle w:val="TableText"/>
            </w:pPr>
            <w:r w:rsidRPr="00FC3F17">
              <w:t>Calum Ba</w:t>
            </w:r>
            <w:r w:rsidRPr="00E54A42">
              <w:t>r</w:t>
            </w:r>
            <w:r w:rsidRPr="00FC3F17">
              <w:t>rett</w:t>
            </w:r>
          </w:p>
        </w:tc>
        <w:tc>
          <w:tcPr>
            <w:tcW w:w="1077" w:type="dxa"/>
            <w:tcBorders>
              <w:bottom w:val="single" w:sz="4" w:space="0" w:color="auto"/>
            </w:tcBorders>
            <w:shd w:val="clear" w:color="auto" w:fill="auto"/>
            <w:vAlign w:val="center"/>
          </w:tcPr>
          <w:p w14:paraId="71C49F03"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1F1528F5"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134" w:type="dxa"/>
            <w:tcBorders>
              <w:bottom w:val="single" w:sz="4" w:space="0" w:color="auto"/>
            </w:tcBorders>
            <w:shd w:val="clear" w:color="auto" w:fill="auto"/>
            <w:vAlign w:val="center"/>
          </w:tcPr>
          <w:p w14:paraId="09D10404"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3293CC18"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tcBorders>
              <w:bottom w:val="single" w:sz="4" w:space="0" w:color="auto"/>
            </w:tcBorders>
            <w:shd w:val="clear" w:color="auto" w:fill="FFFFFF"/>
            <w:vAlign w:val="center"/>
          </w:tcPr>
          <w:p w14:paraId="6B0988DC"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tcBorders>
              <w:bottom w:val="single" w:sz="4" w:space="0" w:color="auto"/>
            </w:tcBorders>
            <w:shd w:val="clear" w:color="auto" w:fill="FFFFFF"/>
            <w:vAlign w:val="center"/>
          </w:tcPr>
          <w:p w14:paraId="67D45F73" w14:textId="77777777" w:rsidR="00EB2BFD" w:rsidRPr="00E54A42" w:rsidRDefault="00EB2BFD" w:rsidP="00DA7933">
            <w:pPr>
              <w:pStyle w:val="TableText"/>
              <w:jc w:val="center"/>
            </w:pPr>
            <w:r w:rsidRPr="00FC3F17">
              <w:rPr>
                <w:rFonts w:ascii="Wingdings" w:eastAsia="Wingdings" w:hAnsi="Wingdings" w:cs="Wingdings"/>
                <w:szCs w:val="18"/>
              </w:rPr>
              <w:t>ü</w:t>
            </w:r>
          </w:p>
        </w:tc>
      </w:tr>
      <w:tr w:rsidR="00EB2BFD" w:rsidRPr="00D06753" w14:paraId="1DD0B367" w14:textId="77777777" w:rsidTr="00DA7933">
        <w:trPr>
          <w:cantSplit/>
          <w:trHeight w:val="194"/>
        </w:trPr>
        <w:tc>
          <w:tcPr>
            <w:tcW w:w="2268" w:type="dxa"/>
            <w:shd w:val="clear" w:color="auto" w:fill="auto"/>
          </w:tcPr>
          <w:p w14:paraId="1DF7ACBA" w14:textId="77777777" w:rsidR="00EB2BFD" w:rsidRPr="00FC3F17" w:rsidRDefault="00EB2BFD" w:rsidP="00DA7933">
            <w:pPr>
              <w:pStyle w:val="TableText"/>
            </w:pPr>
            <w:r w:rsidRPr="00575C86">
              <w:t xml:space="preserve">Karaitiana </w:t>
            </w:r>
            <w:proofErr w:type="spellStart"/>
            <w:r w:rsidRPr="00575C86">
              <w:t>Taiuru</w:t>
            </w:r>
            <w:proofErr w:type="spellEnd"/>
          </w:p>
        </w:tc>
        <w:tc>
          <w:tcPr>
            <w:tcW w:w="1077" w:type="dxa"/>
            <w:tcBorders>
              <w:bottom w:val="single" w:sz="4" w:space="0" w:color="auto"/>
            </w:tcBorders>
            <w:shd w:val="clear" w:color="auto" w:fill="auto"/>
            <w:vAlign w:val="center"/>
          </w:tcPr>
          <w:p w14:paraId="41AA1E2F" w14:textId="77777777" w:rsidR="00EB2BFD" w:rsidRPr="007A743A" w:rsidRDefault="00EB2BFD" w:rsidP="00DA7933">
            <w:pPr>
              <w:pStyle w:val="TableText"/>
              <w:jc w:val="center"/>
              <w:rPr>
                <w:szCs w:val="18"/>
              </w:rPr>
            </w:pPr>
            <w:r>
              <w:rPr>
                <w:szCs w:val="18"/>
              </w:rPr>
              <w:t>n/a</w:t>
            </w:r>
          </w:p>
        </w:tc>
        <w:tc>
          <w:tcPr>
            <w:tcW w:w="1077" w:type="dxa"/>
            <w:tcBorders>
              <w:bottom w:val="single" w:sz="4" w:space="0" w:color="auto"/>
            </w:tcBorders>
            <w:shd w:val="clear" w:color="auto" w:fill="auto"/>
            <w:vAlign w:val="center"/>
          </w:tcPr>
          <w:p w14:paraId="3654B6E9"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134" w:type="dxa"/>
            <w:tcBorders>
              <w:bottom w:val="single" w:sz="4" w:space="0" w:color="auto"/>
            </w:tcBorders>
            <w:shd w:val="clear" w:color="auto" w:fill="auto"/>
            <w:vAlign w:val="center"/>
          </w:tcPr>
          <w:p w14:paraId="6AF9C735"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0B5C2FCC" w14:textId="77777777" w:rsidR="00EB2BFD" w:rsidRPr="007A743A" w:rsidRDefault="00EB2BFD" w:rsidP="00DA7933">
            <w:pPr>
              <w:pStyle w:val="TableText"/>
              <w:jc w:val="center"/>
              <w:rPr>
                <w:szCs w:val="18"/>
              </w:rPr>
            </w:pPr>
            <w:proofErr w:type="spellStart"/>
            <w:r>
              <w:rPr>
                <w:szCs w:val="18"/>
              </w:rPr>
              <w:t>Apol</w:t>
            </w:r>
            <w:proofErr w:type="spellEnd"/>
          </w:p>
        </w:tc>
        <w:tc>
          <w:tcPr>
            <w:tcW w:w="1077" w:type="dxa"/>
            <w:tcBorders>
              <w:bottom w:val="single" w:sz="4" w:space="0" w:color="auto"/>
            </w:tcBorders>
            <w:shd w:val="clear" w:color="auto" w:fill="FFFFFF"/>
            <w:vAlign w:val="center"/>
          </w:tcPr>
          <w:p w14:paraId="6AA25C2E"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FFFFFF"/>
            <w:vAlign w:val="center"/>
          </w:tcPr>
          <w:p w14:paraId="71B73DF4"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r>
      <w:tr w:rsidR="00EB2BFD" w:rsidRPr="00D06753" w14:paraId="2B105F94" w14:textId="77777777" w:rsidTr="00DA7933">
        <w:trPr>
          <w:cantSplit/>
        </w:trPr>
        <w:tc>
          <w:tcPr>
            <w:tcW w:w="2268" w:type="dxa"/>
            <w:shd w:val="clear" w:color="auto" w:fill="auto"/>
          </w:tcPr>
          <w:p w14:paraId="6A7F3056" w14:textId="77777777" w:rsidR="00EB2BFD" w:rsidRPr="007A743A" w:rsidRDefault="00EB2BFD" w:rsidP="00DA7933">
            <w:pPr>
              <w:pStyle w:val="TableText"/>
            </w:pPr>
            <w:r w:rsidRPr="007A743A">
              <w:t>Kathleen Logan</w:t>
            </w:r>
            <w:r>
              <w:t xml:space="preserve"> (Chair)</w:t>
            </w:r>
          </w:p>
        </w:tc>
        <w:tc>
          <w:tcPr>
            <w:tcW w:w="1077" w:type="dxa"/>
            <w:shd w:val="clear" w:color="auto" w:fill="auto"/>
            <w:vAlign w:val="center"/>
          </w:tcPr>
          <w:p w14:paraId="2C6E3CBE"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1C1D1546" w14:textId="77777777" w:rsidR="00EB2BFD" w:rsidRPr="007A743A" w:rsidRDefault="00EB2BFD" w:rsidP="00DA7933">
            <w:pPr>
              <w:pStyle w:val="TableText"/>
              <w:jc w:val="center"/>
            </w:pPr>
            <w:proofErr w:type="spellStart"/>
            <w:r>
              <w:rPr>
                <w:szCs w:val="18"/>
              </w:rPr>
              <w:t>Apol</w:t>
            </w:r>
            <w:proofErr w:type="spellEnd"/>
          </w:p>
        </w:tc>
        <w:tc>
          <w:tcPr>
            <w:tcW w:w="1134" w:type="dxa"/>
            <w:shd w:val="clear" w:color="auto" w:fill="auto"/>
            <w:vAlign w:val="center"/>
          </w:tcPr>
          <w:p w14:paraId="22C5E683"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1D28FF64"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48DA63F6"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7D39BCE4" w14:textId="77777777" w:rsidR="00EB2BFD" w:rsidRPr="00E54A42" w:rsidRDefault="00EB2BFD" w:rsidP="00DA7933">
            <w:pPr>
              <w:pStyle w:val="TableText"/>
              <w:jc w:val="center"/>
            </w:pPr>
            <w:r w:rsidRPr="00FC3F17">
              <w:rPr>
                <w:rFonts w:ascii="Wingdings" w:eastAsia="Wingdings" w:hAnsi="Wingdings" w:cs="Wingdings"/>
                <w:szCs w:val="18"/>
              </w:rPr>
              <w:t>ü</w:t>
            </w:r>
          </w:p>
        </w:tc>
      </w:tr>
      <w:tr w:rsidR="00EB2BFD" w:rsidRPr="00D06753" w14:paraId="14C79B1A" w14:textId="77777777" w:rsidTr="00DA7933">
        <w:trPr>
          <w:cantSplit/>
        </w:trPr>
        <w:tc>
          <w:tcPr>
            <w:tcW w:w="2268" w:type="dxa"/>
            <w:shd w:val="clear" w:color="auto" w:fill="auto"/>
          </w:tcPr>
          <w:p w14:paraId="2E2F8835" w14:textId="77777777" w:rsidR="00EB2BFD" w:rsidRPr="007A743A" w:rsidRDefault="00EB2BFD" w:rsidP="00DA7933">
            <w:pPr>
              <w:pStyle w:val="TableText"/>
            </w:pPr>
            <w:r w:rsidRPr="007A743A">
              <w:t>Sue McKenzie</w:t>
            </w:r>
          </w:p>
        </w:tc>
        <w:tc>
          <w:tcPr>
            <w:tcW w:w="1077" w:type="dxa"/>
            <w:shd w:val="clear" w:color="auto" w:fill="auto"/>
            <w:vAlign w:val="center"/>
          </w:tcPr>
          <w:p w14:paraId="7089321E"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5A549312" w14:textId="77777777" w:rsidR="00EB2BFD" w:rsidRPr="007A743A" w:rsidRDefault="00EB2BFD" w:rsidP="00DA7933">
            <w:pPr>
              <w:pStyle w:val="TableText"/>
              <w:jc w:val="center"/>
            </w:pPr>
            <w:r>
              <w:rPr>
                <w:szCs w:val="18"/>
              </w:rPr>
              <w:t>n/a</w:t>
            </w:r>
          </w:p>
        </w:tc>
        <w:tc>
          <w:tcPr>
            <w:tcW w:w="1134" w:type="dxa"/>
            <w:shd w:val="clear" w:color="auto" w:fill="auto"/>
            <w:vAlign w:val="center"/>
          </w:tcPr>
          <w:p w14:paraId="799B0236" w14:textId="77777777" w:rsidR="00EB2BFD" w:rsidRPr="007A743A" w:rsidRDefault="00EB2BFD" w:rsidP="00DA7933">
            <w:pPr>
              <w:pStyle w:val="TableText"/>
              <w:jc w:val="center"/>
            </w:pPr>
            <w:r>
              <w:rPr>
                <w:szCs w:val="18"/>
              </w:rPr>
              <w:t>n/a</w:t>
            </w:r>
          </w:p>
        </w:tc>
        <w:tc>
          <w:tcPr>
            <w:tcW w:w="1077" w:type="dxa"/>
            <w:shd w:val="clear" w:color="auto" w:fill="auto"/>
            <w:vAlign w:val="center"/>
          </w:tcPr>
          <w:p w14:paraId="4AB0C84E" w14:textId="77777777" w:rsidR="00EB2BFD" w:rsidRPr="007A743A" w:rsidRDefault="00EB2BFD" w:rsidP="00DA7933">
            <w:pPr>
              <w:pStyle w:val="TableText"/>
              <w:ind w:left="360"/>
            </w:pPr>
            <w:r>
              <w:rPr>
                <w:szCs w:val="18"/>
              </w:rPr>
              <w:t>n/a</w:t>
            </w:r>
          </w:p>
        </w:tc>
        <w:tc>
          <w:tcPr>
            <w:tcW w:w="1077" w:type="dxa"/>
            <w:tcBorders>
              <w:bottom w:val="single" w:sz="4" w:space="0" w:color="auto"/>
            </w:tcBorders>
            <w:shd w:val="clear" w:color="auto" w:fill="auto"/>
            <w:vAlign w:val="center"/>
          </w:tcPr>
          <w:p w14:paraId="7B012762" w14:textId="77777777" w:rsidR="00EB2BFD" w:rsidRPr="007A743A" w:rsidRDefault="00EB2BFD" w:rsidP="00DA7933">
            <w:pPr>
              <w:pStyle w:val="TableText"/>
              <w:jc w:val="center"/>
            </w:pPr>
            <w:r>
              <w:rPr>
                <w:szCs w:val="18"/>
              </w:rPr>
              <w:t>n/a</w:t>
            </w:r>
          </w:p>
        </w:tc>
        <w:tc>
          <w:tcPr>
            <w:tcW w:w="1077" w:type="dxa"/>
            <w:shd w:val="clear" w:color="auto" w:fill="auto"/>
            <w:vAlign w:val="center"/>
          </w:tcPr>
          <w:p w14:paraId="7650CCA4" w14:textId="77777777" w:rsidR="00EB2BFD" w:rsidRPr="00E54A42" w:rsidRDefault="00EB2BFD" w:rsidP="00DA7933">
            <w:pPr>
              <w:pStyle w:val="TableText"/>
              <w:jc w:val="center"/>
            </w:pPr>
            <w:r>
              <w:rPr>
                <w:szCs w:val="18"/>
              </w:rPr>
              <w:t>n/a</w:t>
            </w:r>
          </w:p>
        </w:tc>
      </w:tr>
      <w:tr w:rsidR="00EB2BFD" w:rsidRPr="00D06753" w14:paraId="5766BDAB" w14:textId="77777777" w:rsidTr="00DA7933">
        <w:trPr>
          <w:cantSplit/>
        </w:trPr>
        <w:tc>
          <w:tcPr>
            <w:tcW w:w="2268" w:type="dxa"/>
            <w:shd w:val="clear" w:color="auto" w:fill="auto"/>
          </w:tcPr>
          <w:p w14:paraId="48960119" w14:textId="77777777" w:rsidR="00EB2BFD" w:rsidRPr="007A743A" w:rsidRDefault="00EB2BFD" w:rsidP="00DA7933">
            <w:pPr>
              <w:pStyle w:val="TableText"/>
            </w:pPr>
            <w:r w:rsidRPr="007A743A">
              <w:t>Colin Gavaghan</w:t>
            </w:r>
          </w:p>
        </w:tc>
        <w:tc>
          <w:tcPr>
            <w:tcW w:w="1077" w:type="dxa"/>
            <w:shd w:val="clear" w:color="auto" w:fill="auto"/>
            <w:vAlign w:val="center"/>
          </w:tcPr>
          <w:p w14:paraId="3DB4EEF4"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613FDC6F"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134" w:type="dxa"/>
            <w:shd w:val="clear" w:color="auto" w:fill="auto"/>
            <w:vAlign w:val="center"/>
          </w:tcPr>
          <w:p w14:paraId="69F86756"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79A14659"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3B14CB0E" w14:textId="77777777" w:rsidR="00EB2BFD" w:rsidRPr="007A743A" w:rsidRDefault="00EB2BFD" w:rsidP="00DA7933">
            <w:pPr>
              <w:pStyle w:val="TableText"/>
              <w:jc w:val="center"/>
            </w:pPr>
            <w:proofErr w:type="spellStart"/>
            <w:r>
              <w:rPr>
                <w:szCs w:val="18"/>
              </w:rPr>
              <w:t>Apol</w:t>
            </w:r>
            <w:proofErr w:type="spellEnd"/>
          </w:p>
        </w:tc>
        <w:tc>
          <w:tcPr>
            <w:tcW w:w="1077" w:type="dxa"/>
            <w:shd w:val="clear" w:color="auto" w:fill="auto"/>
            <w:vAlign w:val="center"/>
          </w:tcPr>
          <w:p w14:paraId="27BEA257" w14:textId="77777777" w:rsidR="00EB2BFD" w:rsidRPr="00E54A42" w:rsidRDefault="00EB2BFD" w:rsidP="00DA7933">
            <w:pPr>
              <w:pStyle w:val="TableText"/>
              <w:jc w:val="center"/>
              <w:rPr>
                <w:szCs w:val="18"/>
              </w:rPr>
            </w:pPr>
            <w:r>
              <w:rPr>
                <w:szCs w:val="18"/>
              </w:rPr>
              <w:t>n/a</w:t>
            </w:r>
          </w:p>
        </w:tc>
      </w:tr>
      <w:tr w:rsidR="00EB2BFD" w:rsidRPr="00D06753" w14:paraId="777F3467" w14:textId="77777777" w:rsidTr="00DA7933">
        <w:trPr>
          <w:cantSplit/>
        </w:trPr>
        <w:tc>
          <w:tcPr>
            <w:tcW w:w="2268" w:type="dxa"/>
            <w:shd w:val="clear" w:color="auto" w:fill="auto"/>
          </w:tcPr>
          <w:p w14:paraId="1B872FB3" w14:textId="77777777" w:rsidR="00EB2BFD" w:rsidRPr="007A743A" w:rsidRDefault="00EB2BFD" w:rsidP="00DA7933">
            <w:pPr>
              <w:pStyle w:val="TableText"/>
            </w:pPr>
            <w:r w:rsidRPr="007A743A">
              <w:t>Karen Reader</w:t>
            </w:r>
          </w:p>
        </w:tc>
        <w:tc>
          <w:tcPr>
            <w:tcW w:w="1077" w:type="dxa"/>
            <w:shd w:val="clear" w:color="auto" w:fill="auto"/>
            <w:vAlign w:val="center"/>
          </w:tcPr>
          <w:p w14:paraId="2C3DB30E"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shd w:val="clear" w:color="auto" w:fill="auto"/>
            <w:vAlign w:val="center"/>
          </w:tcPr>
          <w:p w14:paraId="560AEF6F"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134" w:type="dxa"/>
            <w:shd w:val="clear" w:color="auto" w:fill="auto"/>
            <w:vAlign w:val="center"/>
          </w:tcPr>
          <w:p w14:paraId="7C905CDF"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4947D843"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644068EA" w14:textId="77777777" w:rsidR="00EB2BFD" w:rsidRPr="007A743A" w:rsidRDefault="00EB2BFD" w:rsidP="00DA7933">
            <w:pPr>
              <w:pStyle w:val="TableText"/>
              <w:jc w:val="center"/>
            </w:pPr>
            <w:proofErr w:type="spellStart"/>
            <w:r>
              <w:rPr>
                <w:szCs w:val="18"/>
              </w:rPr>
              <w:t>Apol</w:t>
            </w:r>
            <w:proofErr w:type="spellEnd"/>
          </w:p>
        </w:tc>
        <w:tc>
          <w:tcPr>
            <w:tcW w:w="1077" w:type="dxa"/>
            <w:shd w:val="clear" w:color="auto" w:fill="auto"/>
            <w:vAlign w:val="center"/>
          </w:tcPr>
          <w:p w14:paraId="1605CC66" w14:textId="77777777" w:rsidR="00EB2BFD" w:rsidRPr="00E54A42" w:rsidRDefault="00EB2BFD" w:rsidP="00DA7933">
            <w:pPr>
              <w:pStyle w:val="TableText"/>
              <w:jc w:val="center"/>
            </w:pPr>
            <w:r w:rsidRPr="00FC3F17">
              <w:rPr>
                <w:rFonts w:ascii="Wingdings" w:eastAsia="Wingdings" w:hAnsi="Wingdings" w:cs="Wingdings"/>
                <w:szCs w:val="18"/>
              </w:rPr>
              <w:t>ü</w:t>
            </w:r>
          </w:p>
        </w:tc>
      </w:tr>
      <w:tr w:rsidR="00EB2BFD" w:rsidRPr="00D06753" w14:paraId="2E1B5F0F" w14:textId="77777777" w:rsidTr="00DA7933">
        <w:trPr>
          <w:cantSplit/>
        </w:trPr>
        <w:tc>
          <w:tcPr>
            <w:tcW w:w="2268" w:type="dxa"/>
            <w:shd w:val="clear" w:color="auto" w:fill="auto"/>
          </w:tcPr>
          <w:p w14:paraId="660A3AF8" w14:textId="77777777" w:rsidR="00EB2BFD" w:rsidRPr="007A743A" w:rsidRDefault="00EB2BFD" w:rsidP="00DA7933">
            <w:pPr>
              <w:pStyle w:val="TableText"/>
            </w:pPr>
            <w:r w:rsidRPr="007A743A">
              <w:t>Sarah Wakeman</w:t>
            </w:r>
          </w:p>
        </w:tc>
        <w:tc>
          <w:tcPr>
            <w:tcW w:w="1077" w:type="dxa"/>
            <w:shd w:val="clear" w:color="auto" w:fill="auto"/>
            <w:vAlign w:val="center"/>
          </w:tcPr>
          <w:p w14:paraId="31851722"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59D5416D"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134" w:type="dxa"/>
            <w:shd w:val="clear" w:color="auto" w:fill="auto"/>
            <w:vAlign w:val="center"/>
          </w:tcPr>
          <w:p w14:paraId="653BD6C6"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43AB6483"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213BD5BA" w14:textId="77777777" w:rsidR="00EB2BFD" w:rsidRPr="007A743A"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0F82F5C6" w14:textId="77777777" w:rsidR="00EB2BFD" w:rsidRPr="00E54A42" w:rsidRDefault="00EB2BFD" w:rsidP="00DA7933">
            <w:pPr>
              <w:pStyle w:val="TableText"/>
              <w:jc w:val="center"/>
            </w:pPr>
            <w:r w:rsidRPr="00FC3F17">
              <w:rPr>
                <w:rFonts w:ascii="Wingdings" w:eastAsia="Wingdings" w:hAnsi="Wingdings" w:cs="Wingdings"/>
                <w:szCs w:val="18"/>
              </w:rPr>
              <w:t>ü</w:t>
            </w:r>
          </w:p>
        </w:tc>
      </w:tr>
      <w:tr w:rsidR="00EB2BFD" w:rsidRPr="00D06753" w14:paraId="3B43F79E" w14:textId="77777777" w:rsidTr="00DA7933">
        <w:trPr>
          <w:cantSplit/>
        </w:trPr>
        <w:tc>
          <w:tcPr>
            <w:tcW w:w="2268" w:type="dxa"/>
            <w:shd w:val="clear" w:color="auto" w:fill="auto"/>
          </w:tcPr>
          <w:p w14:paraId="6B1A89C7" w14:textId="77777777" w:rsidR="00EB2BFD" w:rsidRPr="007A743A" w:rsidRDefault="00EB2BFD" w:rsidP="00DA7933">
            <w:pPr>
              <w:pStyle w:val="TableText"/>
            </w:pPr>
            <w:r w:rsidRPr="00FC3F17">
              <w:t>Analos</w:t>
            </w:r>
            <w:r w:rsidRPr="00E54A42">
              <w:t>a Veukiso-Ulugia</w:t>
            </w:r>
          </w:p>
        </w:tc>
        <w:tc>
          <w:tcPr>
            <w:tcW w:w="1077" w:type="dxa"/>
            <w:tcBorders>
              <w:bottom w:val="single" w:sz="4" w:space="0" w:color="auto"/>
            </w:tcBorders>
            <w:shd w:val="clear" w:color="auto" w:fill="auto"/>
            <w:vAlign w:val="center"/>
          </w:tcPr>
          <w:p w14:paraId="7424947F"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3A61BA0F"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c>
          <w:tcPr>
            <w:tcW w:w="1134" w:type="dxa"/>
            <w:shd w:val="clear" w:color="auto" w:fill="auto"/>
            <w:vAlign w:val="center"/>
          </w:tcPr>
          <w:p w14:paraId="522B96E8"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c>
          <w:tcPr>
            <w:tcW w:w="1077" w:type="dxa"/>
            <w:shd w:val="clear" w:color="auto" w:fill="auto"/>
            <w:vAlign w:val="center"/>
          </w:tcPr>
          <w:p w14:paraId="6D492ABB" w14:textId="77777777" w:rsidR="00EB2BFD" w:rsidRPr="00FC3F17" w:rsidRDefault="00EB2BFD" w:rsidP="00DA7933">
            <w:pPr>
              <w:pStyle w:val="TableText"/>
              <w:jc w:val="center"/>
              <w:rPr>
                <w:szCs w:val="18"/>
              </w:rPr>
            </w:pPr>
            <w:r w:rsidRPr="00FC3F17">
              <w:rPr>
                <w:rFonts w:ascii="Wingdings" w:eastAsia="Wingdings" w:hAnsi="Wingdings" w:cs="Wingdings"/>
                <w:szCs w:val="18"/>
              </w:rPr>
              <w:t>ü</w:t>
            </w:r>
          </w:p>
        </w:tc>
        <w:tc>
          <w:tcPr>
            <w:tcW w:w="1077" w:type="dxa"/>
            <w:shd w:val="clear" w:color="auto" w:fill="auto"/>
            <w:vAlign w:val="center"/>
          </w:tcPr>
          <w:p w14:paraId="2AF929B7" w14:textId="77777777" w:rsidR="00EB2BFD" w:rsidRPr="00FC3F17" w:rsidRDefault="00EB2BFD" w:rsidP="00DA7933">
            <w:pPr>
              <w:pStyle w:val="TableText"/>
              <w:jc w:val="center"/>
            </w:pPr>
            <w:r w:rsidRPr="007A743A">
              <w:rPr>
                <w:rFonts w:ascii="Wingdings" w:eastAsia="Wingdings" w:hAnsi="Wingdings" w:cs="Wingdings"/>
                <w:szCs w:val="18"/>
              </w:rPr>
              <w:t>ü</w:t>
            </w:r>
          </w:p>
        </w:tc>
        <w:tc>
          <w:tcPr>
            <w:tcW w:w="1077" w:type="dxa"/>
            <w:shd w:val="clear" w:color="auto" w:fill="auto"/>
            <w:vAlign w:val="center"/>
          </w:tcPr>
          <w:p w14:paraId="33C22CF8" w14:textId="77777777" w:rsidR="00EB2BFD" w:rsidRPr="00FC3F17" w:rsidRDefault="00EB2BFD" w:rsidP="00DA7933">
            <w:pPr>
              <w:pStyle w:val="TableText"/>
              <w:jc w:val="center"/>
              <w:rPr>
                <w:szCs w:val="18"/>
              </w:rPr>
            </w:pPr>
            <w:r w:rsidRPr="00FC3F17">
              <w:rPr>
                <w:rFonts w:ascii="Wingdings" w:eastAsia="Wingdings" w:hAnsi="Wingdings" w:cs="Wingdings"/>
                <w:szCs w:val="18"/>
              </w:rPr>
              <w:t>ü</w:t>
            </w:r>
          </w:p>
        </w:tc>
      </w:tr>
      <w:tr w:rsidR="00EB2BFD" w:rsidRPr="00D06753" w14:paraId="6E8FBE2C" w14:textId="77777777" w:rsidTr="00DA7933">
        <w:trPr>
          <w:cantSplit/>
        </w:trPr>
        <w:tc>
          <w:tcPr>
            <w:tcW w:w="2268" w:type="dxa"/>
            <w:shd w:val="clear" w:color="auto" w:fill="auto"/>
          </w:tcPr>
          <w:p w14:paraId="397F33DA" w14:textId="77777777" w:rsidR="00EB2BFD" w:rsidRPr="00FC3F17" w:rsidRDefault="00EB2BFD" w:rsidP="00DA7933">
            <w:pPr>
              <w:pStyle w:val="TableText"/>
            </w:pPr>
            <w:r w:rsidRPr="00575C86">
              <w:t>Rosemary De Luca</w:t>
            </w:r>
          </w:p>
        </w:tc>
        <w:tc>
          <w:tcPr>
            <w:tcW w:w="1077" w:type="dxa"/>
            <w:shd w:val="clear" w:color="auto" w:fill="auto"/>
            <w:vAlign w:val="center"/>
          </w:tcPr>
          <w:p w14:paraId="5FF508A9" w14:textId="77777777" w:rsidR="00EB2BFD" w:rsidRPr="00FC3F17" w:rsidRDefault="00EB2BFD" w:rsidP="00DA7933">
            <w:pPr>
              <w:pStyle w:val="TableText"/>
              <w:jc w:val="center"/>
              <w:rPr>
                <w:szCs w:val="18"/>
              </w:rPr>
            </w:pPr>
            <w:r>
              <w:rPr>
                <w:szCs w:val="18"/>
              </w:rPr>
              <w:t>n/a</w:t>
            </w:r>
          </w:p>
        </w:tc>
        <w:tc>
          <w:tcPr>
            <w:tcW w:w="1077" w:type="dxa"/>
            <w:shd w:val="clear" w:color="auto" w:fill="auto"/>
            <w:vAlign w:val="center"/>
          </w:tcPr>
          <w:p w14:paraId="565A2CC3"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c>
          <w:tcPr>
            <w:tcW w:w="1134" w:type="dxa"/>
            <w:shd w:val="clear" w:color="auto" w:fill="auto"/>
            <w:vAlign w:val="center"/>
          </w:tcPr>
          <w:p w14:paraId="5C7407DC"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6A5E66A6"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4294E571" w14:textId="77777777" w:rsidR="00EB2BFD" w:rsidRPr="00FC3F17" w:rsidRDefault="00EB2BFD" w:rsidP="00DA7933">
            <w:pPr>
              <w:pStyle w:val="TableText"/>
              <w:jc w:val="cente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6532F28B" w14:textId="77777777" w:rsidR="00EB2BFD" w:rsidRPr="00FC3F17" w:rsidRDefault="00EB2BFD" w:rsidP="00DA7933">
            <w:pPr>
              <w:pStyle w:val="TableText"/>
              <w:jc w:val="center"/>
              <w:rPr>
                <w:szCs w:val="18"/>
              </w:rPr>
            </w:pPr>
            <w:r w:rsidRPr="00FC3F17">
              <w:rPr>
                <w:rFonts w:ascii="Wingdings" w:eastAsia="Wingdings" w:hAnsi="Wingdings" w:cs="Wingdings"/>
                <w:szCs w:val="18"/>
              </w:rPr>
              <w:t>ü</w:t>
            </w:r>
          </w:p>
        </w:tc>
      </w:tr>
      <w:tr w:rsidR="00EB2BFD" w:rsidRPr="00D06753" w14:paraId="091E3292" w14:textId="77777777" w:rsidTr="00DA7933">
        <w:trPr>
          <w:cantSplit/>
        </w:trPr>
        <w:tc>
          <w:tcPr>
            <w:tcW w:w="2268" w:type="dxa"/>
            <w:shd w:val="clear" w:color="auto" w:fill="auto"/>
          </w:tcPr>
          <w:p w14:paraId="1B7F8B9B" w14:textId="77777777" w:rsidR="00EB2BFD" w:rsidRPr="00575C86" w:rsidRDefault="00EB2BFD" w:rsidP="00DA7933">
            <w:pPr>
              <w:pStyle w:val="TableText"/>
            </w:pPr>
            <w:r w:rsidRPr="008C4B80">
              <w:t>Seth Fraser</w:t>
            </w:r>
          </w:p>
        </w:tc>
        <w:tc>
          <w:tcPr>
            <w:tcW w:w="1077" w:type="dxa"/>
            <w:shd w:val="clear" w:color="auto" w:fill="auto"/>
            <w:vAlign w:val="center"/>
          </w:tcPr>
          <w:p w14:paraId="071B8943" w14:textId="77777777" w:rsidR="00EB2BFD" w:rsidRPr="007A743A" w:rsidRDefault="00EB2BFD" w:rsidP="00DA7933">
            <w:pPr>
              <w:pStyle w:val="TableText"/>
              <w:jc w:val="center"/>
              <w:rPr>
                <w:szCs w:val="18"/>
              </w:rPr>
            </w:pPr>
            <w:r>
              <w:rPr>
                <w:szCs w:val="18"/>
              </w:rPr>
              <w:t>n/a</w:t>
            </w:r>
          </w:p>
        </w:tc>
        <w:tc>
          <w:tcPr>
            <w:tcW w:w="1077" w:type="dxa"/>
            <w:shd w:val="clear" w:color="auto" w:fill="auto"/>
            <w:vAlign w:val="center"/>
          </w:tcPr>
          <w:p w14:paraId="466D7B8C"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134" w:type="dxa"/>
            <w:shd w:val="clear" w:color="auto" w:fill="auto"/>
            <w:vAlign w:val="center"/>
          </w:tcPr>
          <w:p w14:paraId="71298A24"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61A57093"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22DCAE04"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070C978A"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r>
      <w:tr w:rsidR="00EB2BFD" w:rsidRPr="00D06753" w14:paraId="62D1197F" w14:textId="77777777" w:rsidTr="00DA7933">
        <w:trPr>
          <w:cantSplit/>
        </w:trPr>
        <w:tc>
          <w:tcPr>
            <w:tcW w:w="2268" w:type="dxa"/>
            <w:shd w:val="clear" w:color="auto" w:fill="auto"/>
          </w:tcPr>
          <w:p w14:paraId="6686CFAC" w14:textId="77777777" w:rsidR="00EB2BFD" w:rsidRPr="008C4B80" w:rsidRDefault="00EB2BFD" w:rsidP="00DA7933">
            <w:pPr>
              <w:pStyle w:val="TableText"/>
            </w:pPr>
            <w:r w:rsidRPr="008C4B80">
              <w:t>Catherine Ryan</w:t>
            </w:r>
          </w:p>
        </w:tc>
        <w:tc>
          <w:tcPr>
            <w:tcW w:w="1077" w:type="dxa"/>
            <w:shd w:val="clear" w:color="auto" w:fill="auto"/>
            <w:vAlign w:val="center"/>
          </w:tcPr>
          <w:p w14:paraId="5CD9E202" w14:textId="77777777" w:rsidR="00EB2BFD" w:rsidRPr="007A743A" w:rsidRDefault="00EB2BFD" w:rsidP="00DA7933">
            <w:pPr>
              <w:pStyle w:val="TableText"/>
              <w:jc w:val="center"/>
              <w:rPr>
                <w:szCs w:val="18"/>
              </w:rPr>
            </w:pPr>
            <w:r>
              <w:rPr>
                <w:szCs w:val="18"/>
              </w:rPr>
              <w:t>n/a</w:t>
            </w:r>
          </w:p>
        </w:tc>
        <w:tc>
          <w:tcPr>
            <w:tcW w:w="1077" w:type="dxa"/>
            <w:shd w:val="clear" w:color="auto" w:fill="auto"/>
            <w:vAlign w:val="center"/>
          </w:tcPr>
          <w:p w14:paraId="2DC04F7A"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134" w:type="dxa"/>
            <w:shd w:val="clear" w:color="auto" w:fill="auto"/>
            <w:vAlign w:val="center"/>
          </w:tcPr>
          <w:p w14:paraId="45B5D29D"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6B5D9BF6"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01351EC9"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tcBorders>
              <w:bottom w:val="single" w:sz="4" w:space="0" w:color="auto"/>
            </w:tcBorders>
            <w:shd w:val="clear" w:color="auto" w:fill="auto"/>
            <w:vAlign w:val="center"/>
          </w:tcPr>
          <w:p w14:paraId="6DEAC694" w14:textId="77777777" w:rsidR="00EB2BFD" w:rsidRPr="00FC3F17" w:rsidRDefault="00EB2BFD" w:rsidP="00DA7933">
            <w:pPr>
              <w:pStyle w:val="TableText"/>
              <w:jc w:val="center"/>
              <w:rPr>
                <w:szCs w:val="18"/>
              </w:rPr>
            </w:pPr>
            <w:r w:rsidRPr="007A743A">
              <w:rPr>
                <w:rFonts w:ascii="Wingdings" w:eastAsia="Wingdings" w:hAnsi="Wingdings" w:cs="Wingdings"/>
                <w:szCs w:val="18"/>
              </w:rPr>
              <w:t>ü</w:t>
            </w:r>
          </w:p>
        </w:tc>
      </w:tr>
      <w:tr w:rsidR="00EB2BFD" w:rsidRPr="00D06753" w14:paraId="47D30239" w14:textId="77777777" w:rsidTr="00DA7933">
        <w:trPr>
          <w:cantSplit/>
        </w:trPr>
        <w:tc>
          <w:tcPr>
            <w:tcW w:w="2268" w:type="dxa"/>
            <w:shd w:val="clear" w:color="auto" w:fill="auto"/>
          </w:tcPr>
          <w:p w14:paraId="0ACBFA93" w14:textId="77777777" w:rsidR="00EB2BFD" w:rsidRPr="008C4B80" w:rsidRDefault="00EB2BFD" w:rsidP="00DA7933">
            <w:pPr>
              <w:pStyle w:val="TableText"/>
            </w:pPr>
            <w:r w:rsidRPr="00BE20A2">
              <w:t>Jonathan Darby</w:t>
            </w:r>
          </w:p>
        </w:tc>
        <w:tc>
          <w:tcPr>
            <w:tcW w:w="1077" w:type="dxa"/>
            <w:shd w:val="clear" w:color="auto" w:fill="auto"/>
            <w:vAlign w:val="center"/>
          </w:tcPr>
          <w:p w14:paraId="4E58A049" w14:textId="77777777" w:rsidR="00EB2BFD" w:rsidRPr="007A743A" w:rsidRDefault="00EB2BFD" w:rsidP="00DA7933">
            <w:pPr>
              <w:pStyle w:val="TableText"/>
              <w:jc w:val="center"/>
              <w:rPr>
                <w:szCs w:val="18"/>
              </w:rPr>
            </w:pPr>
            <w:r w:rsidRPr="007A743A">
              <w:rPr>
                <w:rFonts w:ascii="Wingdings" w:eastAsia="Wingdings" w:hAnsi="Wingdings" w:cs="Wingdings"/>
                <w:szCs w:val="18"/>
              </w:rPr>
              <w:t>ü</w:t>
            </w:r>
          </w:p>
        </w:tc>
        <w:tc>
          <w:tcPr>
            <w:tcW w:w="1077" w:type="dxa"/>
            <w:shd w:val="clear" w:color="auto" w:fill="auto"/>
            <w:vAlign w:val="center"/>
          </w:tcPr>
          <w:p w14:paraId="3909E3EA" w14:textId="77777777" w:rsidR="00EB2BFD" w:rsidRPr="007A743A" w:rsidRDefault="00EB2BFD" w:rsidP="00DA7933">
            <w:pPr>
              <w:pStyle w:val="TableText"/>
              <w:jc w:val="center"/>
              <w:rPr>
                <w:szCs w:val="18"/>
              </w:rPr>
            </w:pPr>
            <w:r>
              <w:rPr>
                <w:szCs w:val="18"/>
              </w:rPr>
              <w:t>n/a</w:t>
            </w:r>
          </w:p>
        </w:tc>
        <w:tc>
          <w:tcPr>
            <w:tcW w:w="1134" w:type="dxa"/>
            <w:shd w:val="clear" w:color="auto" w:fill="auto"/>
            <w:vAlign w:val="center"/>
          </w:tcPr>
          <w:p w14:paraId="4B796837" w14:textId="77777777" w:rsidR="00EB2BFD" w:rsidRPr="007A743A" w:rsidRDefault="00EB2BFD" w:rsidP="00DA7933">
            <w:pPr>
              <w:pStyle w:val="TableText"/>
              <w:jc w:val="center"/>
              <w:rPr>
                <w:szCs w:val="18"/>
              </w:rPr>
            </w:pPr>
            <w:r>
              <w:rPr>
                <w:szCs w:val="18"/>
              </w:rPr>
              <w:t>n/a</w:t>
            </w:r>
          </w:p>
        </w:tc>
        <w:tc>
          <w:tcPr>
            <w:tcW w:w="1077" w:type="dxa"/>
            <w:tcBorders>
              <w:bottom w:val="single" w:sz="4" w:space="0" w:color="auto"/>
            </w:tcBorders>
            <w:shd w:val="clear" w:color="auto" w:fill="auto"/>
            <w:vAlign w:val="center"/>
          </w:tcPr>
          <w:p w14:paraId="0B9FE884" w14:textId="77777777" w:rsidR="00EB2BFD" w:rsidRPr="007A743A" w:rsidRDefault="00EB2BFD" w:rsidP="00DA7933">
            <w:pPr>
              <w:pStyle w:val="TableText"/>
              <w:jc w:val="center"/>
              <w:rPr>
                <w:szCs w:val="18"/>
              </w:rPr>
            </w:pPr>
            <w:r>
              <w:rPr>
                <w:szCs w:val="18"/>
              </w:rPr>
              <w:t>n/a</w:t>
            </w:r>
          </w:p>
        </w:tc>
        <w:tc>
          <w:tcPr>
            <w:tcW w:w="1077" w:type="dxa"/>
            <w:tcBorders>
              <w:bottom w:val="single" w:sz="4" w:space="0" w:color="auto"/>
            </w:tcBorders>
            <w:shd w:val="clear" w:color="auto" w:fill="auto"/>
            <w:vAlign w:val="center"/>
          </w:tcPr>
          <w:p w14:paraId="10A7BDF6" w14:textId="77777777" w:rsidR="00EB2BFD" w:rsidRPr="007A743A" w:rsidRDefault="00EB2BFD" w:rsidP="00DA7933">
            <w:pPr>
              <w:pStyle w:val="TableText"/>
              <w:jc w:val="center"/>
              <w:rPr>
                <w:szCs w:val="18"/>
              </w:rPr>
            </w:pPr>
            <w:r>
              <w:rPr>
                <w:szCs w:val="18"/>
              </w:rPr>
              <w:t>n/a</w:t>
            </w:r>
          </w:p>
        </w:tc>
        <w:tc>
          <w:tcPr>
            <w:tcW w:w="1077" w:type="dxa"/>
            <w:tcBorders>
              <w:bottom w:val="single" w:sz="4" w:space="0" w:color="auto"/>
            </w:tcBorders>
            <w:shd w:val="clear" w:color="auto" w:fill="auto"/>
            <w:vAlign w:val="center"/>
          </w:tcPr>
          <w:p w14:paraId="0E2F4E14" w14:textId="77777777" w:rsidR="00EB2BFD" w:rsidRPr="00FC3F17" w:rsidRDefault="00EB2BFD" w:rsidP="00DA7933">
            <w:pPr>
              <w:pStyle w:val="TableText"/>
              <w:jc w:val="center"/>
              <w:rPr>
                <w:szCs w:val="18"/>
              </w:rPr>
            </w:pPr>
            <w:r>
              <w:rPr>
                <w:szCs w:val="18"/>
              </w:rPr>
              <w:t>n/a</w:t>
            </w:r>
          </w:p>
        </w:tc>
      </w:tr>
      <w:tr w:rsidR="00EB2BFD" w:rsidRPr="00000EC6" w14:paraId="6D9F7B81" w14:textId="77777777" w:rsidTr="00DA7933">
        <w:trPr>
          <w:cantSplit/>
        </w:trPr>
        <w:tc>
          <w:tcPr>
            <w:tcW w:w="2268" w:type="dxa"/>
            <w:shd w:val="clear" w:color="auto" w:fill="auto"/>
          </w:tcPr>
          <w:p w14:paraId="05091DF3" w14:textId="77777777" w:rsidR="00EB2BFD" w:rsidRPr="005C40E4" w:rsidRDefault="00EB2BFD" w:rsidP="00DA7933">
            <w:pPr>
              <w:pStyle w:val="TableText"/>
              <w:rPr>
                <w:b/>
              </w:rPr>
            </w:pPr>
            <w:r w:rsidRPr="005C40E4">
              <w:rPr>
                <w:b/>
              </w:rPr>
              <w:t>Total members present</w:t>
            </w:r>
          </w:p>
        </w:tc>
        <w:tc>
          <w:tcPr>
            <w:tcW w:w="1077" w:type="dxa"/>
            <w:shd w:val="clear" w:color="auto" w:fill="auto"/>
          </w:tcPr>
          <w:p w14:paraId="49CEB391" w14:textId="77777777" w:rsidR="00EB2BFD" w:rsidRPr="007A743A" w:rsidRDefault="00EB2BFD" w:rsidP="00DA7933">
            <w:pPr>
              <w:pStyle w:val="TableText"/>
              <w:jc w:val="center"/>
              <w:rPr>
                <w:b/>
              </w:rPr>
            </w:pPr>
            <w:r>
              <w:rPr>
                <w:b/>
              </w:rPr>
              <w:t>8</w:t>
            </w:r>
          </w:p>
        </w:tc>
        <w:tc>
          <w:tcPr>
            <w:tcW w:w="1077" w:type="dxa"/>
            <w:shd w:val="clear" w:color="auto" w:fill="auto"/>
          </w:tcPr>
          <w:p w14:paraId="19CB95AC" w14:textId="77777777" w:rsidR="00EB2BFD" w:rsidRPr="007A743A" w:rsidRDefault="00EB2BFD" w:rsidP="00DA7933">
            <w:pPr>
              <w:pStyle w:val="TableText"/>
              <w:jc w:val="center"/>
              <w:rPr>
                <w:b/>
              </w:rPr>
            </w:pPr>
            <w:r>
              <w:rPr>
                <w:b/>
              </w:rPr>
              <w:t>9</w:t>
            </w:r>
          </w:p>
        </w:tc>
        <w:tc>
          <w:tcPr>
            <w:tcW w:w="1134" w:type="dxa"/>
            <w:shd w:val="clear" w:color="auto" w:fill="auto"/>
          </w:tcPr>
          <w:p w14:paraId="3239B2B7" w14:textId="77777777" w:rsidR="00EB2BFD" w:rsidRPr="007A743A" w:rsidRDefault="00EB2BFD" w:rsidP="00DA7933">
            <w:pPr>
              <w:pStyle w:val="TableText"/>
              <w:jc w:val="center"/>
              <w:rPr>
                <w:b/>
              </w:rPr>
            </w:pPr>
            <w:r>
              <w:rPr>
                <w:b/>
              </w:rPr>
              <w:t>10</w:t>
            </w:r>
          </w:p>
        </w:tc>
        <w:tc>
          <w:tcPr>
            <w:tcW w:w="1077" w:type="dxa"/>
            <w:shd w:val="clear" w:color="auto" w:fill="auto"/>
          </w:tcPr>
          <w:p w14:paraId="6A89D80A" w14:textId="77777777" w:rsidR="00EB2BFD" w:rsidRPr="007A743A" w:rsidRDefault="00EB2BFD" w:rsidP="00DA7933">
            <w:pPr>
              <w:pStyle w:val="TableText"/>
              <w:jc w:val="center"/>
              <w:rPr>
                <w:b/>
              </w:rPr>
            </w:pPr>
            <w:r>
              <w:rPr>
                <w:b/>
              </w:rPr>
              <w:t>9</w:t>
            </w:r>
          </w:p>
        </w:tc>
        <w:tc>
          <w:tcPr>
            <w:tcW w:w="1077" w:type="dxa"/>
            <w:shd w:val="clear" w:color="auto" w:fill="auto"/>
          </w:tcPr>
          <w:p w14:paraId="4531F55D" w14:textId="77777777" w:rsidR="00EB2BFD" w:rsidRPr="007A743A" w:rsidRDefault="00EB2BFD" w:rsidP="00DA7933">
            <w:pPr>
              <w:pStyle w:val="TableText"/>
              <w:jc w:val="center"/>
              <w:rPr>
                <w:b/>
              </w:rPr>
            </w:pPr>
            <w:r>
              <w:rPr>
                <w:b/>
              </w:rPr>
              <w:t>8</w:t>
            </w:r>
          </w:p>
        </w:tc>
        <w:tc>
          <w:tcPr>
            <w:tcW w:w="1077" w:type="dxa"/>
            <w:shd w:val="clear" w:color="auto" w:fill="auto"/>
          </w:tcPr>
          <w:p w14:paraId="289EC2AF" w14:textId="77777777" w:rsidR="00EB2BFD" w:rsidRPr="00E54A42" w:rsidRDefault="00EB2BFD" w:rsidP="00DA7933">
            <w:pPr>
              <w:pStyle w:val="TableText"/>
              <w:jc w:val="center"/>
              <w:rPr>
                <w:b/>
              </w:rPr>
            </w:pPr>
            <w:r>
              <w:rPr>
                <w:b/>
              </w:rPr>
              <w:t>9</w:t>
            </w:r>
          </w:p>
        </w:tc>
      </w:tr>
    </w:tbl>
    <w:p w14:paraId="76E619EB" w14:textId="1DF0B40E" w:rsidR="00EB6B88" w:rsidRDefault="00EB6B88" w:rsidP="00187FAE">
      <w:pPr>
        <w:pStyle w:val="Note"/>
        <w:ind w:left="567" w:hanging="425"/>
        <w:rPr>
          <w:szCs w:val="18"/>
        </w:rPr>
      </w:pPr>
      <w:r>
        <w:rPr>
          <w:szCs w:val="18"/>
        </w:rPr>
        <w:sym w:font="Wingdings" w:char="F0FC"/>
      </w:r>
      <w:r>
        <w:rPr>
          <w:szCs w:val="18"/>
        </w:rPr>
        <w:tab/>
      </w:r>
      <w:r w:rsidR="00187FAE">
        <w:rPr>
          <w:szCs w:val="18"/>
        </w:rPr>
        <w:t xml:space="preserve"> </w:t>
      </w:r>
      <w:r w:rsidRPr="007A7EBA">
        <w:rPr>
          <w:szCs w:val="18"/>
        </w:rPr>
        <w:t>Present</w:t>
      </w:r>
    </w:p>
    <w:p w14:paraId="747D563C" w14:textId="363834D5" w:rsidR="00EB6B88" w:rsidRDefault="00EB6B88" w:rsidP="00187FAE">
      <w:pPr>
        <w:pStyle w:val="Note"/>
        <w:ind w:hanging="142"/>
        <w:rPr>
          <w:szCs w:val="18"/>
        </w:rPr>
      </w:pPr>
      <w:proofErr w:type="spellStart"/>
      <w:r>
        <w:rPr>
          <w:szCs w:val="18"/>
        </w:rPr>
        <w:t>A</w:t>
      </w:r>
      <w:r w:rsidR="00000EC6">
        <w:rPr>
          <w:szCs w:val="18"/>
        </w:rPr>
        <w:t>pol</w:t>
      </w:r>
      <w:proofErr w:type="spellEnd"/>
      <w:r>
        <w:rPr>
          <w:szCs w:val="18"/>
        </w:rPr>
        <w:tab/>
      </w:r>
      <w:r w:rsidR="00187FAE">
        <w:rPr>
          <w:szCs w:val="18"/>
        </w:rPr>
        <w:t xml:space="preserve"> </w:t>
      </w:r>
      <w:r w:rsidRPr="007A7EBA">
        <w:rPr>
          <w:szCs w:val="18"/>
        </w:rPr>
        <w:t>Apologies</w:t>
      </w:r>
    </w:p>
    <w:p w14:paraId="07624465" w14:textId="77777777" w:rsidR="008569C6" w:rsidRPr="007A7EBA" w:rsidRDefault="008569C6" w:rsidP="00895BBE"/>
    <w:p w14:paraId="5FE68F43" w14:textId="77777777" w:rsidR="00A66E63" w:rsidRDefault="00A66E63" w:rsidP="008569C6">
      <w:pPr>
        <w:pStyle w:val="Heading1"/>
        <w:sectPr w:rsidR="00A66E63" w:rsidSect="00CE0802">
          <w:footerReference w:type="first" r:id="rId32"/>
          <w:pgSz w:w="11907" w:h="16834" w:code="9"/>
          <w:pgMar w:top="1701" w:right="1418" w:bottom="1701" w:left="1701" w:header="0" w:footer="425" w:gutter="0"/>
          <w:cols w:space="720"/>
          <w:titlePg/>
        </w:sectPr>
      </w:pPr>
      <w:bookmarkStart w:id="107" w:name="_Toc272911774"/>
    </w:p>
    <w:p w14:paraId="2B12DC80" w14:textId="77777777" w:rsidR="008569C6" w:rsidRDefault="008569C6" w:rsidP="00972C95">
      <w:pPr>
        <w:pStyle w:val="Heading1"/>
      </w:pPr>
      <w:bookmarkStart w:id="108" w:name="_Toc135719897"/>
      <w:r w:rsidRPr="0077313E">
        <w:lastRenderedPageBreak/>
        <w:t xml:space="preserve">Appendix </w:t>
      </w:r>
      <w:r w:rsidR="000F0E9D">
        <w:t>3</w:t>
      </w:r>
      <w:r w:rsidRPr="0077313E">
        <w:t>:</w:t>
      </w:r>
      <w:r w:rsidR="00895BBE">
        <w:br/>
      </w:r>
      <w:r w:rsidRPr="0077313E">
        <w:t xml:space="preserve">ACART </w:t>
      </w:r>
      <w:r w:rsidR="00486D31">
        <w:t>w</w:t>
      </w:r>
      <w:r w:rsidRPr="0077313E">
        <w:t xml:space="preserve">orking </w:t>
      </w:r>
      <w:r w:rsidR="00486D31">
        <w:t>g</w:t>
      </w:r>
      <w:r w:rsidRPr="0077313E">
        <w:t>roups</w:t>
      </w:r>
      <w:bookmarkEnd w:id="107"/>
      <w:bookmarkEnd w:id="108"/>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000EC6" w:rsidRPr="00000EC6" w14:paraId="52BB9DE5" w14:textId="77777777" w:rsidTr="008F714A">
        <w:trPr>
          <w:cantSplit/>
          <w:tblHeader/>
        </w:trPr>
        <w:tc>
          <w:tcPr>
            <w:tcW w:w="3544" w:type="dxa"/>
            <w:shd w:val="clear" w:color="auto" w:fill="D9D9D9"/>
          </w:tcPr>
          <w:p w14:paraId="0DA1E834" w14:textId="77777777" w:rsidR="00000EC6" w:rsidRPr="00000EC6" w:rsidRDefault="006E37CE" w:rsidP="00000EC6">
            <w:pPr>
              <w:pStyle w:val="TableText"/>
              <w:rPr>
                <w:b/>
              </w:rPr>
            </w:pPr>
            <w:r>
              <w:rPr>
                <w:b/>
              </w:rPr>
              <w:t>Working group</w:t>
            </w:r>
          </w:p>
        </w:tc>
        <w:tc>
          <w:tcPr>
            <w:tcW w:w="5245" w:type="dxa"/>
            <w:shd w:val="clear" w:color="auto" w:fill="D9D9D9"/>
          </w:tcPr>
          <w:p w14:paraId="1755D43B" w14:textId="77777777" w:rsidR="00000EC6" w:rsidRPr="00000EC6" w:rsidRDefault="00000EC6" w:rsidP="00000EC6">
            <w:pPr>
              <w:pStyle w:val="TableText"/>
              <w:rPr>
                <w:b/>
              </w:rPr>
            </w:pPr>
            <w:r w:rsidRPr="00000EC6">
              <w:rPr>
                <w:b/>
              </w:rPr>
              <w:t>Responsibilities and meeting dates</w:t>
            </w:r>
          </w:p>
        </w:tc>
      </w:tr>
      <w:tr w:rsidR="00187FAE" w14:paraId="64719753" w14:textId="77777777" w:rsidTr="00000EC6">
        <w:trPr>
          <w:cantSplit/>
        </w:trPr>
        <w:tc>
          <w:tcPr>
            <w:tcW w:w="3544" w:type="dxa"/>
          </w:tcPr>
          <w:p w14:paraId="594492C7" w14:textId="77777777" w:rsidR="00187FAE" w:rsidRPr="00000EC6" w:rsidRDefault="00187FAE" w:rsidP="00187FAE">
            <w:pPr>
              <w:pStyle w:val="TableText"/>
              <w:rPr>
                <w:rFonts w:cs="Arial"/>
                <w:b/>
                <w:i/>
              </w:rPr>
            </w:pPr>
            <w:r w:rsidRPr="57BD5007">
              <w:rPr>
                <w:rFonts w:cs="Arial"/>
                <w:b/>
                <w:bCs/>
                <w:i/>
                <w:iCs/>
              </w:rPr>
              <w:t>Review of the Guidelines for the Storage, Use, and Disposal of Sperm from a Deceased Man</w:t>
            </w:r>
          </w:p>
          <w:p w14:paraId="2CE3F032" w14:textId="2C2DD7F7" w:rsidR="00187FAE" w:rsidRPr="00944E9D" w:rsidRDefault="00187FAE" w:rsidP="00B514A6">
            <w:pPr>
              <w:pStyle w:val="TableText"/>
              <w:spacing w:line="240" w:lineRule="auto"/>
            </w:pPr>
            <w:r w:rsidRPr="00E13BCD">
              <w:t>Colin Gavaghan, Kathleen Logan</w:t>
            </w:r>
            <w:r>
              <w:t>,</w:t>
            </w:r>
            <w:r w:rsidRPr="00E13BCD">
              <w:t xml:space="preserve"> </w:t>
            </w:r>
            <w:r w:rsidR="00B514A6">
              <w:br/>
            </w:r>
            <w:r w:rsidRPr="00E13BCD">
              <w:t>Sue McKenzie, Karen Reader</w:t>
            </w:r>
            <w:r>
              <w:t xml:space="preserve">, </w:t>
            </w:r>
            <w:r>
              <w:br/>
            </w:r>
            <w:r w:rsidRPr="00E13BCD">
              <w:t>Sarah Wakeman</w:t>
            </w:r>
            <w:r>
              <w:t>.</w:t>
            </w:r>
          </w:p>
        </w:tc>
        <w:tc>
          <w:tcPr>
            <w:tcW w:w="5245" w:type="dxa"/>
          </w:tcPr>
          <w:p w14:paraId="27EAA8AD" w14:textId="77777777" w:rsidR="00187FAE" w:rsidRPr="00C34C90" w:rsidRDefault="00187FAE" w:rsidP="00187FAE">
            <w:pPr>
              <w:pStyle w:val="TableText"/>
            </w:pPr>
            <w:r>
              <w:t xml:space="preserve">The first meeting was to consider the first draft of the submissions analysis prepared by the Secretariat following public consultation of the stage-one consultation document to review the </w:t>
            </w:r>
            <w:r w:rsidRPr="57BD5007">
              <w:rPr>
                <w:i/>
                <w:iCs/>
              </w:rPr>
              <w:t>Guidelines for the Storage, Use, and Disposal of Sperm from a Deceased Man</w:t>
            </w:r>
            <w:r>
              <w:t>, and decide on next steps. The second meeting was used to consider the draft advice to the Minister of Health on guidelines for posthumous reproduction.</w:t>
            </w:r>
          </w:p>
          <w:p w14:paraId="7055BFB3" w14:textId="77777777" w:rsidR="00187FAE" w:rsidRPr="00C34C90" w:rsidRDefault="00187FAE" w:rsidP="00187FAE">
            <w:pPr>
              <w:pStyle w:val="TableText"/>
            </w:pPr>
            <w:r>
              <w:t>The working group met in Wellington on:</w:t>
            </w:r>
          </w:p>
          <w:p w14:paraId="24A8217A" w14:textId="77777777" w:rsidR="00187FAE" w:rsidRPr="00C34C90" w:rsidRDefault="00187FAE" w:rsidP="00187FAE">
            <w:pPr>
              <w:pStyle w:val="TableBullet"/>
              <w:spacing w:before="80"/>
            </w:pPr>
            <w:r>
              <w:t>10 December 2020.</w:t>
            </w:r>
          </w:p>
          <w:p w14:paraId="743D083A" w14:textId="61190B14" w:rsidR="00187FAE" w:rsidRPr="00C34C90" w:rsidRDefault="00187FAE" w:rsidP="00187FAE">
            <w:pPr>
              <w:pStyle w:val="TableBullet"/>
              <w:spacing w:before="80"/>
            </w:pPr>
            <w:r>
              <w:t>24 June 2021.</w:t>
            </w:r>
          </w:p>
        </w:tc>
      </w:tr>
      <w:tr w:rsidR="00187FAE" w14:paraId="4126BD2A" w14:textId="77777777" w:rsidTr="00000EC6">
        <w:trPr>
          <w:cantSplit/>
        </w:trPr>
        <w:tc>
          <w:tcPr>
            <w:tcW w:w="3544" w:type="dxa"/>
          </w:tcPr>
          <w:p w14:paraId="1C8AC6EB" w14:textId="77777777" w:rsidR="00187FAE" w:rsidRPr="000820A8" w:rsidRDefault="00187FAE" w:rsidP="00187FAE">
            <w:pPr>
              <w:pStyle w:val="TableText"/>
              <w:rPr>
                <w:b/>
                <w:i/>
              </w:rPr>
            </w:pPr>
            <w:r w:rsidRPr="57BD5007">
              <w:rPr>
                <w:b/>
                <w:bCs/>
                <w:i/>
                <w:iCs/>
              </w:rPr>
              <w:t>Proposal to amend the guidelines for extending the storage of gametes and embryos</w:t>
            </w:r>
          </w:p>
          <w:p w14:paraId="66E84E9C" w14:textId="2129BF4A" w:rsidR="00187FAE" w:rsidRPr="000820A8" w:rsidRDefault="00187FAE" w:rsidP="00187FAE">
            <w:pPr>
              <w:pStyle w:val="TableText"/>
              <w:spacing w:line="240" w:lineRule="auto"/>
              <w:rPr>
                <w:rFonts w:cs="Arial"/>
                <w:i/>
              </w:rPr>
            </w:pPr>
            <w:r w:rsidRPr="00422DBC">
              <w:t>Calum Barrett</w:t>
            </w:r>
            <w:r>
              <w:t xml:space="preserve">, </w:t>
            </w:r>
            <w:r w:rsidRPr="00422DBC">
              <w:t>Colin Gavaghan</w:t>
            </w:r>
            <w:r>
              <w:t xml:space="preserve">,  </w:t>
            </w:r>
            <w:r>
              <w:br/>
            </w:r>
            <w:r w:rsidRPr="00422DBC">
              <w:t>Analosa Veukiso-Ulugia</w:t>
            </w:r>
            <w:r>
              <w:t>.</w:t>
            </w:r>
            <w:r w:rsidRPr="00422DBC">
              <w:br/>
            </w:r>
          </w:p>
        </w:tc>
        <w:tc>
          <w:tcPr>
            <w:tcW w:w="5245" w:type="dxa"/>
          </w:tcPr>
          <w:p w14:paraId="18CADC3A" w14:textId="77777777" w:rsidR="00187FAE" w:rsidRDefault="00187FAE" w:rsidP="00187FAE">
            <w:pPr>
              <w:pStyle w:val="TableText"/>
              <w:rPr>
                <w:highlight w:val="yellow"/>
              </w:rPr>
            </w:pPr>
            <w:r>
              <w:t>To confirm the consultation document that ACART will present to the public with the proposed revised guidelines for extending the storage of gametes and embryos.</w:t>
            </w:r>
          </w:p>
          <w:p w14:paraId="396F6E5E" w14:textId="77777777" w:rsidR="00187FAE" w:rsidRPr="00C34C90" w:rsidRDefault="00187FAE" w:rsidP="00187FAE">
            <w:pPr>
              <w:pStyle w:val="TableText"/>
            </w:pPr>
            <w:r>
              <w:t>The working group met in Wellington on:</w:t>
            </w:r>
          </w:p>
          <w:p w14:paraId="07C58FB5" w14:textId="02E9E910" w:rsidR="00187FAE" w:rsidRPr="00C34C90" w:rsidRDefault="00187FAE" w:rsidP="00187FAE">
            <w:pPr>
              <w:pStyle w:val="TableBullet"/>
              <w:spacing w:before="80"/>
            </w:pPr>
            <w:r>
              <w:t>10 December 2020.</w:t>
            </w:r>
          </w:p>
        </w:tc>
      </w:tr>
      <w:tr w:rsidR="00187FAE" w14:paraId="71E730B2" w14:textId="77777777" w:rsidTr="00000EC6">
        <w:trPr>
          <w:cantSplit/>
        </w:trPr>
        <w:tc>
          <w:tcPr>
            <w:tcW w:w="3544" w:type="dxa"/>
          </w:tcPr>
          <w:p w14:paraId="3E7941DF" w14:textId="77777777" w:rsidR="00187FAE" w:rsidRDefault="00187FAE" w:rsidP="00187FAE">
            <w:pPr>
              <w:spacing w:before="80" w:after="80"/>
              <w:rPr>
                <w:rFonts w:eastAsia="Arial" w:cs="Arial"/>
                <w:b/>
                <w:bCs/>
                <w:i/>
                <w:iCs/>
                <w:sz w:val="18"/>
                <w:szCs w:val="18"/>
              </w:rPr>
            </w:pPr>
            <w:r w:rsidRPr="57BD5007">
              <w:rPr>
                <w:rFonts w:eastAsia="Arial" w:cs="Arial"/>
                <w:b/>
                <w:bCs/>
                <w:i/>
                <w:iCs/>
                <w:sz w:val="18"/>
                <w:szCs w:val="18"/>
              </w:rPr>
              <w:t>Consultation for Research involving Human Gametes and Embryos</w:t>
            </w:r>
          </w:p>
          <w:p w14:paraId="4CE0DD0E" w14:textId="77777777" w:rsidR="00187FAE" w:rsidRPr="005E2577" w:rsidRDefault="00187FAE" w:rsidP="00187FAE">
            <w:pPr>
              <w:pStyle w:val="TableText"/>
              <w:spacing w:line="240" w:lineRule="auto"/>
            </w:pPr>
            <w:r w:rsidRPr="005E2577">
              <w:t xml:space="preserve">Rosemary de Luca, Kathleen Logan, Karen Reader, Catherine Ryan, Karaitiana </w:t>
            </w:r>
            <w:proofErr w:type="spellStart"/>
            <w:r w:rsidRPr="005E2577">
              <w:t>Taiuru</w:t>
            </w:r>
            <w:proofErr w:type="spellEnd"/>
            <w:r>
              <w:t>.</w:t>
            </w:r>
          </w:p>
          <w:p w14:paraId="26992E19" w14:textId="1F741E71" w:rsidR="00187FAE" w:rsidRPr="000820A8" w:rsidRDefault="00187FAE" w:rsidP="00187FAE">
            <w:pPr>
              <w:pStyle w:val="TableText"/>
              <w:rPr>
                <w:i/>
              </w:rPr>
            </w:pPr>
          </w:p>
        </w:tc>
        <w:tc>
          <w:tcPr>
            <w:tcW w:w="5245" w:type="dxa"/>
          </w:tcPr>
          <w:p w14:paraId="629EC747" w14:textId="77777777" w:rsidR="00187FAE" w:rsidRPr="0064583B" w:rsidRDefault="00187FAE" w:rsidP="00187FAE">
            <w:pPr>
              <w:spacing w:before="80" w:after="80"/>
              <w:rPr>
                <w:rFonts w:eastAsia="Arial" w:cs="Arial"/>
                <w:i/>
                <w:iCs/>
                <w:sz w:val="18"/>
                <w:szCs w:val="18"/>
              </w:rPr>
            </w:pPr>
            <w:r w:rsidRPr="0064583B">
              <w:rPr>
                <w:rFonts w:eastAsia="Arial" w:cs="Arial"/>
                <w:sz w:val="18"/>
                <w:szCs w:val="18"/>
              </w:rPr>
              <w:t xml:space="preserve">To consider the draft </w:t>
            </w:r>
            <w:r w:rsidRPr="57BD5007">
              <w:rPr>
                <w:rFonts w:eastAsia="Arial" w:cs="Arial"/>
                <w:sz w:val="18"/>
                <w:szCs w:val="18"/>
              </w:rPr>
              <w:t xml:space="preserve">stage-one </w:t>
            </w:r>
            <w:r w:rsidRPr="0064583B">
              <w:rPr>
                <w:rFonts w:eastAsia="Arial" w:cs="Arial"/>
                <w:sz w:val="18"/>
                <w:szCs w:val="18"/>
              </w:rPr>
              <w:t xml:space="preserve">consultation document for guidelines for </w:t>
            </w:r>
            <w:r w:rsidRPr="0064583B">
              <w:rPr>
                <w:rFonts w:eastAsia="Arial" w:cs="Arial"/>
                <w:i/>
                <w:iCs/>
                <w:sz w:val="18"/>
                <w:szCs w:val="18"/>
              </w:rPr>
              <w:t>Research involving Human Gametes and Embryos</w:t>
            </w:r>
            <w:r>
              <w:rPr>
                <w:rFonts w:eastAsia="Arial" w:cs="Arial"/>
                <w:i/>
                <w:iCs/>
                <w:sz w:val="18"/>
                <w:szCs w:val="18"/>
              </w:rPr>
              <w:t>.</w:t>
            </w:r>
            <w:r w:rsidRPr="0064583B">
              <w:rPr>
                <w:rFonts w:eastAsia="Arial" w:cs="Arial"/>
                <w:i/>
                <w:iCs/>
                <w:sz w:val="18"/>
                <w:szCs w:val="18"/>
              </w:rPr>
              <w:t xml:space="preserve"> </w:t>
            </w:r>
          </w:p>
          <w:p w14:paraId="004FDF0B" w14:textId="77777777" w:rsidR="00187FAE" w:rsidRDefault="00187FAE" w:rsidP="00187FAE">
            <w:pPr>
              <w:spacing w:before="80" w:after="80"/>
              <w:rPr>
                <w:rFonts w:eastAsia="Arial" w:cs="Arial"/>
                <w:sz w:val="18"/>
                <w:szCs w:val="18"/>
              </w:rPr>
            </w:pPr>
            <w:r w:rsidRPr="57BD5007">
              <w:rPr>
                <w:rFonts w:eastAsia="Arial" w:cs="Arial"/>
                <w:sz w:val="18"/>
                <w:szCs w:val="18"/>
              </w:rPr>
              <w:t>The working group met in Wellington on:</w:t>
            </w:r>
          </w:p>
          <w:p w14:paraId="30E23A66" w14:textId="132C50DC" w:rsidR="00187FAE" w:rsidRDefault="00187FAE" w:rsidP="00187FAE">
            <w:pPr>
              <w:pStyle w:val="TableBullet"/>
              <w:spacing w:before="80"/>
            </w:pPr>
            <w:r w:rsidRPr="005579A2">
              <w:rPr>
                <w:rFonts w:eastAsia="Arial" w:cs="Arial"/>
                <w:szCs w:val="18"/>
              </w:rPr>
              <w:t xml:space="preserve">24 </w:t>
            </w:r>
            <w:r w:rsidRPr="00401DEB">
              <w:t>June</w:t>
            </w:r>
            <w:r w:rsidRPr="005579A2">
              <w:rPr>
                <w:rFonts w:eastAsia="Arial" w:cs="Arial"/>
                <w:szCs w:val="18"/>
              </w:rPr>
              <w:t xml:space="preserve"> 2021.</w:t>
            </w:r>
          </w:p>
        </w:tc>
      </w:tr>
      <w:bookmarkEnd w:id="86"/>
      <w:bookmarkEnd w:id="87"/>
      <w:bookmarkEnd w:id="88"/>
      <w:bookmarkEnd w:id="89"/>
      <w:bookmarkEnd w:id="90"/>
    </w:tbl>
    <w:p w14:paraId="4D440E1B" w14:textId="77777777" w:rsidR="00E81585" w:rsidRPr="004002B2" w:rsidRDefault="00E81585" w:rsidP="004002B2"/>
    <w:sectPr w:rsidR="00E81585" w:rsidRPr="004002B2" w:rsidSect="00CE0802">
      <w:footerReference w:type="even" r:id="rId33"/>
      <w:footerReference w:type="default" r:id="rId34"/>
      <w:footerReference w:type="first" r:id="rId3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9851" w14:textId="77777777" w:rsidR="00FF09FC" w:rsidRDefault="00FF09FC">
      <w:r>
        <w:separator/>
      </w:r>
    </w:p>
  </w:endnote>
  <w:endnote w:type="continuationSeparator" w:id="0">
    <w:p w14:paraId="5BFE4A9E" w14:textId="77777777" w:rsidR="00FF09FC" w:rsidRDefault="00F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CAD0" w14:textId="77777777" w:rsidR="00DA7933" w:rsidRDefault="00DA7933">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A7933" w14:paraId="7744CBBB" w14:textId="77777777">
      <w:trPr>
        <w:cantSplit/>
      </w:trPr>
      <w:tc>
        <w:tcPr>
          <w:tcW w:w="709" w:type="dxa"/>
        </w:tcPr>
        <w:p w14:paraId="3057C660" w14:textId="77777777" w:rsidR="00DA7933" w:rsidRDefault="00DA7933" w:rsidP="00346DCC">
          <w:pPr>
            <w:pStyle w:val="Footer"/>
          </w:pPr>
          <w:r>
            <w:rPr>
              <w:noProof/>
            </w:rPr>
            <w:drawing>
              <wp:anchor distT="0" distB="0" distL="114300" distR="114300" simplePos="0" relativeHeight="251677696" behindDoc="1" locked="0" layoutInCell="1" allowOverlap="1" wp14:anchorId="218EBFD0" wp14:editId="7C614003">
                <wp:simplePos x="0" y="0"/>
                <wp:positionH relativeFrom="column">
                  <wp:posOffset>-423545</wp:posOffset>
                </wp:positionH>
                <wp:positionV relativeFrom="paragraph">
                  <wp:posOffset>-968375</wp:posOffset>
                </wp:positionV>
                <wp:extent cx="1449705" cy="1449070"/>
                <wp:effectExtent l="0" t="0" r="0" b="0"/>
                <wp:wrapNone/>
                <wp:docPr id="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8789" w:type="dxa"/>
          <w:tcBorders>
            <w:top w:val="single" w:sz="4" w:space="0" w:color="auto"/>
          </w:tcBorders>
        </w:tcPr>
        <w:p w14:paraId="32621177" w14:textId="5A00A632" w:rsidR="00DA7933" w:rsidRDefault="00DA7933" w:rsidP="002B0A84">
          <w:pPr>
            <w:pStyle w:val="VersoFooter"/>
          </w:pPr>
          <w:r>
            <w:t>Advisory Committee on Assisted Reproductive Technology</w:t>
          </w:r>
          <w:r>
            <w:br/>
            <w:t>Annual Report 2020/21</w:t>
          </w:r>
        </w:p>
      </w:tc>
    </w:tr>
  </w:tbl>
  <w:p w14:paraId="2548CC68" w14:textId="77777777" w:rsidR="00DA7933" w:rsidRPr="00346DCC" w:rsidRDefault="00DA7933" w:rsidP="00346DCC">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A7933" w14:paraId="58E5AFCE" w14:textId="77777777" w:rsidTr="00EA6FE0">
      <w:trPr>
        <w:cantSplit/>
      </w:trPr>
      <w:tc>
        <w:tcPr>
          <w:tcW w:w="709" w:type="dxa"/>
        </w:tcPr>
        <w:p w14:paraId="624D4BBF" w14:textId="77777777" w:rsidR="00DA7933" w:rsidRDefault="00DA7933" w:rsidP="00EA6FE0">
          <w:pPr>
            <w:pStyle w:val="Footer"/>
          </w:pPr>
          <w:r>
            <w:rPr>
              <w:noProof/>
            </w:rPr>
            <w:drawing>
              <wp:anchor distT="0" distB="0" distL="114300" distR="114300" simplePos="0" relativeHeight="251694080" behindDoc="1" locked="0" layoutInCell="1" allowOverlap="1" wp14:anchorId="39E1AECC" wp14:editId="21FB9DC1">
                <wp:simplePos x="0" y="0"/>
                <wp:positionH relativeFrom="column">
                  <wp:posOffset>-423545</wp:posOffset>
                </wp:positionH>
                <wp:positionV relativeFrom="paragraph">
                  <wp:posOffset>-968375</wp:posOffset>
                </wp:positionV>
                <wp:extent cx="1449705" cy="1449070"/>
                <wp:effectExtent l="0" t="0" r="0" b="0"/>
                <wp:wrapNone/>
                <wp:docPr id="3"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8789" w:type="dxa"/>
          <w:tcBorders>
            <w:top w:val="single" w:sz="4" w:space="0" w:color="auto"/>
          </w:tcBorders>
        </w:tcPr>
        <w:p w14:paraId="4A5FD11A" w14:textId="77777777" w:rsidR="00DA7933" w:rsidRDefault="00DA7933" w:rsidP="002B0A84">
          <w:pPr>
            <w:pStyle w:val="VersoFooter"/>
          </w:pPr>
          <w:r>
            <w:t>Advisory Committee on Assisted Reproductive Technology</w:t>
          </w:r>
          <w:r>
            <w:br/>
            <w:t>Annual Report 2019/20</w:t>
          </w:r>
        </w:p>
      </w:tc>
    </w:tr>
  </w:tbl>
  <w:p w14:paraId="7E96581C" w14:textId="77777777" w:rsidR="00DA7933" w:rsidRPr="004D655D" w:rsidRDefault="00DA7933">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A7933" w14:paraId="41E65931" w14:textId="77777777" w:rsidTr="00EA6FE0">
      <w:trPr>
        <w:cantSplit/>
      </w:trPr>
      <w:tc>
        <w:tcPr>
          <w:tcW w:w="709" w:type="dxa"/>
        </w:tcPr>
        <w:p w14:paraId="08705A8F" w14:textId="77777777" w:rsidR="00DA7933" w:rsidRDefault="00DA7933" w:rsidP="00EA6FE0">
          <w:pPr>
            <w:pStyle w:val="Footer"/>
          </w:pPr>
          <w:r>
            <w:rPr>
              <w:noProof/>
            </w:rPr>
            <w:drawing>
              <wp:anchor distT="0" distB="0" distL="114300" distR="114300" simplePos="0" relativeHeight="251698176" behindDoc="1" locked="0" layoutInCell="1" allowOverlap="1" wp14:anchorId="4CDFC031" wp14:editId="3EDCF1CA">
                <wp:simplePos x="0" y="0"/>
                <wp:positionH relativeFrom="column">
                  <wp:posOffset>-423545</wp:posOffset>
                </wp:positionH>
                <wp:positionV relativeFrom="paragraph">
                  <wp:posOffset>-968375</wp:posOffset>
                </wp:positionV>
                <wp:extent cx="1449705" cy="1449070"/>
                <wp:effectExtent l="0" t="0" r="0" b="0"/>
                <wp:wrapNone/>
                <wp:docPr id="2"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8789" w:type="dxa"/>
          <w:tcBorders>
            <w:top w:val="single" w:sz="4" w:space="0" w:color="auto"/>
          </w:tcBorders>
        </w:tcPr>
        <w:p w14:paraId="594EDFA3" w14:textId="23615D7B" w:rsidR="00DA7933" w:rsidRDefault="00DA7933" w:rsidP="00EA6FE0">
          <w:pPr>
            <w:pStyle w:val="VersoFooter"/>
          </w:pPr>
          <w:r>
            <w:t>Advisory Committee on Assisted Reproductive Technology</w:t>
          </w:r>
          <w:r>
            <w:br/>
            <w:t>Annual Report 2020/21</w:t>
          </w:r>
        </w:p>
      </w:tc>
    </w:tr>
  </w:tbl>
  <w:p w14:paraId="3CF872A2" w14:textId="77777777" w:rsidR="00DA7933" w:rsidRPr="004D655D" w:rsidRDefault="00DA7933">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A7933" w14:paraId="02259712" w14:textId="77777777">
      <w:trPr>
        <w:cantSplit/>
      </w:trPr>
      <w:tc>
        <w:tcPr>
          <w:tcW w:w="709" w:type="dxa"/>
        </w:tcPr>
        <w:p w14:paraId="5548E6D5" w14:textId="77777777" w:rsidR="00DA7933" w:rsidRDefault="00DA7933" w:rsidP="00346D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8789" w:type="dxa"/>
          <w:tcBorders>
            <w:top w:val="single" w:sz="4" w:space="0" w:color="auto"/>
          </w:tcBorders>
        </w:tcPr>
        <w:p w14:paraId="68CC56AA" w14:textId="77777777" w:rsidR="00DA7933" w:rsidRDefault="00DA7933" w:rsidP="00C861C8">
          <w:pPr>
            <w:pStyle w:val="VersoFooter"/>
          </w:pPr>
          <w:r>
            <w:t>Advisory Committee on Assisted Reproductive Technology</w:t>
          </w:r>
          <w:r>
            <w:br/>
            <w:t>Annual Report 2010/11</w:t>
          </w:r>
        </w:p>
      </w:tc>
    </w:tr>
  </w:tbl>
  <w:p w14:paraId="772142CF" w14:textId="77777777" w:rsidR="00DA7933" w:rsidRPr="00346DCC" w:rsidRDefault="00DA7933" w:rsidP="00346DCC">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A7933" w14:paraId="11EE9626" w14:textId="77777777">
      <w:trPr>
        <w:cantSplit/>
      </w:trPr>
      <w:tc>
        <w:tcPr>
          <w:tcW w:w="8789" w:type="dxa"/>
          <w:tcBorders>
            <w:bottom w:val="nil"/>
          </w:tcBorders>
          <w:vAlign w:val="center"/>
        </w:tcPr>
        <w:p w14:paraId="58869178" w14:textId="77777777" w:rsidR="00DA7933" w:rsidRDefault="00DA7933" w:rsidP="009F48DD">
          <w:pPr>
            <w:pStyle w:val="RectoFooter"/>
          </w:pPr>
          <w:r>
            <w:t>Advisory Committee on Assisted Reproductive Technology</w:t>
          </w:r>
          <w:r>
            <w:br/>
            <w:t>Annual Report 2010/11</w:t>
          </w:r>
        </w:p>
      </w:tc>
      <w:tc>
        <w:tcPr>
          <w:tcW w:w="709" w:type="dxa"/>
          <w:tcBorders>
            <w:top w:val="nil"/>
            <w:bottom w:val="nil"/>
          </w:tcBorders>
        </w:tcPr>
        <w:p w14:paraId="3D877DB6" w14:textId="77777777" w:rsidR="00DA7933" w:rsidRDefault="00DA7933"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0902D9EB" w14:textId="77777777" w:rsidR="00DA7933" w:rsidRPr="00674A36" w:rsidRDefault="00DA7933" w:rsidP="00674A36">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A7933" w14:paraId="3598AB5B" w14:textId="77777777" w:rsidTr="00EA6FE0">
      <w:trPr>
        <w:cantSplit/>
      </w:trPr>
      <w:tc>
        <w:tcPr>
          <w:tcW w:w="8789" w:type="dxa"/>
          <w:tcBorders>
            <w:bottom w:val="nil"/>
          </w:tcBorders>
          <w:vAlign w:val="center"/>
        </w:tcPr>
        <w:p w14:paraId="2D3B7413" w14:textId="64537FD7" w:rsidR="00DA7933" w:rsidRDefault="00DA7933" w:rsidP="00EA6FE0">
          <w:pPr>
            <w:pStyle w:val="RectoFooter"/>
          </w:pPr>
          <w:r>
            <w:rPr>
              <w:noProof/>
            </w:rPr>
            <w:drawing>
              <wp:anchor distT="0" distB="0" distL="114300" distR="114300" simplePos="0" relativeHeight="251696128" behindDoc="1" locked="0" layoutInCell="1" allowOverlap="1" wp14:anchorId="3D34B1FE" wp14:editId="299D2E6C">
                <wp:simplePos x="0" y="0"/>
                <wp:positionH relativeFrom="column">
                  <wp:posOffset>5050155</wp:posOffset>
                </wp:positionH>
                <wp:positionV relativeFrom="paragraph">
                  <wp:posOffset>-918845</wp:posOffset>
                </wp:positionV>
                <wp:extent cx="1449705" cy="144907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2020/21</w:t>
          </w:r>
        </w:p>
      </w:tc>
      <w:tc>
        <w:tcPr>
          <w:tcW w:w="709" w:type="dxa"/>
          <w:tcBorders>
            <w:top w:val="nil"/>
            <w:bottom w:val="nil"/>
          </w:tcBorders>
        </w:tcPr>
        <w:p w14:paraId="5CE0C2A9" w14:textId="77777777" w:rsidR="00DA7933" w:rsidRDefault="00DA7933" w:rsidP="00EA6FE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3CF2935B" w14:textId="77777777" w:rsidR="00DA7933" w:rsidRPr="004D655D" w:rsidRDefault="00DA793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A7933" w14:paraId="4B5765D8" w14:textId="77777777">
      <w:trPr>
        <w:cantSplit/>
      </w:trPr>
      <w:tc>
        <w:tcPr>
          <w:tcW w:w="8789" w:type="dxa"/>
          <w:tcBorders>
            <w:bottom w:val="nil"/>
          </w:tcBorders>
          <w:vAlign w:val="center"/>
        </w:tcPr>
        <w:p w14:paraId="05C4B54B" w14:textId="4A873F6A" w:rsidR="00DA7933" w:rsidRDefault="00DA7933" w:rsidP="00570306">
          <w:pPr>
            <w:pStyle w:val="RectoFooter"/>
          </w:pPr>
          <w:r>
            <w:rPr>
              <w:noProof/>
            </w:rPr>
            <w:drawing>
              <wp:anchor distT="0" distB="0" distL="114300" distR="114300" simplePos="0" relativeHeight="251655168" behindDoc="1" locked="0" layoutInCell="1" allowOverlap="1" wp14:anchorId="5F4C3FFA" wp14:editId="0B3F3769">
                <wp:simplePos x="0" y="0"/>
                <wp:positionH relativeFrom="column">
                  <wp:posOffset>5050155</wp:posOffset>
                </wp:positionH>
                <wp:positionV relativeFrom="paragraph">
                  <wp:posOffset>-940435</wp:posOffset>
                </wp:positionV>
                <wp:extent cx="1449705" cy="1449070"/>
                <wp:effectExtent l="0" t="0" r="0" b="0"/>
                <wp:wrapNone/>
                <wp:docPr id="14" name="Pictur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2020/21</w:t>
          </w:r>
        </w:p>
      </w:tc>
      <w:tc>
        <w:tcPr>
          <w:tcW w:w="709" w:type="dxa"/>
          <w:tcBorders>
            <w:top w:val="nil"/>
            <w:bottom w:val="nil"/>
          </w:tcBorders>
        </w:tcPr>
        <w:p w14:paraId="666BA9A1" w14:textId="77777777" w:rsidR="00DA7933" w:rsidRDefault="00DA7933"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14:paraId="72EAFFEF" w14:textId="77777777" w:rsidR="00DA7933" w:rsidRPr="002C6099" w:rsidRDefault="00DA7933" w:rsidP="002C609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A7933" w14:paraId="58B45A78" w14:textId="77777777">
      <w:trPr>
        <w:cantSplit/>
      </w:trPr>
      <w:tc>
        <w:tcPr>
          <w:tcW w:w="709" w:type="dxa"/>
        </w:tcPr>
        <w:p w14:paraId="1EDC8F7B" w14:textId="77777777" w:rsidR="00DA7933" w:rsidRDefault="00DA7933" w:rsidP="00346D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14:paraId="0E792606" w14:textId="77777777" w:rsidR="00DA7933" w:rsidRDefault="00DA7933" w:rsidP="007D1DC9">
          <w:pPr>
            <w:pStyle w:val="RectoFooter"/>
            <w:jc w:val="right"/>
          </w:pPr>
          <w:r>
            <w:t>Advisory Committee on Assisted Reproductive Technology</w:t>
          </w:r>
          <w:r>
            <w:br/>
            <w:t>Annual Report 2018/19</w:t>
          </w:r>
        </w:p>
      </w:tc>
    </w:tr>
  </w:tbl>
  <w:p w14:paraId="19FF8078" w14:textId="77777777" w:rsidR="00DA7933" w:rsidRPr="00346DCC" w:rsidRDefault="00DA7933" w:rsidP="00346DC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A7933" w14:paraId="4E614C00" w14:textId="77777777">
      <w:trPr>
        <w:cantSplit/>
      </w:trPr>
      <w:tc>
        <w:tcPr>
          <w:tcW w:w="8789" w:type="dxa"/>
          <w:tcBorders>
            <w:bottom w:val="nil"/>
          </w:tcBorders>
          <w:vAlign w:val="center"/>
        </w:tcPr>
        <w:p w14:paraId="0DAF5E33" w14:textId="6BA913CB" w:rsidR="00DA7933" w:rsidRDefault="00DA7933" w:rsidP="002F0CAD">
          <w:pPr>
            <w:pStyle w:val="RectoFooter"/>
          </w:pPr>
          <w:r>
            <w:rPr>
              <w:noProof/>
            </w:rPr>
            <w:drawing>
              <wp:anchor distT="0" distB="0" distL="114300" distR="114300" simplePos="0" relativeHeight="251650048" behindDoc="1" locked="0" layoutInCell="1" allowOverlap="1" wp14:anchorId="133D7111" wp14:editId="37275C50">
                <wp:simplePos x="0" y="0"/>
                <wp:positionH relativeFrom="column">
                  <wp:posOffset>5050155</wp:posOffset>
                </wp:positionH>
                <wp:positionV relativeFrom="paragraph">
                  <wp:posOffset>-918845</wp:posOffset>
                </wp:positionV>
                <wp:extent cx="1449705" cy="1449070"/>
                <wp:effectExtent l="0" t="0" r="0" b="0"/>
                <wp:wrapNone/>
                <wp:docPr id="13"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2020/21</w:t>
          </w:r>
        </w:p>
      </w:tc>
      <w:tc>
        <w:tcPr>
          <w:tcW w:w="709" w:type="dxa"/>
          <w:tcBorders>
            <w:top w:val="nil"/>
            <w:bottom w:val="nil"/>
          </w:tcBorders>
        </w:tcPr>
        <w:p w14:paraId="1BBD75EA" w14:textId="77777777" w:rsidR="00DA7933" w:rsidRDefault="00DA7933"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5AD8C79" w14:textId="77777777" w:rsidR="00DA7933" w:rsidRPr="00674A36" w:rsidRDefault="00DA7933" w:rsidP="00674A3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A7933" w14:paraId="624BA290" w14:textId="77777777">
      <w:trPr>
        <w:cantSplit/>
      </w:trPr>
      <w:tc>
        <w:tcPr>
          <w:tcW w:w="8789" w:type="dxa"/>
          <w:tcBorders>
            <w:bottom w:val="nil"/>
          </w:tcBorders>
          <w:vAlign w:val="center"/>
        </w:tcPr>
        <w:p w14:paraId="6BFC3917" w14:textId="476C2AFD" w:rsidR="00DA7933" w:rsidRDefault="00DA7933" w:rsidP="00570306">
          <w:pPr>
            <w:pStyle w:val="RectoFooter"/>
          </w:pPr>
          <w:r>
            <w:rPr>
              <w:noProof/>
            </w:rPr>
            <w:drawing>
              <wp:anchor distT="0" distB="0" distL="114300" distR="114300" simplePos="0" relativeHeight="251662336" behindDoc="1" locked="0" layoutInCell="1" allowOverlap="1" wp14:anchorId="419402D6" wp14:editId="663DB550">
                <wp:simplePos x="0" y="0"/>
                <wp:positionH relativeFrom="column">
                  <wp:posOffset>5050155</wp:posOffset>
                </wp:positionH>
                <wp:positionV relativeFrom="paragraph">
                  <wp:posOffset>-951230</wp:posOffset>
                </wp:positionV>
                <wp:extent cx="1449705" cy="1449070"/>
                <wp:effectExtent l="0" t="0" r="0" b="0"/>
                <wp:wrapNone/>
                <wp:docPr id="10" name="Pictur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2020/21</w:t>
          </w:r>
        </w:p>
      </w:tc>
      <w:tc>
        <w:tcPr>
          <w:tcW w:w="709" w:type="dxa"/>
          <w:tcBorders>
            <w:top w:val="nil"/>
            <w:bottom w:val="nil"/>
          </w:tcBorders>
        </w:tcPr>
        <w:p w14:paraId="46270730" w14:textId="77777777" w:rsidR="00DA7933" w:rsidRDefault="00DA7933"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r>
  </w:tbl>
  <w:p w14:paraId="0AA85E42" w14:textId="77777777" w:rsidR="00DA7933" w:rsidRPr="002C6099" w:rsidRDefault="00DA7933" w:rsidP="002C6099">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A7933" w14:paraId="6C771564" w14:textId="77777777">
      <w:trPr>
        <w:cantSplit/>
      </w:trPr>
      <w:tc>
        <w:tcPr>
          <w:tcW w:w="709" w:type="dxa"/>
        </w:tcPr>
        <w:p w14:paraId="1C77043E" w14:textId="77777777" w:rsidR="00DA7933" w:rsidRDefault="00DA7933" w:rsidP="00346DCC">
          <w:pPr>
            <w:pStyle w:val="Footer"/>
          </w:pPr>
          <w:r>
            <w:rPr>
              <w:noProof/>
            </w:rPr>
            <w:drawing>
              <wp:anchor distT="0" distB="0" distL="114300" distR="114300" simplePos="0" relativeHeight="251653120" behindDoc="1" locked="0" layoutInCell="1" allowOverlap="1" wp14:anchorId="6861BBA4" wp14:editId="08686CE8">
                <wp:simplePos x="0" y="0"/>
                <wp:positionH relativeFrom="column">
                  <wp:posOffset>-423545</wp:posOffset>
                </wp:positionH>
                <wp:positionV relativeFrom="paragraph">
                  <wp:posOffset>-968375</wp:posOffset>
                </wp:positionV>
                <wp:extent cx="1449705" cy="1449070"/>
                <wp:effectExtent l="0" t="0" r="0" b="0"/>
                <wp:wrapNone/>
                <wp:docPr id="9" name="Pictur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1CEA882E" w14:textId="61559D82" w:rsidR="00DA7933" w:rsidRDefault="00DA7933" w:rsidP="00570306">
          <w:pPr>
            <w:pStyle w:val="VersoFooter"/>
          </w:pPr>
          <w:r>
            <w:t>Advisory Committee on Assisted Reproductive Technology</w:t>
          </w:r>
          <w:r>
            <w:br/>
            <w:t>Annual Report 2020/21</w:t>
          </w:r>
        </w:p>
      </w:tc>
    </w:tr>
  </w:tbl>
  <w:p w14:paraId="2F7C7E83" w14:textId="77777777" w:rsidR="00DA7933" w:rsidRPr="00346DCC" w:rsidRDefault="00DA7933" w:rsidP="00346DCC">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A7933" w14:paraId="71C5B73F" w14:textId="77777777">
      <w:trPr>
        <w:cantSplit/>
      </w:trPr>
      <w:tc>
        <w:tcPr>
          <w:tcW w:w="8789" w:type="dxa"/>
          <w:tcBorders>
            <w:bottom w:val="nil"/>
          </w:tcBorders>
          <w:vAlign w:val="center"/>
        </w:tcPr>
        <w:p w14:paraId="08A2A83F" w14:textId="2914048D" w:rsidR="00DA7933" w:rsidRDefault="00DA7933" w:rsidP="00570306">
          <w:pPr>
            <w:pStyle w:val="RectoFooter"/>
          </w:pPr>
          <w:r>
            <w:rPr>
              <w:noProof/>
            </w:rPr>
            <w:drawing>
              <wp:anchor distT="0" distB="0" distL="114300" distR="114300" simplePos="0" relativeHeight="251652096" behindDoc="1" locked="0" layoutInCell="1" allowOverlap="1" wp14:anchorId="0E308E4D" wp14:editId="77CFE43B">
                <wp:simplePos x="0" y="0"/>
                <wp:positionH relativeFrom="column">
                  <wp:posOffset>5050155</wp:posOffset>
                </wp:positionH>
                <wp:positionV relativeFrom="paragraph">
                  <wp:posOffset>-929640</wp:posOffset>
                </wp:positionV>
                <wp:extent cx="1449705" cy="1449070"/>
                <wp:effectExtent l="0" t="0" r="0" b="0"/>
                <wp:wrapNone/>
                <wp:docPr id="7" name="Pictur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2020/21</w:t>
          </w:r>
        </w:p>
      </w:tc>
      <w:tc>
        <w:tcPr>
          <w:tcW w:w="709" w:type="dxa"/>
          <w:tcBorders>
            <w:top w:val="nil"/>
            <w:bottom w:val="nil"/>
          </w:tcBorders>
        </w:tcPr>
        <w:p w14:paraId="631D2FF5" w14:textId="77777777" w:rsidR="00DA7933" w:rsidRDefault="00DA7933"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13E5A5" w14:textId="77777777" w:rsidR="00DA7933" w:rsidRPr="004D655D" w:rsidRDefault="00DA7933">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A7933" w14:paraId="583EE601" w14:textId="77777777" w:rsidTr="00EA6FE0">
      <w:trPr>
        <w:cantSplit/>
      </w:trPr>
      <w:tc>
        <w:tcPr>
          <w:tcW w:w="709" w:type="dxa"/>
        </w:tcPr>
        <w:p w14:paraId="4D394505" w14:textId="77777777" w:rsidR="00DA7933" w:rsidRDefault="00DA7933" w:rsidP="00EA6FE0">
          <w:pPr>
            <w:pStyle w:val="Footer"/>
          </w:pPr>
          <w:r>
            <w:rPr>
              <w:noProof/>
            </w:rPr>
            <w:drawing>
              <wp:anchor distT="0" distB="0" distL="114300" distR="114300" simplePos="0" relativeHeight="251689984" behindDoc="1" locked="0" layoutInCell="1" allowOverlap="1" wp14:anchorId="7D73977A" wp14:editId="568720D3">
                <wp:simplePos x="0" y="0"/>
                <wp:positionH relativeFrom="column">
                  <wp:posOffset>-423545</wp:posOffset>
                </wp:positionH>
                <wp:positionV relativeFrom="paragraph">
                  <wp:posOffset>-968375</wp:posOffset>
                </wp:positionV>
                <wp:extent cx="1449705" cy="1449070"/>
                <wp:effectExtent l="0" t="0" r="0" b="0"/>
                <wp:wrapNone/>
                <wp:docPr id="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8789" w:type="dxa"/>
          <w:tcBorders>
            <w:top w:val="single" w:sz="4" w:space="0" w:color="auto"/>
          </w:tcBorders>
        </w:tcPr>
        <w:p w14:paraId="2919A796" w14:textId="77777777" w:rsidR="00DA7933" w:rsidRDefault="00DA7933" w:rsidP="007B4D88">
          <w:pPr>
            <w:pStyle w:val="VersoFooter"/>
          </w:pPr>
          <w:r>
            <w:t>Advisory Committee on Assisted Reproductive Technology</w:t>
          </w:r>
          <w:r>
            <w:br/>
            <w:t>Annual Report 2019/20</w:t>
          </w:r>
        </w:p>
      </w:tc>
    </w:tr>
  </w:tbl>
  <w:p w14:paraId="000A9D44" w14:textId="77777777" w:rsidR="00DA7933" w:rsidRPr="004D655D" w:rsidRDefault="00DA7933">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A7933" w14:paraId="5EFD94C8" w14:textId="77777777" w:rsidTr="00EA6FE0">
      <w:trPr>
        <w:cantSplit/>
      </w:trPr>
      <w:tc>
        <w:tcPr>
          <w:tcW w:w="8789" w:type="dxa"/>
          <w:tcBorders>
            <w:bottom w:val="nil"/>
          </w:tcBorders>
          <w:vAlign w:val="center"/>
        </w:tcPr>
        <w:p w14:paraId="5B2FBBBA" w14:textId="77777777" w:rsidR="00DA7933" w:rsidRDefault="00DA7933" w:rsidP="002B0A84">
          <w:pPr>
            <w:pStyle w:val="RectoFooter"/>
          </w:pPr>
          <w:r>
            <w:rPr>
              <w:noProof/>
            </w:rPr>
            <w:drawing>
              <wp:anchor distT="0" distB="0" distL="114300" distR="114300" simplePos="0" relativeHeight="251692032" behindDoc="1" locked="0" layoutInCell="1" allowOverlap="1" wp14:anchorId="19032216" wp14:editId="283F5AE5">
                <wp:simplePos x="0" y="0"/>
                <wp:positionH relativeFrom="column">
                  <wp:posOffset>5050155</wp:posOffset>
                </wp:positionH>
                <wp:positionV relativeFrom="paragraph">
                  <wp:posOffset>-918845</wp:posOffset>
                </wp:positionV>
                <wp:extent cx="1449705" cy="1449070"/>
                <wp:effectExtent l="0" t="0" r="0" b="0"/>
                <wp:wrapNone/>
                <wp:docPr id="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2019/20</w:t>
          </w:r>
        </w:p>
      </w:tc>
      <w:tc>
        <w:tcPr>
          <w:tcW w:w="709" w:type="dxa"/>
          <w:tcBorders>
            <w:top w:val="nil"/>
            <w:bottom w:val="nil"/>
          </w:tcBorders>
        </w:tcPr>
        <w:p w14:paraId="5141A902" w14:textId="77777777" w:rsidR="00DA7933" w:rsidRDefault="00DA7933" w:rsidP="00EA6FE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41419B71" w14:textId="77777777" w:rsidR="00DA7933" w:rsidRPr="004D655D" w:rsidRDefault="00DA79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6B33" w14:textId="77777777" w:rsidR="00FF09FC" w:rsidRPr="00A266FF" w:rsidRDefault="00FF09FC">
      <w:pPr>
        <w:rPr>
          <w:sz w:val="18"/>
          <w:szCs w:val="18"/>
        </w:rPr>
      </w:pPr>
      <w:r w:rsidRPr="00A266FF">
        <w:rPr>
          <w:sz w:val="18"/>
          <w:szCs w:val="18"/>
        </w:rPr>
        <w:separator/>
      </w:r>
    </w:p>
  </w:footnote>
  <w:footnote w:type="continuationSeparator" w:id="0">
    <w:p w14:paraId="54DE4922" w14:textId="77777777" w:rsidR="00FF09FC" w:rsidRDefault="00FF09FC">
      <w:r>
        <w:continuationSeparator/>
      </w:r>
    </w:p>
  </w:footnote>
  <w:footnote w:id="1">
    <w:p w14:paraId="7039D360" w14:textId="77777777" w:rsidR="00DA7933" w:rsidRDefault="00DA7933" w:rsidP="00EB2BFD">
      <w:pPr>
        <w:pStyle w:val="FootnoteText"/>
      </w:pPr>
      <w:r w:rsidRPr="002F0CAD">
        <w:rPr>
          <w:rStyle w:val="FootnoteReference"/>
        </w:rPr>
        <w:footnoteRef/>
      </w:r>
      <w:r>
        <w:tab/>
        <w:t xml:space="preserve">NECAHR. 2000. </w:t>
      </w:r>
      <w:r w:rsidRPr="7254E0E6">
        <w:rPr>
          <w:i/>
          <w:iCs/>
        </w:rPr>
        <w:t xml:space="preserve">Guidelines on the Storage, Use, and Disposal of Sperm from a Deceased Man. </w:t>
      </w:r>
      <w:r>
        <w:t>Wellington: National Ethics Committee on Assisted Human Reproduction.</w:t>
      </w:r>
    </w:p>
  </w:footnote>
  <w:footnote w:id="2">
    <w:p w14:paraId="3DECEE29" w14:textId="77777777" w:rsidR="00DA7933" w:rsidRDefault="00DA7933" w:rsidP="00EB2BFD">
      <w:pPr>
        <w:pStyle w:val="FootnoteText"/>
      </w:pPr>
      <w:r w:rsidRPr="002F0CAD">
        <w:rPr>
          <w:rStyle w:val="FootnoteReference"/>
        </w:rPr>
        <w:footnoteRef/>
      </w:r>
      <w:r>
        <w:tab/>
        <w:t xml:space="preserve">A London-based email newsletter and website funded by the Progress Educational Trust (PET) to provide news and comment on genetics, assisted conception, embryo/stem cell research and related areas (see: </w:t>
      </w:r>
      <w:hyperlink r:id="rId1" w:history="1">
        <w:r w:rsidRPr="002F0CAD">
          <w:rPr>
            <w:rStyle w:val="Hyperlink"/>
          </w:rPr>
          <w:t>www.bionews.org.uk/</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F9E2" w14:textId="77777777" w:rsidR="00DA7933" w:rsidRDefault="00DA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A2A3" w14:textId="77777777" w:rsidR="00DA7933" w:rsidRPr="003A7A1F" w:rsidRDefault="00DA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B8AA" w14:textId="77777777" w:rsidR="00DA7933" w:rsidRDefault="00DA7933">
    <w:pPr>
      <w:pStyle w:val="Header"/>
    </w:pPr>
    <w:r>
      <w:rPr>
        <w:noProof/>
      </w:rPr>
      <w:drawing>
        <wp:anchor distT="0" distB="0" distL="114300" distR="114300" simplePos="0" relativeHeight="251654144" behindDoc="0" locked="0" layoutInCell="1" allowOverlap="1" wp14:anchorId="7C0D394F" wp14:editId="225C7A25">
          <wp:simplePos x="0" y="0"/>
          <wp:positionH relativeFrom="column">
            <wp:posOffset>-951230</wp:posOffset>
          </wp:positionH>
          <wp:positionV relativeFrom="paragraph">
            <wp:posOffset>460375</wp:posOffset>
          </wp:positionV>
          <wp:extent cx="2148205" cy="1466215"/>
          <wp:effectExtent l="0" t="0" r="0" b="0"/>
          <wp:wrapNone/>
          <wp:docPr id="12"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F589" w14:textId="77777777" w:rsidR="00DA7933" w:rsidRDefault="00DA7933">
    <w:pPr>
      <w:pStyle w:val="Header"/>
    </w:pPr>
    <w:r>
      <w:rPr>
        <w:noProof/>
      </w:rPr>
      <w:drawing>
        <wp:anchor distT="0" distB="0" distL="114300" distR="114300" simplePos="0" relativeHeight="251661312" behindDoc="0" locked="0" layoutInCell="1" allowOverlap="1" wp14:anchorId="50C6AD64" wp14:editId="70F6A7E5">
          <wp:simplePos x="0" y="0"/>
          <wp:positionH relativeFrom="column">
            <wp:posOffset>-951230</wp:posOffset>
          </wp:positionH>
          <wp:positionV relativeFrom="paragraph">
            <wp:posOffset>460375</wp:posOffset>
          </wp:positionV>
          <wp:extent cx="2148205" cy="1466215"/>
          <wp:effectExtent l="0" t="0" r="0" b="0"/>
          <wp:wrapNone/>
          <wp:docPr id="11" name="Pictur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5CA" w14:textId="77777777" w:rsidR="00DA7933" w:rsidRDefault="00DA7933">
    <w:pPr>
      <w:pStyle w:val="Header"/>
    </w:pPr>
    <w:r>
      <w:rPr>
        <w:noProof/>
      </w:rPr>
      <w:drawing>
        <wp:anchor distT="0" distB="0" distL="114300" distR="114300" simplePos="0" relativeHeight="251651072" behindDoc="0" locked="0" layoutInCell="1" allowOverlap="1" wp14:anchorId="2926AA18" wp14:editId="4B581BD5">
          <wp:simplePos x="0" y="0"/>
          <wp:positionH relativeFrom="column">
            <wp:posOffset>-849630</wp:posOffset>
          </wp:positionH>
          <wp:positionV relativeFrom="paragraph">
            <wp:posOffset>446405</wp:posOffset>
          </wp:positionV>
          <wp:extent cx="2148205" cy="1466215"/>
          <wp:effectExtent l="0" t="0" r="0" b="0"/>
          <wp:wrapNone/>
          <wp:docPr id="8" name="Pictur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3334" w14:textId="77777777" w:rsidR="00DA7933" w:rsidRPr="003A7A1F" w:rsidRDefault="00DA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58D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0AF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89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00F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489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2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3E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F69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2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323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1" w15:restartNumberingAfterBreak="0">
    <w:nsid w:val="085718C7"/>
    <w:multiLevelType w:val="hybridMultilevel"/>
    <w:tmpl w:val="8CE00BD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DE6667"/>
    <w:multiLevelType w:val="hybridMultilevel"/>
    <w:tmpl w:val="CBC0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5B199A"/>
    <w:multiLevelType w:val="hybridMultilevel"/>
    <w:tmpl w:val="FFFFFFFF"/>
    <w:lvl w:ilvl="0" w:tplc="B3B0E3D8">
      <w:start w:val="1"/>
      <w:numFmt w:val="bullet"/>
      <w:lvlText w:val=""/>
      <w:lvlJc w:val="left"/>
      <w:pPr>
        <w:ind w:left="720" w:hanging="360"/>
      </w:pPr>
      <w:rPr>
        <w:rFonts w:ascii="Symbol" w:hAnsi="Symbol" w:hint="default"/>
      </w:rPr>
    </w:lvl>
    <w:lvl w:ilvl="1" w:tplc="5628D1B6">
      <w:start w:val="1"/>
      <w:numFmt w:val="bullet"/>
      <w:lvlText w:val="o"/>
      <w:lvlJc w:val="left"/>
      <w:pPr>
        <w:ind w:left="1440" w:hanging="360"/>
      </w:pPr>
      <w:rPr>
        <w:rFonts w:ascii="Courier New" w:hAnsi="Courier New" w:hint="default"/>
      </w:rPr>
    </w:lvl>
    <w:lvl w:ilvl="2" w:tplc="B7A4904A">
      <w:start w:val="1"/>
      <w:numFmt w:val="bullet"/>
      <w:lvlText w:val=""/>
      <w:lvlJc w:val="left"/>
      <w:pPr>
        <w:ind w:left="2160" w:hanging="360"/>
      </w:pPr>
      <w:rPr>
        <w:rFonts w:ascii="Wingdings" w:hAnsi="Wingdings" w:hint="default"/>
      </w:rPr>
    </w:lvl>
    <w:lvl w:ilvl="3" w:tplc="0FC07666">
      <w:start w:val="1"/>
      <w:numFmt w:val="bullet"/>
      <w:lvlText w:val=""/>
      <w:lvlJc w:val="left"/>
      <w:pPr>
        <w:ind w:left="2880" w:hanging="360"/>
      </w:pPr>
      <w:rPr>
        <w:rFonts w:ascii="Symbol" w:hAnsi="Symbol" w:hint="default"/>
      </w:rPr>
    </w:lvl>
    <w:lvl w:ilvl="4" w:tplc="CC2641A0">
      <w:start w:val="1"/>
      <w:numFmt w:val="bullet"/>
      <w:lvlText w:val="o"/>
      <w:lvlJc w:val="left"/>
      <w:pPr>
        <w:ind w:left="3600" w:hanging="360"/>
      </w:pPr>
      <w:rPr>
        <w:rFonts w:ascii="Courier New" w:hAnsi="Courier New" w:hint="default"/>
      </w:rPr>
    </w:lvl>
    <w:lvl w:ilvl="5" w:tplc="FDDA5C82">
      <w:start w:val="1"/>
      <w:numFmt w:val="bullet"/>
      <w:lvlText w:val=""/>
      <w:lvlJc w:val="left"/>
      <w:pPr>
        <w:ind w:left="4320" w:hanging="360"/>
      </w:pPr>
      <w:rPr>
        <w:rFonts w:ascii="Wingdings" w:hAnsi="Wingdings" w:hint="default"/>
      </w:rPr>
    </w:lvl>
    <w:lvl w:ilvl="6" w:tplc="72024956">
      <w:start w:val="1"/>
      <w:numFmt w:val="bullet"/>
      <w:lvlText w:val=""/>
      <w:lvlJc w:val="left"/>
      <w:pPr>
        <w:ind w:left="5040" w:hanging="360"/>
      </w:pPr>
      <w:rPr>
        <w:rFonts w:ascii="Symbol" w:hAnsi="Symbol" w:hint="default"/>
      </w:rPr>
    </w:lvl>
    <w:lvl w:ilvl="7" w:tplc="C24A0D76">
      <w:start w:val="1"/>
      <w:numFmt w:val="bullet"/>
      <w:lvlText w:val="o"/>
      <w:lvlJc w:val="left"/>
      <w:pPr>
        <w:ind w:left="5760" w:hanging="360"/>
      </w:pPr>
      <w:rPr>
        <w:rFonts w:ascii="Courier New" w:hAnsi="Courier New" w:hint="default"/>
      </w:rPr>
    </w:lvl>
    <w:lvl w:ilvl="8" w:tplc="C240919A">
      <w:start w:val="1"/>
      <w:numFmt w:val="bullet"/>
      <w:lvlText w:val=""/>
      <w:lvlJc w:val="left"/>
      <w:pPr>
        <w:ind w:left="6480" w:hanging="360"/>
      </w:pPr>
      <w:rPr>
        <w:rFonts w:ascii="Wingdings" w:hAnsi="Wingdings" w:hint="default"/>
      </w:rPr>
    </w:lvl>
  </w:abstractNum>
  <w:abstractNum w:abstractNumId="17" w15:restartNumberingAfterBreak="0">
    <w:nsid w:val="2C3658E3"/>
    <w:multiLevelType w:val="hybridMultilevel"/>
    <w:tmpl w:val="1B96CDC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7D3F61"/>
    <w:multiLevelType w:val="hybridMultilevel"/>
    <w:tmpl w:val="8A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8572B1F"/>
    <w:multiLevelType w:val="hybridMultilevel"/>
    <w:tmpl w:val="EF44BAA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65512"/>
    <w:multiLevelType w:val="hybridMultilevel"/>
    <w:tmpl w:val="8A4A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779DAE4"/>
    <w:multiLevelType w:val="hybridMultilevel"/>
    <w:tmpl w:val="65AE388A"/>
    <w:lvl w:ilvl="0" w:tplc="6638F470">
      <w:start w:val="1"/>
      <w:numFmt w:val="bullet"/>
      <w:lvlText w:val=""/>
      <w:lvlJc w:val="left"/>
      <w:pPr>
        <w:ind w:left="720" w:hanging="360"/>
      </w:pPr>
      <w:rPr>
        <w:rFonts w:ascii="Symbol" w:hAnsi="Symbol" w:hint="default"/>
      </w:rPr>
    </w:lvl>
    <w:lvl w:ilvl="1" w:tplc="0E8AFEA4">
      <w:start w:val="1"/>
      <w:numFmt w:val="bullet"/>
      <w:lvlText w:val="o"/>
      <w:lvlJc w:val="left"/>
      <w:pPr>
        <w:ind w:left="1440" w:hanging="360"/>
      </w:pPr>
      <w:rPr>
        <w:rFonts w:ascii="Courier New" w:hAnsi="Courier New" w:hint="default"/>
      </w:rPr>
    </w:lvl>
    <w:lvl w:ilvl="2" w:tplc="76367FB8">
      <w:start w:val="1"/>
      <w:numFmt w:val="bullet"/>
      <w:lvlText w:val=""/>
      <w:lvlJc w:val="left"/>
      <w:pPr>
        <w:ind w:left="2160" w:hanging="360"/>
      </w:pPr>
      <w:rPr>
        <w:rFonts w:ascii="Wingdings" w:hAnsi="Wingdings" w:hint="default"/>
      </w:rPr>
    </w:lvl>
    <w:lvl w:ilvl="3" w:tplc="1CB6D754">
      <w:start w:val="1"/>
      <w:numFmt w:val="bullet"/>
      <w:lvlText w:val=""/>
      <w:lvlJc w:val="left"/>
      <w:pPr>
        <w:ind w:left="2880" w:hanging="360"/>
      </w:pPr>
      <w:rPr>
        <w:rFonts w:ascii="Symbol" w:hAnsi="Symbol" w:hint="default"/>
      </w:rPr>
    </w:lvl>
    <w:lvl w:ilvl="4" w:tplc="5BDC8970">
      <w:start w:val="1"/>
      <w:numFmt w:val="bullet"/>
      <w:lvlText w:val="o"/>
      <w:lvlJc w:val="left"/>
      <w:pPr>
        <w:ind w:left="3600" w:hanging="360"/>
      </w:pPr>
      <w:rPr>
        <w:rFonts w:ascii="Courier New" w:hAnsi="Courier New" w:hint="default"/>
      </w:rPr>
    </w:lvl>
    <w:lvl w:ilvl="5" w:tplc="1EA89E2C">
      <w:start w:val="1"/>
      <w:numFmt w:val="bullet"/>
      <w:lvlText w:val=""/>
      <w:lvlJc w:val="left"/>
      <w:pPr>
        <w:ind w:left="4320" w:hanging="360"/>
      </w:pPr>
      <w:rPr>
        <w:rFonts w:ascii="Wingdings" w:hAnsi="Wingdings" w:hint="default"/>
      </w:rPr>
    </w:lvl>
    <w:lvl w:ilvl="6" w:tplc="6F6870EA">
      <w:start w:val="1"/>
      <w:numFmt w:val="bullet"/>
      <w:lvlText w:val=""/>
      <w:lvlJc w:val="left"/>
      <w:pPr>
        <w:ind w:left="5040" w:hanging="360"/>
      </w:pPr>
      <w:rPr>
        <w:rFonts w:ascii="Symbol" w:hAnsi="Symbol" w:hint="default"/>
      </w:rPr>
    </w:lvl>
    <w:lvl w:ilvl="7" w:tplc="501A5E2E">
      <w:start w:val="1"/>
      <w:numFmt w:val="bullet"/>
      <w:lvlText w:val="o"/>
      <w:lvlJc w:val="left"/>
      <w:pPr>
        <w:ind w:left="5760" w:hanging="360"/>
      </w:pPr>
      <w:rPr>
        <w:rFonts w:ascii="Courier New" w:hAnsi="Courier New" w:hint="default"/>
      </w:rPr>
    </w:lvl>
    <w:lvl w:ilvl="8" w:tplc="A37AFFA6">
      <w:start w:val="1"/>
      <w:numFmt w:val="bullet"/>
      <w:lvlText w:val=""/>
      <w:lvlJc w:val="left"/>
      <w:pPr>
        <w:ind w:left="6480" w:hanging="360"/>
      </w:pPr>
      <w:rPr>
        <w:rFonts w:ascii="Wingdings" w:hAnsi="Wingdings" w:hint="default"/>
      </w:rPr>
    </w:lvl>
  </w:abstractNum>
  <w:abstractNum w:abstractNumId="28" w15:restartNumberingAfterBreak="0">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9" w15:restartNumberingAfterBreak="0">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69F71CE"/>
    <w:multiLevelType w:val="hybridMultilevel"/>
    <w:tmpl w:val="182A8B1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10"/>
  </w:num>
  <w:num w:numId="4">
    <w:abstractNumId w:val="15"/>
  </w:num>
  <w:num w:numId="5">
    <w:abstractNumId w:val="24"/>
  </w:num>
  <w:num w:numId="6">
    <w:abstractNumId w:val="32"/>
  </w:num>
  <w:num w:numId="7">
    <w:abstractNumId w:val="21"/>
  </w:num>
  <w:num w:numId="8">
    <w:abstractNumId w:val="29"/>
  </w:num>
  <w:num w:numId="9">
    <w:abstractNumId w:val="14"/>
  </w:num>
  <w:num w:numId="10">
    <w:abstractNumId w:val="19"/>
  </w:num>
  <w:num w:numId="11">
    <w:abstractNumId w:val="26"/>
  </w:num>
  <w:num w:numId="12">
    <w:abstractNumId w:val="23"/>
  </w:num>
  <w:num w:numId="13">
    <w:abstractNumId w:val="8"/>
  </w:num>
  <w:num w:numId="14">
    <w:abstractNumId w:val="28"/>
  </w:num>
  <w:num w:numId="15">
    <w:abstractNumId w:val="12"/>
  </w:num>
  <w:num w:numId="16">
    <w:abstractNumId w:val="18"/>
  </w:num>
  <w:num w:numId="17">
    <w:abstractNumId w:val="13"/>
  </w:num>
  <w:num w:numId="18">
    <w:abstractNumId w:val="25"/>
  </w:num>
  <w:num w:numId="19">
    <w:abstractNumId w:val="20"/>
  </w:num>
  <w:num w:numId="20">
    <w:abstractNumId w:val="11"/>
  </w:num>
  <w:num w:numId="21">
    <w:abstractNumId w:val="30"/>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EC6"/>
    <w:rsid w:val="00004167"/>
    <w:rsid w:val="0000594E"/>
    <w:rsid w:val="000101B3"/>
    <w:rsid w:val="00012B13"/>
    <w:rsid w:val="00017245"/>
    <w:rsid w:val="00023255"/>
    <w:rsid w:val="00025B72"/>
    <w:rsid w:val="00031042"/>
    <w:rsid w:val="00031920"/>
    <w:rsid w:val="00032CC4"/>
    <w:rsid w:val="0003390C"/>
    <w:rsid w:val="000340A3"/>
    <w:rsid w:val="000346B0"/>
    <w:rsid w:val="000346BB"/>
    <w:rsid w:val="00034B60"/>
    <w:rsid w:val="0003678A"/>
    <w:rsid w:val="00036880"/>
    <w:rsid w:val="0003739D"/>
    <w:rsid w:val="000407A2"/>
    <w:rsid w:val="0004207E"/>
    <w:rsid w:val="00045FA5"/>
    <w:rsid w:val="00047B4C"/>
    <w:rsid w:val="0005083B"/>
    <w:rsid w:val="00050E9D"/>
    <w:rsid w:val="000524EF"/>
    <w:rsid w:val="00053798"/>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0A8"/>
    <w:rsid w:val="00082B89"/>
    <w:rsid w:val="00083C84"/>
    <w:rsid w:val="000840AB"/>
    <w:rsid w:val="000844F5"/>
    <w:rsid w:val="00085B1B"/>
    <w:rsid w:val="00093A1E"/>
    <w:rsid w:val="00096277"/>
    <w:rsid w:val="00096F82"/>
    <w:rsid w:val="000971EC"/>
    <w:rsid w:val="000A1A77"/>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13FA"/>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0C84"/>
    <w:rsid w:val="00102063"/>
    <w:rsid w:val="0010541C"/>
    <w:rsid w:val="00105E83"/>
    <w:rsid w:val="00110C6D"/>
    <w:rsid w:val="00111DFD"/>
    <w:rsid w:val="00113B8E"/>
    <w:rsid w:val="00117B16"/>
    <w:rsid w:val="00121727"/>
    <w:rsid w:val="001305F0"/>
    <w:rsid w:val="00130BF3"/>
    <w:rsid w:val="001315D8"/>
    <w:rsid w:val="00132992"/>
    <w:rsid w:val="00133156"/>
    <w:rsid w:val="001365E1"/>
    <w:rsid w:val="001404F3"/>
    <w:rsid w:val="00143834"/>
    <w:rsid w:val="0014426F"/>
    <w:rsid w:val="00145DB9"/>
    <w:rsid w:val="00146E67"/>
    <w:rsid w:val="00147F71"/>
    <w:rsid w:val="00151357"/>
    <w:rsid w:val="0015185C"/>
    <w:rsid w:val="001534F9"/>
    <w:rsid w:val="00155B2C"/>
    <w:rsid w:val="0015778B"/>
    <w:rsid w:val="001630DF"/>
    <w:rsid w:val="00172617"/>
    <w:rsid w:val="001739F8"/>
    <w:rsid w:val="0017408E"/>
    <w:rsid w:val="001740EC"/>
    <w:rsid w:val="00174B39"/>
    <w:rsid w:val="00180061"/>
    <w:rsid w:val="001808BF"/>
    <w:rsid w:val="001823EB"/>
    <w:rsid w:val="00184390"/>
    <w:rsid w:val="001870EA"/>
    <w:rsid w:val="00187F59"/>
    <w:rsid w:val="00187FAE"/>
    <w:rsid w:val="0019134F"/>
    <w:rsid w:val="00193455"/>
    <w:rsid w:val="00194111"/>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894"/>
    <w:rsid w:val="00206B6E"/>
    <w:rsid w:val="00206E82"/>
    <w:rsid w:val="002105B7"/>
    <w:rsid w:val="00211360"/>
    <w:rsid w:val="00214201"/>
    <w:rsid w:val="002142F2"/>
    <w:rsid w:val="002142F4"/>
    <w:rsid w:val="00216457"/>
    <w:rsid w:val="00216CA0"/>
    <w:rsid w:val="00216EAA"/>
    <w:rsid w:val="00217625"/>
    <w:rsid w:val="00217BBA"/>
    <w:rsid w:val="00221234"/>
    <w:rsid w:val="00221A27"/>
    <w:rsid w:val="002220BF"/>
    <w:rsid w:val="00222A5E"/>
    <w:rsid w:val="00222D46"/>
    <w:rsid w:val="00223CEC"/>
    <w:rsid w:val="002240CF"/>
    <w:rsid w:val="00225943"/>
    <w:rsid w:val="002259ED"/>
    <w:rsid w:val="002261D2"/>
    <w:rsid w:val="00226410"/>
    <w:rsid w:val="00227244"/>
    <w:rsid w:val="002273FE"/>
    <w:rsid w:val="00231B79"/>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6DD"/>
    <w:rsid w:val="00282A22"/>
    <w:rsid w:val="00283F7A"/>
    <w:rsid w:val="00293827"/>
    <w:rsid w:val="002938F3"/>
    <w:rsid w:val="00293F5E"/>
    <w:rsid w:val="00294185"/>
    <w:rsid w:val="00294862"/>
    <w:rsid w:val="00295F04"/>
    <w:rsid w:val="00297A0A"/>
    <w:rsid w:val="002A3909"/>
    <w:rsid w:val="002A43BF"/>
    <w:rsid w:val="002A4DEB"/>
    <w:rsid w:val="002A5592"/>
    <w:rsid w:val="002A5B2E"/>
    <w:rsid w:val="002B0A84"/>
    <w:rsid w:val="002B0FFB"/>
    <w:rsid w:val="002B12E6"/>
    <w:rsid w:val="002B2978"/>
    <w:rsid w:val="002C0CED"/>
    <w:rsid w:val="002C2C93"/>
    <w:rsid w:val="002C2DD3"/>
    <w:rsid w:val="002C3107"/>
    <w:rsid w:val="002C3964"/>
    <w:rsid w:val="002C4B4F"/>
    <w:rsid w:val="002C5153"/>
    <w:rsid w:val="002C5C48"/>
    <w:rsid w:val="002C6099"/>
    <w:rsid w:val="002D18EE"/>
    <w:rsid w:val="002D20EC"/>
    <w:rsid w:val="002D2C0B"/>
    <w:rsid w:val="002D2DA0"/>
    <w:rsid w:val="002D50B5"/>
    <w:rsid w:val="002D661E"/>
    <w:rsid w:val="002D6E25"/>
    <w:rsid w:val="002D7C75"/>
    <w:rsid w:val="002E192B"/>
    <w:rsid w:val="002E2723"/>
    <w:rsid w:val="002E3C31"/>
    <w:rsid w:val="002E4A55"/>
    <w:rsid w:val="002E53E0"/>
    <w:rsid w:val="002E7298"/>
    <w:rsid w:val="002E7817"/>
    <w:rsid w:val="002E7A2B"/>
    <w:rsid w:val="002F0CAD"/>
    <w:rsid w:val="002F16C0"/>
    <w:rsid w:val="002F174D"/>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41393"/>
    <w:rsid w:val="00342EA2"/>
    <w:rsid w:val="00344836"/>
    <w:rsid w:val="00344C30"/>
    <w:rsid w:val="00346DCC"/>
    <w:rsid w:val="003474CE"/>
    <w:rsid w:val="003500EC"/>
    <w:rsid w:val="00354772"/>
    <w:rsid w:val="003564F8"/>
    <w:rsid w:val="00357669"/>
    <w:rsid w:val="00360255"/>
    <w:rsid w:val="00360A11"/>
    <w:rsid w:val="00362BD3"/>
    <w:rsid w:val="003638AF"/>
    <w:rsid w:val="003679C9"/>
    <w:rsid w:val="003702B1"/>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16F"/>
    <w:rsid w:val="003B4F35"/>
    <w:rsid w:val="003B6FBE"/>
    <w:rsid w:val="003C24DE"/>
    <w:rsid w:val="003C3BB9"/>
    <w:rsid w:val="003C55A4"/>
    <w:rsid w:val="003C648C"/>
    <w:rsid w:val="003C6D2F"/>
    <w:rsid w:val="003D1083"/>
    <w:rsid w:val="003D2981"/>
    <w:rsid w:val="003D3C0A"/>
    <w:rsid w:val="003D3DA0"/>
    <w:rsid w:val="003D59CF"/>
    <w:rsid w:val="003D59D4"/>
    <w:rsid w:val="003E1478"/>
    <w:rsid w:val="003E17EB"/>
    <w:rsid w:val="003E2B3F"/>
    <w:rsid w:val="003E4074"/>
    <w:rsid w:val="003E538D"/>
    <w:rsid w:val="003E5C78"/>
    <w:rsid w:val="003F1542"/>
    <w:rsid w:val="003F3F16"/>
    <w:rsid w:val="003F4E26"/>
    <w:rsid w:val="004002B2"/>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EC9"/>
    <w:rsid w:val="004C7AFE"/>
    <w:rsid w:val="004D2874"/>
    <w:rsid w:val="004D5C25"/>
    <w:rsid w:val="004D6255"/>
    <w:rsid w:val="004D655D"/>
    <w:rsid w:val="004E12E1"/>
    <w:rsid w:val="004E1356"/>
    <w:rsid w:val="004E1B4E"/>
    <w:rsid w:val="004E260F"/>
    <w:rsid w:val="004E7724"/>
    <w:rsid w:val="004E7AC8"/>
    <w:rsid w:val="004F1741"/>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A90"/>
    <w:rsid w:val="00557BF3"/>
    <w:rsid w:val="00570306"/>
    <w:rsid w:val="00570F40"/>
    <w:rsid w:val="00571BD3"/>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762F"/>
    <w:rsid w:val="005D79FF"/>
    <w:rsid w:val="005E3B54"/>
    <w:rsid w:val="005E47B7"/>
    <w:rsid w:val="005F47FD"/>
    <w:rsid w:val="005F4B1B"/>
    <w:rsid w:val="00602093"/>
    <w:rsid w:val="00606768"/>
    <w:rsid w:val="00610BAA"/>
    <w:rsid w:val="00613F26"/>
    <w:rsid w:val="00617387"/>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4549"/>
    <w:rsid w:val="00674A36"/>
    <w:rsid w:val="006773C9"/>
    <w:rsid w:val="00683A8B"/>
    <w:rsid w:val="00684219"/>
    <w:rsid w:val="00684AB7"/>
    <w:rsid w:val="00690209"/>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D430F"/>
    <w:rsid w:val="006E3328"/>
    <w:rsid w:val="006E37CE"/>
    <w:rsid w:val="006E75E7"/>
    <w:rsid w:val="006F0CC6"/>
    <w:rsid w:val="006F4AF7"/>
    <w:rsid w:val="006F4EF4"/>
    <w:rsid w:val="006F5130"/>
    <w:rsid w:val="006F6FF8"/>
    <w:rsid w:val="006F7144"/>
    <w:rsid w:val="006F7172"/>
    <w:rsid w:val="0070080E"/>
    <w:rsid w:val="007009FD"/>
    <w:rsid w:val="00701E59"/>
    <w:rsid w:val="00702854"/>
    <w:rsid w:val="007029F8"/>
    <w:rsid w:val="0070358F"/>
    <w:rsid w:val="00705BAA"/>
    <w:rsid w:val="00707E57"/>
    <w:rsid w:val="0071173B"/>
    <w:rsid w:val="00711C29"/>
    <w:rsid w:val="00714513"/>
    <w:rsid w:val="00722ACA"/>
    <w:rsid w:val="00723B82"/>
    <w:rsid w:val="0072790C"/>
    <w:rsid w:val="00740899"/>
    <w:rsid w:val="00741713"/>
    <w:rsid w:val="007417EF"/>
    <w:rsid w:val="00744446"/>
    <w:rsid w:val="00744DC3"/>
    <w:rsid w:val="007458CC"/>
    <w:rsid w:val="00746D63"/>
    <w:rsid w:val="007519EC"/>
    <w:rsid w:val="00755896"/>
    <w:rsid w:val="00757EA3"/>
    <w:rsid w:val="00762647"/>
    <w:rsid w:val="00762781"/>
    <w:rsid w:val="00762F00"/>
    <w:rsid w:val="007641B0"/>
    <w:rsid w:val="00764428"/>
    <w:rsid w:val="00765BD4"/>
    <w:rsid w:val="00774632"/>
    <w:rsid w:val="00775329"/>
    <w:rsid w:val="0078113D"/>
    <w:rsid w:val="007821E2"/>
    <w:rsid w:val="007850C6"/>
    <w:rsid w:val="00787792"/>
    <w:rsid w:val="0078796A"/>
    <w:rsid w:val="00787992"/>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4D88"/>
    <w:rsid w:val="007B79D3"/>
    <w:rsid w:val="007C61D7"/>
    <w:rsid w:val="007D0056"/>
    <w:rsid w:val="007D0BAB"/>
    <w:rsid w:val="007D1DC9"/>
    <w:rsid w:val="007D2AA0"/>
    <w:rsid w:val="007D3A25"/>
    <w:rsid w:val="007E404D"/>
    <w:rsid w:val="007E4C68"/>
    <w:rsid w:val="007E6A82"/>
    <w:rsid w:val="007E6DA2"/>
    <w:rsid w:val="007E760E"/>
    <w:rsid w:val="007E771B"/>
    <w:rsid w:val="007E79A5"/>
    <w:rsid w:val="007F0698"/>
    <w:rsid w:val="007F09B1"/>
    <w:rsid w:val="007F4738"/>
    <w:rsid w:val="007F6CEA"/>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6AA1"/>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D83"/>
    <w:rsid w:val="00872E5B"/>
    <w:rsid w:val="00872F0B"/>
    <w:rsid w:val="00873AB0"/>
    <w:rsid w:val="00877213"/>
    <w:rsid w:val="0088119F"/>
    <w:rsid w:val="00886D8F"/>
    <w:rsid w:val="00890B52"/>
    <w:rsid w:val="0089168B"/>
    <w:rsid w:val="00891BBA"/>
    <w:rsid w:val="0089433B"/>
    <w:rsid w:val="00895BBE"/>
    <w:rsid w:val="008A3380"/>
    <w:rsid w:val="008A3E15"/>
    <w:rsid w:val="008A4448"/>
    <w:rsid w:val="008A6911"/>
    <w:rsid w:val="008A6C45"/>
    <w:rsid w:val="008A7162"/>
    <w:rsid w:val="008A7203"/>
    <w:rsid w:val="008B0FF2"/>
    <w:rsid w:val="008B1719"/>
    <w:rsid w:val="008B2A51"/>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72FD"/>
    <w:rsid w:val="008F2609"/>
    <w:rsid w:val="008F35E3"/>
    <w:rsid w:val="008F4564"/>
    <w:rsid w:val="008F6B2F"/>
    <w:rsid w:val="008F714A"/>
    <w:rsid w:val="008F72AA"/>
    <w:rsid w:val="0090069B"/>
    <w:rsid w:val="00900FD1"/>
    <w:rsid w:val="00901C70"/>
    <w:rsid w:val="009023F7"/>
    <w:rsid w:val="009026D8"/>
    <w:rsid w:val="00902F55"/>
    <w:rsid w:val="00910F0D"/>
    <w:rsid w:val="0091536D"/>
    <w:rsid w:val="00921037"/>
    <w:rsid w:val="0092110A"/>
    <w:rsid w:val="00922AD1"/>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0517"/>
    <w:rsid w:val="009B0AA0"/>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2925"/>
    <w:rsid w:val="009E5069"/>
    <w:rsid w:val="009E6B6B"/>
    <w:rsid w:val="009F14FB"/>
    <w:rsid w:val="009F21BE"/>
    <w:rsid w:val="009F48DD"/>
    <w:rsid w:val="009F4ECD"/>
    <w:rsid w:val="009F6CA4"/>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D25"/>
    <w:rsid w:val="00A62EF2"/>
    <w:rsid w:val="00A644DC"/>
    <w:rsid w:val="00A66034"/>
    <w:rsid w:val="00A66E63"/>
    <w:rsid w:val="00A66F56"/>
    <w:rsid w:val="00A673D2"/>
    <w:rsid w:val="00A67D74"/>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597"/>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6D04"/>
    <w:rsid w:val="00AF17F7"/>
    <w:rsid w:val="00AF61B2"/>
    <w:rsid w:val="00B004E1"/>
    <w:rsid w:val="00B022AA"/>
    <w:rsid w:val="00B06FFA"/>
    <w:rsid w:val="00B07033"/>
    <w:rsid w:val="00B12013"/>
    <w:rsid w:val="00B13534"/>
    <w:rsid w:val="00B13D1F"/>
    <w:rsid w:val="00B14DAF"/>
    <w:rsid w:val="00B150A9"/>
    <w:rsid w:val="00B204A1"/>
    <w:rsid w:val="00B2169A"/>
    <w:rsid w:val="00B230E6"/>
    <w:rsid w:val="00B234DD"/>
    <w:rsid w:val="00B236BF"/>
    <w:rsid w:val="00B23CE8"/>
    <w:rsid w:val="00B25428"/>
    <w:rsid w:val="00B2657E"/>
    <w:rsid w:val="00B27691"/>
    <w:rsid w:val="00B324AA"/>
    <w:rsid w:val="00B32760"/>
    <w:rsid w:val="00B3488A"/>
    <w:rsid w:val="00B3628F"/>
    <w:rsid w:val="00B3711F"/>
    <w:rsid w:val="00B4046A"/>
    <w:rsid w:val="00B40ABB"/>
    <w:rsid w:val="00B43306"/>
    <w:rsid w:val="00B43CD9"/>
    <w:rsid w:val="00B4646F"/>
    <w:rsid w:val="00B46D09"/>
    <w:rsid w:val="00B46F46"/>
    <w:rsid w:val="00B474BD"/>
    <w:rsid w:val="00B475B6"/>
    <w:rsid w:val="00B47AB7"/>
    <w:rsid w:val="00B50FA1"/>
    <w:rsid w:val="00B514A6"/>
    <w:rsid w:val="00B52846"/>
    <w:rsid w:val="00B5311F"/>
    <w:rsid w:val="00B53F3E"/>
    <w:rsid w:val="00B54936"/>
    <w:rsid w:val="00B5558C"/>
    <w:rsid w:val="00B55BD4"/>
    <w:rsid w:val="00B60558"/>
    <w:rsid w:val="00B61609"/>
    <w:rsid w:val="00B625D3"/>
    <w:rsid w:val="00B67049"/>
    <w:rsid w:val="00B71557"/>
    <w:rsid w:val="00B722DA"/>
    <w:rsid w:val="00B73632"/>
    <w:rsid w:val="00B74C71"/>
    <w:rsid w:val="00B74D50"/>
    <w:rsid w:val="00B7551A"/>
    <w:rsid w:val="00B7577C"/>
    <w:rsid w:val="00B75F2D"/>
    <w:rsid w:val="00B7602B"/>
    <w:rsid w:val="00B82946"/>
    <w:rsid w:val="00B83DF5"/>
    <w:rsid w:val="00B86478"/>
    <w:rsid w:val="00B86BCA"/>
    <w:rsid w:val="00B87460"/>
    <w:rsid w:val="00B92F20"/>
    <w:rsid w:val="00B940B5"/>
    <w:rsid w:val="00B947DB"/>
    <w:rsid w:val="00B96EA4"/>
    <w:rsid w:val="00B96F53"/>
    <w:rsid w:val="00B97D92"/>
    <w:rsid w:val="00BA5D89"/>
    <w:rsid w:val="00BB0ACF"/>
    <w:rsid w:val="00BB27A2"/>
    <w:rsid w:val="00BB3299"/>
    <w:rsid w:val="00BB5F3D"/>
    <w:rsid w:val="00BC1FE7"/>
    <w:rsid w:val="00BC2683"/>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A8E"/>
    <w:rsid w:val="00C02DF7"/>
    <w:rsid w:val="00C03766"/>
    <w:rsid w:val="00C12275"/>
    <w:rsid w:val="00C125E1"/>
    <w:rsid w:val="00C177BA"/>
    <w:rsid w:val="00C20CC0"/>
    <w:rsid w:val="00C22E9E"/>
    <w:rsid w:val="00C242A8"/>
    <w:rsid w:val="00C25247"/>
    <w:rsid w:val="00C25F66"/>
    <w:rsid w:val="00C2742B"/>
    <w:rsid w:val="00C31649"/>
    <w:rsid w:val="00C32F5F"/>
    <w:rsid w:val="00C372F7"/>
    <w:rsid w:val="00C37C3C"/>
    <w:rsid w:val="00C40C4C"/>
    <w:rsid w:val="00C41C32"/>
    <w:rsid w:val="00C42A4C"/>
    <w:rsid w:val="00C51606"/>
    <w:rsid w:val="00C53FDC"/>
    <w:rsid w:val="00C6126B"/>
    <w:rsid w:val="00C619F6"/>
    <w:rsid w:val="00C63424"/>
    <w:rsid w:val="00C663D2"/>
    <w:rsid w:val="00C66C38"/>
    <w:rsid w:val="00C70865"/>
    <w:rsid w:val="00C7149F"/>
    <w:rsid w:val="00C71E30"/>
    <w:rsid w:val="00C73967"/>
    <w:rsid w:val="00C75C6E"/>
    <w:rsid w:val="00C821C8"/>
    <w:rsid w:val="00C861C8"/>
    <w:rsid w:val="00C86248"/>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917"/>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ACA"/>
    <w:rsid w:val="00D42E31"/>
    <w:rsid w:val="00D43B2D"/>
    <w:rsid w:val="00D44AB6"/>
    <w:rsid w:val="00D45B28"/>
    <w:rsid w:val="00D46420"/>
    <w:rsid w:val="00D51035"/>
    <w:rsid w:val="00D528A3"/>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A7933"/>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2F49"/>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1585"/>
    <w:rsid w:val="00E878DE"/>
    <w:rsid w:val="00E9056D"/>
    <w:rsid w:val="00E960F2"/>
    <w:rsid w:val="00EA05BC"/>
    <w:rsid w:val="00EA55BA"/>
    <w:rsid w:val="00EA578D"/>
    <w:rsid w:val="00EA5E11"/>
    <w:rsid w:val="00EA6FE0"/>
    <w:rsid w:val="00EB1856"/>
    <w:rsid w:val="00EB29F7"/>
    <w:rsid w:val="00EB2BFD"/>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11FF"/>
    <w:rsid w:val="00F23CF7"/>
    <w:rsid w:val="00F25BC1"/>
    <w:rsid w:val="00F264D7"/>
    <w:rsid w:val="00F26912"/>
    <w:rsid w:val="00F27632"/>
    <w:rsid w:val="00F31BD2"/>
    <w:rsid w:val="00F32692"/>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5D6F"/>
    <w:rsid w:val="00F704B5"/>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551C"/>
    <w:rsid w:val="00FD6A52"/>
    <w:rsid w:val="00FD70B8"/>
    <w:rsid w:val="00FE064C"/>
    <w:rsid w:val="00FE1268"/>
    <w:rsid w:val="00FE1BB4"/>
    <w:rsid w:val="00FE25D6"/>
    <w:rsid w:val="00FE312C"/>
    <w:rsid w:val="00FE3162"/>
    <w:rsid w:val="00FE3586"/>
    <w:rsid w:val="00FE3B92"/>
    <w:rsid w:val="00FE3DB6"/>
    <w:rsid w:val="00FE643E"/>
    <w:rsid w:val="00FE747D"/>
    <w:rsid w:val="00FE7F18"/>
    <w:rsid w:val="00FF09FC"/>
    <w:rsid w:val="00FF1207"/>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CC0F5B4"/>
  <w15:docId w15:val="{E5FA2E94-8432-4AF6-BA5E-C2DDABD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link w:val="Heading4Char"/>
    <w:qFormat/>
    <w:rsid w:val="00787992"/>
    <w:pPr>
      <w:keepNext/>
      <w:spacing w:before="240" w:after="120"/>
      <w:jc w:val="left"/>
      <w:outlineLvl w:val="3"/>
    </w:pPr>
    <w:rPr>
      <w:b/>
    </w:rPr>
  </w:style>
  <w:style w:type="paragraph" w:styleId="Heading5">
    <w:name w:val="heading 5"/>
    <w:basedOn w:val="Normal"/>
    <w:next w:val="Normal"/>
    <w:link w:val="Heading5Char"/>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link w:val="FootnoteTextChar"/>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557A90"/>
    <w:pPr>
      <w:numPr>
        <w:numId w:val="2"/>
      </w:numPr>
      <w:spacing w:before="90"/>
      <w:ind w:left="568" w:hanging="284"/>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rsid w:val="00000EC6"/>
    <w:pPr>
      <w:spacing w:before="80"/>
      <w:ind w:left="284" w:hanging="284"/>
    </w:pPr>
    <w:rPr>
      <w:sz w:val="18"/>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 w:type="paragraph" w:styleId="Caption">
    <w:name w:val="caption"/>
    <w:basedOn w:val="Normal"/>
    <w:next w:val="Normal"/>
    <w:uiPriority w:val="35"/>
    <w:unhideWhenUsed/>
    <w:qFormat/>
    <w:rsid w:val="00557A90"/>
    <w:pPr>
      <w:spacing w:after="200" w:line="240" w:lineRule="auto"/>
    </w:pPr>
    <w:rPr>
      <w:b/>
      <w:bCs/>
      <w:color w:val="4F81BD"/>
      <w:sz w:val="18"/>
      <w:szCs w:val="18"/>
    </w:rPr>
  </w:style>
  <w:style w:type="character" w:customStyle="1" w:styleId="FootnoteTextChar">
    <w:name w:val="Footnote Text Char"/>
    <w:link w:val="FootnoteText"/>
    <w:semiHidden/>
    <w:rsid w:val="00E81585"/>
    <w:rPr>
      <w:rFonts w:ascii="Arial" w:hAnsi="Arial"/>
      <w:sz w:val="18"/>
      <w:lang w:eastAsia="en-GB"/>
    </w:rPr>
  </w:style>
  <w:style w:type="character" w:styleId="CommentReference">
    <w:name w:val="annotation reference"/>
    <w:basedOn w:val="DefaultParagraphFont"/>
    <w:uiPriority w:val="99"/>
    <w:semiHidden/>
    <w:unhideWhenUsed/>
    <w:rsid w:val="00EB2BFD"/>
    <w:rPr>
      <w:sz w:val="16"/>
      <w:szCs w:val="16"/>
    </w:rPr>
  </w:style>
  <w:style w:type="paragraph" w:styleId="CommentText">
    <w:name w:val="annotation text"/>
    <w:basedOn w:val="Normal"/>
    <w:link w:val="CommentTextChar"/>
    <w:uiPriority w:val="99"/>
    <w:semiHidden/>
    <w:unhideWhenUsed/>
    <w:rsid w:val="00EB2BFD"/>
    <w:pPr>
      <w:spacing w:line="240" w:lineRule="auto"/>
    </w:pPr>
    <w:rPr>
      <w:sz w:val="20"/>
    </w:rPr>
  </w:style>
  <w:style w:type="character" w:customStyle="1" w:styleId="CommentTextChar">
    <w:name w:val="Comment Text Char"/>
    <w:basedOn w:val="DefaultParagraphFont"/>
    <w:link w:val="CommentText"/>
    <w:uiPriority w:val="99"/>
    <w:semiHidden/>
    <w:rsid w:val="00EB2BFD"/>
    <w:rPr>
      <w:rFonts w:ascii="Arial" w:hAnsi="Arial"/>
      <w:lang w:eastAsia="en-GB"/>
    </w:rPr>
  </w:style>
  <w:style w:type="character" w:customStyle="1" w:styleId="Heading4Char">
    <w:name w:val="Heading 4 Char"/>
    <w:basedOn w:val="DefaultParagraphFont"/>
    <w:link w:val="Heading4"/>
    <w:rsid w:val="00EB2BFD"/>
    <w:rPr>
      <w:rFonts w:ascii="Arial" w:hAnsi="Arial"/>
      <w:b/>
      <w:sz w:val="22"/>
      <w:lang w:eastAsia="en-GB"/>
    </w:rPr>
  </w:style>
  <w:style w:type="character" w:customStyle="1" w:styleId="Heading5Char">
    <w:name w:val="Heading 5 Char"/>
    <w:basedOn w:val="DefaultParagraphFont"/>
    <w:link w:val="Heading5"/>
    <w:rsid w:val="00EB2BFD"/>
    <w:rPr>
      <w:rFonts w:ascii="Arial" w:hAnsi="Arial"/>
      <w: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4.xml"/><Relationship Id="rId7" Type="http://schemas.openxmlformats.org/officeDocument/2006/relationships/webSettings" Target="webSettings.xml"/><Relationship Id="rId12" Type="http://schemas.openxmlformats.org/officeDocument/2006/relationships/hyperlink" Target="http://www.acart.health.govt.nz"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acart.health.govt.nz/about-us/terms-reference" TargetMode="External"/><Relationship Id="rId27" Type="http://schemas.openxmlformats.org/officeDocument/2006/relationships/hyperlink" Target="https://acart.health.govt.nz/" TargetMode="External"/><Relationship Id="rId30" Type="http://schemas.openxmlformats.org/officeDocument/2006/relationships/footer" Target="footer10.xml"/><Relationship Id="rId35" Type="http://schemas.openxmlformats.org/officeDocument/2006/relationships/footer" Target="footer15.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bionews.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8C822-3790-4264-A944-0368B48CD843}">
  <ds:schemaRefs>
    <ds:schemaRef ds:uri="http://schemas.microsoft.com/sharepoint/v3/contenttype/forms"/>
  </ds:schemaRefs>
</ds:datastoreItem>
</file>

<file path=customXml/itemProps2.xml><?xml version="1.0" encoding="utf-8"?>
<ds:datastoreItem xmlns:ds="http://schemas.openxmlformats.org/officeDocument/2006/customXml" ds:itemID="{832682CF-1D73-4103-897F-CAA2DFEEC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AE16D-FB70-4D45-8F8A-C1327F45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21</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Advisory Committee on Assisted Reproductive Technology: Annual report 2019/20</vt:lpstr>
    </vt:vector>
  </TitlesOfParts>
  <Company>Wordprocessing Services</Company>
  <LinksUpToDate>false</LinksUpToDate>
  <CharactersWithSpaces>31671</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Annual report 2020/21</dc:title>
  <dc:creator>ACART@health.govt.nz</dc:creator>
  <cp:lastModifiedBy>Chloe Croskery</cp:lastModifiedBy>
  <cp:revision>3</cp:revision>
  <cp:lastPrinted>2023-07-04T20:36:00Z</cp:lastPrinted>
  <dcterms:created xsi:type="dcterms:W3CDTF">2023-07-04T20:34:00Z</dcterms:created>
  <dcterms:modified xsi:type="dcterms:W3CDTF">2023-07-04T20:36:00Z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