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9644" w14:textId="77777777" w:rsidR="00CE36D0" w:rsidRPr="00155578" w:rsidRDefault="009150A3" w:rsidP="00CE36D0">
      <w:pPr>
        <w:jc w:val="center"/>
        <w:rPr>
          <w:rFonts w:cs="Arial Mäori"/>
        </w:rPr>
      </w:pPr>
      <w:bookmarkStart w:id="0" w:name="_GoBack"/>
      <w:bookmarkEnd w:id="0"/>
      <w:r w:rsidRPr="00155578">
        <w:rPr>
          <w:noProof/>
          <w:lang w:eastAsia="en-NZ"/>
        </w:rPr>
        <w:drawing>
          <wp:inline distT="0" distB="0" distL="0" distR="0" wp14:anchorId="2C2C8012" wp14:editId="423A0BA1">
            <wp:extent cx="1955800" cy="556895"/>
            <wp:effectExtent l="0" t="0" r="6350" b="0"/>
            <wp:docPr id="42" name="Picture 42"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756A8731" w14:textId="77777777"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14:paraId="12D15080" w14:textId="77777777" w:rsidR="00CE36D0" w:rsidRPr="00155578" w:rsidRDefault="00EE42B0" w:rsidP="00EB060C">
      <w:pPr>
        <w:pStyle w:val="Title"/>
        <w:spacing w:before="3000" w:after="3000"/>
      </w:pPr>
      <w:r>
        <w:t>ACART Advice and Guidelines for Gamete and Embryo Donation and Surrogacy</w:t>
      </w:r>
    </w:p>
    <w:p w14:paraId="0309EEFC" w14:textId="77777777" w:rsidR="00D661EC" w:rsidRPr="00155578" w:rsidRDefault="00D661EC" w:rsidP="00D661EC"/>
    <w:p w14:paraId="2F21DAAB" w14:textId="77777777" w:rsidR="000407A2" w:rsidRPr="00155578" w:rsidRDefault="000407A2" w:rsidP="000407A2">
      <w:pPr>
        <w:rPr>
          <w:highlight w:val="green"/>
        </w:rPr>
        <w:sectPr w:rsidR="000407A2" w:rsidRPr="00155578" w:rsidSect="00CE36D0">
          <w:headerReference w:type="default" r:id="rId12"/>
          <w:footerReference w:type="even" r:id="rId13"/>
          <w:footerReference w:type="first" r:id="rId14"/>
          <w:pgSz w:w="11907" w:h="16834" w:code="9"/>
          <w:pgMar w:top="907" w:right="1134" w:bottom="907" w:left="1418" w:header="567" w:footer="567" w:gutter="0"/>
          <w:cols w:space="720"/>
        </w:sectPr>
      </w:pPr>
    </w:p>
    <w:p w14:paraId="40CE908A" w14:textId="77777777" w:rsidR="00B61609" w:rsidRPr="00155578" w:rsidRDefault="00B61609" w:rsidP="000E5491">
      <w:pPr>
        <w:pStyle w:val="Imprint"/>
        <w:rPr>
          <w:szCs w:val="22"/>
        </w:rPr>
      </w:pPr>
      <w:r w:rsidRPr="00155578">
        <w:lastRenderedPageBreak/>
        <w:t>Citation: Advisory Committee on Assisted Reproductive Technology</w:t>
      </w:r>
      <w:r w:rsidR="00191CB7" w:rsidRPr="00155578">
        <w:t>.</w:t>
      </w:r>
      <w:r w:rsidR="006C6C24" w:rsidRPr="00155578">
        <w:t xml:space="preserve"> </w:t>
      </w:r>
      <w:r w:rsidRPr="00155578">
        <w:t>20</w:t>
      </w:r>
      <w:r w:rsidR="0010602B">
        <w:t>2</w:t>
      </w:r>
      <w:r w:rsidR="00BA5785">
        <w:t>1</w:t>
      </w:r>
      <w:r w:rsidR="00191CB7" w:rsidRPr="00155578">
        <w:t>.</w:t>
      </w:r>
      <w:r w:rsidR="006C6C24" w:rsidRPr="00155578">
        <w:t xml:space="preserve"> </w:t>
      </w:r>
      <w:r w:rsidR="00EE42B0">
        <w:rPr>
          <w:i/>
        </w:rPr>
        <w:t>ACART Advice and Guidelines for Gamete and Embryo Donation and Surrogacy</w:t>
      </w:r>
      <w:r w:rsidR="00191CB7" w:rsidRPr="00155578">
        <w:rPr>
          <w:i/>
          <w:szCs w:val="22"/>
        </w:rPr>
        <w:t>.</w:t>
      </w:r>
      <w:r w:rsidR="00C55EA5" w:rsidRPr="00155578">
        <w:rPr>
          <w:szCs w:val="22"/>
        </w:rPr>
        <w:t xml:space="preserve"> </w:t>
      </w:r>
      <w:r w:rsidRPr="00155578">
        <w:rPr>
          <w:szCs w:val="22"/>
        </w:rPr>
        <w:t>Wellington: Advisory Committee on Assisted Reproductive Technology.</w:t>
      </w:r>
    </w:p>
    <w:p w14:paraId="4F8BD460" w14:textId="77777777" w:rsidR="00C86248" w:rsidRPr="00155578" w:rsidRDefault="00C86248" w:rsidP="000E5491">
      <w:pPr>
        <w:pStyle w:val="Imprint"/>
        <w:rPr>
          <w:szCs w:val="22"/>
        </w:rPr>
      </w:pPr>
      <w:r w:rsidRPr="00155578">
        <w:rPr>
          <w:szCs w:val="22"/>
        </w:rPr>
        <w:t xml:space="preserve">Published in </w:t>
      </w:r>
      <w:r w:rsidR="00EE42B0" w:rsidRPr="009F43FD">
        <w:rPr>
          <w:szCs w:val="22"/>
        </w:rPr>
        <w:t>June</w:t>
      </w:r>
      <w:r w:rsidR="00BA5785">
        <w:rPr>
          <w:szCs w:val="22"/>
        </w:rPr>
        <w:t xml:space="preserve"> 2021</w:t>
      </w:r>
      <w:r w:rsidR="005D78E4" w:rsidRPr="00155578">
        <w:rPr>
          <w:szCs w:val="22"/>
        </w:rPr>
        <w:t xml:space="preserve"> </w:t>
      </w:r>
      <w:r w:rsidRPr="00155578">
        <w:rPr>
          <w:szCs w:val="22"/>
        </w:rPr>
        <w:t>by the</w:t>
      </w:r>
      <w:r w:rsidR="00B61609" w:rsidRPr="00155578">
        <w:rPr>
          <w:szCs w:val="22"/>
        </w:rPr>
        <w:t xml:space="preserve"> Advisory Committee on Assisted Reproductive Technology</w:t>
      </w:r>
      <w:r w:rsidR="00AB7833" w:rsidRPr="00155578">
        <w:rPr>
          <w:szCs w:val="22"/>
        </w:rPr>
        <w:t xml:space="preserve">, </w:t>
      </w:r>
      <w:r w:rsidRPr="00155578">
        <w:rPr>
          <w:szCs w:val="22"/>
        </w:rPr>
        <w:t>PO Box 5013, Wellington</w:t>
      </w:r>
      <w:r w:rsidR="000C2851" w:rsidRPr="00155578">
        <w:rPr>
          <w:szCs w:val="22"/>
        </w:rPr>
        <w:t xml:space="preserve"> 614</w:t>
      </w:r>
      <w:r w:rsidR="007744C2" w:rsidRPr="00155578">
        <w:rPr>
          <w:szCs w:val="22"/>
        </w:rPr>
        <w:t>0</w:t>
      </w:r>
      <w:r w:rsidRPr="00155578">
        <w:rPr>
          <w:szCs w:val="22"/>
        </w:rPr>
        <w:t>, New Zealand</w:t>
      </w:r>
    </w:p>
    <w:p w14:paraId="5BA719A0" w14:textId="77777777" w:rsidR="00C86248" w:rsidRPr="00155578" w:rsidRDefault="00C86248" w:rsidP="000E5491">
      <w:pPr>
        <w:pStyle w:val="Imprint"/>
        <w:rPr>
          <w:szCs w:val="22"/>
        </w:rPr>
      </w:pPr>
      <w:r w:rsidRPr="00155578">
        <w:rPr>
          <w:szCs w:val="22"/>
        </w:rPr>
        <w:t xml:space="preserve">This document is available on the </w:t>
      </w:r>
      <w:r w:rsidR="00B61609" w:rsidRPr="00155578">
        <w:rPr>
          <w:szCs w:val="22"/>
        </w:rPr>
        <w:t xml:space="preserve">ACART </w:t>
      </w:r>
      <w:r w:rsidRPr="00155578">
        <w:rPr>
          <w:szCs w:val="22"/>
        </w:rPr>
        <w:t>website:</w:t>
      </w:r>
      <w:r w:rsidRPr="00155578">
        <w:rPr>
          <w:szCs w:val="22"/>
        </w:rPr>
        <w:br/>
      </w:r>
      <w:hyperlink r:id="rId15" w:history="1">
        <w:r w:rsidR="00BA5785" w:rsidRPr="00BA5785">
          <w:rPr>
            <w:rStyle w:val="Hyperlink"/>
            <w:szCs w:val="22"/>
          </w:rPr>
          <w:t>www.acart.health.govt.nz</w:t>
        </w:r>
      </w:hyperlink>
    </w:p>
    <w:p w14:paraId="348EF1BB" w14:textId="77777777" w:rsidR="00C86248" w:rsidRPr="00155578" w:rsidRDefault="009150A3" w:rsidP="00A66034">
      <w:pPr>
        <w:spacing w:before="360"/>
      </w:pPr>
      <w:r w:rsidRPr="00155578">
        <w:rPr>
          <w:noProof/>
          <w:lang w:eastAsia="en-NZ"/>
        </w:rPr>
        <w:drawing>
          <wp:inline distT="0" distB="0" distL="0" distR="0" wp14:anchorId="47DCF834" wp14:editId="032ABF22">
            <wp:extent cx="1955800" cy="556895"/>
            <wp:effectExtent l="0" t="0" r="6350" b="0"/>
            <wp:docPr id="43" name="Picture 43"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6ADC6E45" w14:textId="77777777" w:rsidR="00C86248" w:rsidRPr="00155578" w:rsidRDefault="00C86248" w:rsidP="00A66034">
      <w:pPr>
        <w:sectPr w:rsidR="00C86248" w:rsidRPr="00155578" w:rsidSect="000407A2">
          <w:pgSz w:w="11907" w:h="16834" w:code="9"/>
          <w:pgMar w:top="9923" w:right="1134" w:bottom="1134" w:left="1985" w:header="0" w:footer="0" w:gutter="0"/>
          <w:cols w:space="720"/>
        </w:sectPr>
      </w:pPr>
    </w:p>
    <w:p w14:paraId="257F3704" w14:textId="77777777" w:rsidR="003025E3" w:rsidRPr="003025E3" w:rsidRDefault="003025E3" w:rsidP="004A368A">
      <w:pPr>
        <w:ind w:left="1134" w:hanging="1134"/>
        <w:jc w:val="left"/>
        <w:rPr>
          <w:sz w:val="28"/>
          <w:szCs w:val="28"/>
        </w:rPr>
      </w:pPr>
      <w:bookmarkStart w:id="1" w:name="_Toc405792991"/>
      <w:bookmarkStart w:id="2" w:name="_Toc405793224"/>
      <w:r w:rsidRPr="003025E3">
        <w:rPr>
          <w:sz w:val="28"/>
          <w:szCs w:val="28"/>
        </w:rPr>
        <w:lastRenderedPageBreak/>
        <w:t>To:</w:t>
      </w:r>
      <w:r w:rsidRPr="003025E3">
        <w:rPr>
          <w:sz w:val="28"/>
          <w:szCs w:val="28"/>
        </w:rPr>
        <w:tab/>
        <w:t>Hon Jenny Salesa</w:t>
      </w:r>
    </w:p>
    <w:p w14:paraId="1C6E684D" w14:textId="77777777" w:rsidR="003025E3" w:rsidRPr="003025E3" w:rsidRDefault="003025E3" w:rsidP="003025E3">
      <w:pPr>
        <w:spacing w:before="240"/>
        <w:ind w:left="1134" w:hanging="1134"/>
        <w:jc w:val="left"/>
        <w:rPr>
          <w:sz w:val="28"/>
          <w:szCs w:val="28"/>
        </w:rPr>
      </w:pPr>
      <w:r w:rsidRPr="003025E3">
        <w:rPr>
          <w:sz w:val="28"/>
          <w:szCs w:val="28"/>
        </w:rPr>
        <w:t>cc:</w:t>
      </w:r>
      <w:r w:rsidRPr="003025E3">
        <w:rPr>
          <w:sz w:val="28"/>
          <w:szCs w:val="28"/>
        </w:rPr>
        <w:tab/>
        <w:t>Hon Dr David Clark; Hon Julie Anne Genter;</w:t>
      </w:r>
      <w:r w:rsidRPr="003025E3">
        <w:rPr>
          <w:sz w:val="28"/>
          <w:szCs w:val="28"/>
        </w:rPr>
        <w:br/>
        <w:t xml:space="preserve">Hon Carmel </w:t>
      </w:r>
      <w:proofErr w:type="spellStart"/>
      <w:r w:rsidRPr="003025E3">
        <w:rPr>
          <w:sz w:val="28"/>
          <w:szCs w:val="28"/>
        </w:rPr>
        <w:t>Sepuloni</w:t>
      </w:r>
      <w:proofErr w:type="spellEnd"/>
    </w:p>
    <w:p w14:paraId="52A40F43" w14:textId="77777777" w:rsidR="003025E3" w:rsidRPr="003025E3" w:rsidRDefault="003025E3" w:rsidP="003025E3">
      <w:pPr>
        <w:spacing w:before="240"/>
        <w:ind w:left="1134" w:hanging="1134"/>
        <w:jc w:val="left"/>
        <w:rPr>
          <w:sz w:val="28"/>
          <w:szCs w:val="28"/>
        </w:rPr>
      </w:pPr>
      <w:r w:rsidRPr="003025E3">
        <w:rPr>
          <w:sz w:val="28"/>
          <w:szCs w:val="28"/>
        </w:rPr>
        <w:t>Title:</w:t>
      </w:r>
      <w:r w:rsidRPr="003025E3">
        <w:rPr>
          <w:sz w:val="28"/>
          <w:szCs w:val="28"/>
        </w:rPr>
        <w:tab/>
        <w:t>ACART is about to publish guidelines for gamete and embryo donation and surrogacy</w:t>
      </w:r>
    </w:p>
    <w:p w14:paraId="7AEA6D81" w14:textId="77777777" w:rsidR="003025E3" w:rsidRDefault="003025E3" w:rsidP="003025E3"/>
    <w:p w14:paraId="0E77EAD9" w14:textId="77777777" w:rsidR="00762F00" w:rsidRPr="00155578" w:rsidRDefault="00C86248" w:rsidP="004A368A">
      <w:pPr>
        <w:pStyle w:val="IntroHead"/>
        <w:pageBreakBefore w:val="0"/>
        <w:spacing w:before="600"/>
      </w:pPr>
      <w:r w:rsidRPr="00155578">
        <w:t>Contents</w:t>
      </w:r>
      <w:bookmarkEnd w:id="1"/>
      <w:bookmarkEnd w:id="2"/>
    </w:p>
    <w:p w14:paraId="29793969" w14:textId="14CE5FCB" w:rsidR="00997D4D" w:rsidRDefault="00724708">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"1-1" \t "Heading 2,2" </w:instrText>
      </w:r>
      <w:r>
        <w:rPr>
          <w:b w:val="0"/>
        </w:rPr>
        <w:fldChar w:fldCharType="separate"/>
      </w:r>
      <w:r w:rsidR="00997D4D">
        <w:rPr>
          <w:noProof/>
        </w:rPr>
        <w:t>A</w:t>
      </w:r>
      <w:r w:rsidR="00997D4D">
        <w:rPr>
          <w:rFonts w:asciiTheme="minorHAnsi" w:eastAsiaTheme="minorEastAsia" w:hAnsiTheme="minorHAnsi" w:cstheme="minorBidi"/>
          <w:b w:val="0"/>
          <w:noProof/>
          <w:szCs w:val="22"/>
          <w:lang w:eastAsia="en-NZ"/>
        </w:rPr>
        <w:tab/>
      </w:r>
      <w:r w:rsidR="00997D4D">
        <w:rPr>
          <w:noProof/>
        </w:rPr>
        <w:t>Executive summary</w:t>
      </w:r>
      <w:r w:rsidR="00997D4D">
        <w:rPr>
          <w:noProof/>
        </w:rPr>
        <w:tab/>
      </w:r>
      <w:r w:rsidR="00997D4D">
        <w:rPr>
          <w:noProof/>
        </w:rPr>
        <w:fldChar w:fldCharType="begin"/>
      </w:r>
      <w:r w:rsidR="00997D4D">
        <w:rPr>
          <w:noProof/>
        </w:rPr>
        <w:instrText xml:space="preserve"> PAGEREF _Toc73459696 \h </w:instrText>
      </w:r>
      <w:r w:rsidR="00997D4D">
        <w:rPr>
          <w:noProof/>
        </w:rPr>
      </w:r>
      <w:r w:rsidR="00997D4D">
        <w:rPr>
          <w:noProof/>
        </w:rPr>
        <w:fldChar w:fldCharType="separate"/>
      </w:r>
      <w:r w:rsidR="0093156E">
        <w:rPr>
          <w:noProof/>
        </w:rPr>
        <w:t>1</w:t>
      </w:r>
      <w:r w:rsidR="00997D4D">
        <w:rPr>
          <w:noProof/>
        </w:rPr>
        <w:fldChar w:fldCharType="end"/>
      </w:r>
    </w:p>
    <w:p w14:paraId="2A9C3BED" w14:textId="729980FB" w:rsidR="00997D4D" w:rsidRDefault="00997D4D">
      <w:pPr>
        <w:pStyle w:val="TOC1"/>
        <w:rPr>
          <w:rFonts w:asciiTheme="minorHAnsi" w:eastAsiaTheme="minorEastAsia" w:hAnsiTheme="minorHAnsi" w:cstheme="minorBidi"/>
          <w:b w:val="0"/>
          <w:noProof/>
          <w:szCs w:val="22"/>
          <w:lang w:eastAsia="en-NZ"/>
        </w:rPr>
      </w:pPr>
      <w:r>
        <w:rPr>
          <w:noProof/>
        </w:rPr>
        <w:t>B</w:t>
      </w:r>
      <w:r>
        <w:rPr>
          <w:rFonts w:asciiTheme="minorHAnsi" w:eastAsiaTheme="minorEastAsia" w:hAnsiTheme="minorHAnsi" w:cstheme="minorBidi"/>
          <w:b w:val="0"/>
          <w:noProof/>
          <w:szCs w:val="22"/>
          <w:lang w:eastAsia="en-NZ"/>
        </w:rPr>
        <w:tab/>
      </w:r>
      <w:r>
        <w:rPr>
          <w:noProof/>
        </w:rPr>
        <w:t>Recommendations</w:t>
      </w:r>
      <w:r>
        <w:rPr>
          <w:noProof/>
        </w:rPr>
        <w:tab/>
      </w:r>
      <w:r>
        <w:rPr>
          <w:noProof/>
        </w:rPr>
        <w:fldChar w:fldCharType="begin"/>
      </w:r>
      <w:r>
        <w:rPr>
          <w:noProof/>
        </w:rPr>
        <w:instrText xml:space="preserve"> PAGEREF _Toc73459697 \h </w:instrText>
      </w:r>
      <w:r>
        <w:rPr>
          <w:noProof/>
        </w:rPr>
      </w:r>
      <w:r>
        <w:rPr>
          <w:noProof/>
        </w:rPr>
        <w:fldChar w:fldCharType="separate"/>
      </w:r>
      <w:r w:rsidR="0093156E">
        <w:rPr>
          <w:noProof/>
        </w:rPr>
        <w:t>6</w:t>
      </w:r>
      <w:r>
        <w:rPr>
          <w:noProof/>
        </w:rPr>
        <w:fldChar w:fldCharType="end"/>
      </w:r>
    </w:p>
    <w:p w14:paraId="46B3B137" w14:textId="4CA73E29" w:rsidR="00997D4D" w:rsidRDefault="00997D4D">
      <w:pPr>
        <w:pStyle w:val="TOC1"/>
        <w:rPr>
          <w:rFonts w:asciiTheme="minorHAnsi" w:eastAsiaTheme="minorEastAsia" w:hAnsiTheme="minorHAnsi" w:cstheme="minorBidi"/>
          <w:b w:val="0"/>
          <w:noProof/>
          <w:szCs w:val="22"/>
          <w:lang w:eastAsia="en-NZ"/>
        </w:rPr>
      </w:pPr>
      <w:r>
        <w:rPr>
          <w:noProof/>
        </w:rPr>
        <w:t>C</w:t>
      </w:r>
      <w:r>
        <w:rPr>
          <w:rFonts w:asciiTheme="minorHAnsi" w:eastAsiaTheme="minorEastAsia" w:hAnsiTheme="minorHAnsi" w:cstheme="minorBidi"/>
          <w:b w:val="0"/>
          <w:noProof/>
          <w:szCs w:val="22"/>
          <w:lang w:eastAsia="en-NZ"/>
        </w:rPr>
        <w:tab/>
      </w:r>
      <w:r>
        <w:rPr>
          <w:noProof/>
        </w:rPr>
        <w:t>The new guidelines</w:t>
      </w:r>
      <w:r>
        <w:rPr>
          <w:noProof/>
        </w:rPr>
        <w:tab/>
      </w:r>
      <w:r>
        <w:rPr>
          <w:noProof/>
        </w:rPr>
        <w:fldChar w:fldCharType="begin"/>
      </w:r>
      <w:r>
        <w:rPr>
          <w:noProof/>
        </w:rPr>
        <w:instrText xml:space="preserve"> PAGEREF _Toc73459698 \h </w:instrText>
      </w:r>
      <w:r>
        <w:rPr>
          <w:noProof/>
        </w:rPr>
      </w:r>
      <w:r>
        <w:rPr>
          <w:noProof/>
        </w:rPr>
        <w:fldChar w:fldCharType="separate"/>
      </w:r>
      <w:r w:rsidR="0093156E">
        <w:rPr>
          <w:noProof/>
        </w:rPr>
        <w:t>7</w:t>
      </w:r>
      <w:r>
        <w:rPr>
          <w:noProof/>
        </w:rPr>
        <w:fldChar w:fldCharType="end"/>
      </w:r>
    </w:p>
    <w:p w14:paraId="76A254B5" w14:textId="2ECFFB57" w:rsidR="00997D4D" w:rsidRDefault="00997D4D">
      <w:pPr>
        <w:pStyle w:val="TOC1"/>
        <w:rPr>
          <w:rFonts w:asciiTheme="minorHAnsi" w:eastAsiaTheme="minorEastAsia" w:hAnsiTheme="minorHAnsi" w:cstheme="minorBidi"/>
          <w:b w:val="0"/>
          <w:noProof/>
          <w:szCs w:val="22"/>
          <w:lang w:eastAsia="en-NZ"/>
        </w:rPr>
      </w:pPr>
      <w:r>
        <w:rPr>
          <w:noProof/>
        </w:rPr>
        <w:t>D</w:t>
      </w:r>
      <w:r>
        <w:rPr>
          <w:rFonts w:asciiTheme="minorHAnsi" w:eastAsiaTheme="minorEastAsia" w:hAnsiTheme="minorHAnsi" w:cstheme="minorBidi"/>
          <w:b w:val="0"/>
          <w:noProof/>
          <w:szCs w:val="22"/>
          <w:lang w:eastAsia="en-NZ"/>
        </w:rPr>
        <w:tab/>
      </w:r>
      <w:r>
        <w:rPr>
          <w:noProof/>
        </w:rPr>
        <w:t>Purpose of this report</w:t>
      </w:r>
      <w:r>
        <w:rPr>
          <w:noProof/>
        </w:rPr>
        <w:tab/>
      </w:r>
      <w:r>
        <w:rPr>
          <w:noProof/>
        </w:rPr>
        <w:fldChar w:fldCharType="begin"/>
      </w:r>
      <w:r>
        <w:rPr>
          <w:noProof/>
        </w:rPr>
        <w:instrText xml:space="preserve"> PAGEREF _Toc73459699 \h </w:instrText>
      </w:r>
      <w:r>
        <w:rPr>
          <w:noProof/>
        </w:rPr>
      </w:r>
      <w:r>
        <w:rPr>
          <w:noProof/>
        </w:rPr>
        <w:fldChar w:fldCharType="separate"/>
      </w:r>
      <w:r w:rsidR="0093156E">
        <w:rPr>
          <w:noProof/>
        </w:rPr>
        <w:t>14</w:t>
      </w:r>
      <w:r>
        <w:rPr>
          <w:noProof/>
        </w:rPr>
        <w:fldChar w:fldCharType="end"/>
      </w:r>
    </w:p>
    <w:p w14:paraId="4C9899C4" w14:textId="592986C1" w:rsidR="00997D4D" w:rsidRDefault="00997D4D">
      <w:pPr>
        <w:pStyle w:val="TOC1"/>
        <w:rPr>
          <w:rFonts w:asciiTheme="minorHAnsi" w:eastAsiaTheme="minorEastAsia" w:hAnsiTheme="minorHAnsi" w:cstheme="minorBidi"/>
          <w:b w:val="0"/>
          <w:noProof/>
          <w:szCs w:val="22"/>
          <w:lang w:eastAsia="en-NZ"/>
        </w:rPr>
      </w:pPr>
      <w:r>
        <w:rPr>
          <w:noProof/>
        </w:rPr>
        <w:t>E</w:t>
      </w:r>
      <w:r>
        <w:rPr>
          <w:rFonts w:asciiTheme="minorHAnsi" w:eastAsiaTheme="minorEastAsia" w:hAnsiTheme="minorHAnsi" w:cstheme="minorBidi"/>
          <w:b w:val="0"/>
          <w:noProof/>
          <w:szCs w:val="22"/>
          <w:lang w:eastAsia="en-NZ"/>
        </w:rPr>
        <w:tab/>
      </w:r>
      <w:r>
        <w:rPr>
          <w:noProof/>
        </w:rPr>
        <w:t>Structure of this report</w:t>
      </w:r>
      <w:r>
        <w:rPr>
          <w:noProof/>
        </w:rPr>
        <w:tab/>
      </w:r>
      <w:r>
        <w:rPr>
          <w:noProof/>
        </w:rPr>
        <w:fldChar w:fldCharType="begin"/>
      </w:r>
      <w:r>
        <w:rPr>
          <w:noProof/>
        </w:rPr>
        <w:instrText xml:space="preserve"> PAGEREF _Toc73459700 \h </w:instrText>
      </w:r>
      <w:r>
        <w:rPr>
          <w:noProof/>
        </w:rPr>
      </w:r>
      <w:r>
        <w:rPr>
          <w:noProof/>
        </w:rPr>
        <w:fldChar w:fldCharType="separate"/>
      </w:r>
      <w:r w:rsidR="0093156E">
        <w:rPr>
          <w:noProof/>
        </w:rPr>
        <w:t>15</w:t>
      </w:r>
      <w:r>
        <w:rPr>
          <w:noProof/>
        </w:rPr>
        <w:fldChar w:fldCharType="end"/>
      </w:r>
    </w:p>
    <w:p w14:paraId="154FD158" w14:textId="536B838C" w:rsidR="00997D4D" w:rsidRDefault="00997D4D">
      <w:pPr>
        <w:pStyle w:val="TOC1"/>
        <w:rPr>
          <w:rFonts w:asciiTheme="minorHAnsi" w:eastAsiaTheme="minorEastAsia" w:hAnsiTheme="minorHAnsi" w:cstheme="minorBidi"/>
          <w:b w:val="0"/>
          <w:noProof/>
          <w:szCs w:val="22"/>
          <w:lang w:eastAsia="en-NZ"/>
        </w:rPr>
      </w:pPr>
      <w:r>
        <w:rPr>
          <w:noProof/>
        </w:rPr>
        <w:t>F</w:t>
      </w:r>
      <w:r>
        <w:rPr>
          <w:rFonts w:asciiTheme="minorHAnsi" w:eastAsiaTheme="minorEastAsia" w:hAnsiTheme="minorHAnsi" w:cstheme="minorBidi"/>
          <w:b w:val="0"/>
          <w:noProof/>
          <w:szCs w:val="22"/>
          <w:lang w:eastAsia="en-NZ"/>
        </w:rPr>
        <w:tab/>
      </w:r>
      <w:r>
        <w:rPr>
          <w:noProof/>
        </w:rPr>
        <w:t>The scope of this advice and the guidelines</w:t>
      </w:r>
      <w:r>
        <w:rPr>
          <w:noProof/>
        </w:rPr>
        <w:tab/>
      </w:r>
      <w:r>
        <w:rPr>
          <w:noProof/>
        </w:rPr>
        <w:fldChar w:fldCharType="begin"/>
      </w:r>
      <w:r>
        <w:rPr>
          <w:noProof/>
        </w:rPr>
        <w:instrText xml:space="preserve"> PAGEREF _Toc73459701 \h </w:instrText>
      </w:r>
      <w:r>
        <w:rPr>
          <w:noProof/>
        </w:rPr>
      </w:r>
      <w:r>
        <w:rPr>
          <w:noProof/>
        </w:rPr>
        <w:fldChar w:fldCharType="separate"/>
      </w:r>
      <w:r w:rsidR="0093156E">
        <w:rPr>
          <w:noProof/>
        </w:rPr>
        <w:t>16</w:t>
      </w:r>
      <w:r>
        <w:rPr>
          <w:noProof/>
        </w:rPr>
        <w:fldChar w:fldCharType="end"/>
      </w:r>
    </w:p>
    <w:p w14:paraId="321EC7FB" w14:textId="1B9C9A93" w:rsidR="00997D4D" w:rsidRDefault="00997D4D">
      <w:pPr>
        <w:pStyle w:val="TOC2"/>
        <w:rPr>
          <w:rFonts w:asciiTheme="minorHAnsi" w:eastAsiaTheme="minorEastAsia" w:hAnsiTheme="minorHAnsi" w:cstheme="minorBidi"/>
          <w:noProof/>
          <w:sz w:val="22"/>
          <w:szCs w:val="22"/>
          <w:lang w:eastAsia="en-NZ"/>
        </w:rPr>
      </w:pPr>
      <w:r w:rsidRPr="008014D5">
        <w:rPr>
          <w:rFonts w:eastAsia="Calibri"/>
          <w:noProof/>
        </w:rPr>
        <w:t>In scope</w:t>
      </w:r>
      <w:r>
        <w:rPr>
          <w:noProof/>
        </w:rPr>
        <w:tab/>
      </w:r>
      <w:r>
        <w:rPr>
          <w:noProof/>
        </w:rPr>
        <w:fldChar w:fldCharType="begin"/>
      </w:r>
      <w:r>
        <w:rPr>
          <w:noProof/>
        </w:rPr>
        <w:instrText xml:space="preserve"> PAGEREF _Toc73459702 \h </w:instrText>
      </w:r>
      <w:r>
        <w:rPr>
          <w:noProof/>
        </w:rPr>
      </w:r>
      <w:r>
        <w:rPr>
          <w:noProof/>
        </w:rPr>
        <w:fldChar w:fldCharType="separate"/>
      </w:r>
      <w:r w:rsidR="0093156E">
        <w:rPr>
          <w:noProof/>
        </w:rPr>
        <w:t>16</w:t>
      </w:r>
      <w:r>
        <w:rPr>
          <w:noProof/>
        </w:rPr>
        <w:fldChar w:fldCharType="end"/>
      </w:r>
    </w:p>
    <w:p w14:paraId="61EAA5B3" w14:textId="54D1CE93" w:rsidR="00997D4D" w:rsidRDefault="00997D4D">
      <w:pPr>
        <w:pStyle w:val="TOC2"/>
        <w:rPr>
          <w:rFonts w:asciiTheme="minorHAnsi" w:eastAsiaTheme="minorEastAsia" w:hAnsiTheme="minorHAnsi" w:cstheme="minorBidi"/>
          <w:noProof/>
          <w:sz w:val="22"/>
          <w:szCs w:val="22"/>
          <w:lang w:eastAsia="en-NZ"/>
        </w:rPr>
      </w:pPr>
      <w:r w:rsidRPr="008014D5">
        <w:rPr>
          <w:rFonts w:eastAsia="Calibri"/>
          <w:noProof/>
        </w:rPr>
        <w:t>Out of scope</w:t>
      </w:r>
      <w:r>
        <w:rPr>
          <w:noProof/>
        </w:rPr>
        <w:tab/>
      </w:r>
      <w:r>
        <w:rPr>
          <w:noProof/>
        </w:rPr>
        <w:fldChar w:fldCharType="begin"/>
      </w:r>
      <w:r>
        <w:rPr>
          <w:noProof/>
        </w:rPr>
        <w:instrText xml:space="preserve"> PAGEREF _Toc73459703 \h </w:instrText>
      </w:r>
      <w:r>
        <w:rPr>
          <w:noProof/>
        </w:rPr>
      </w:r>
      <w:r>
        <w:rPr>
          <w:noProof/>
        </w:rPr>
        <w:fldChar w:fldCharType="separate"/>
      </w:r>
      <w:r w:rsidR="0093156E">
        <w:rPr>
          <w:noProof/>
        </w:rPr>
        <w:t>16</w:t>
      </w:r>
      <w:r>
        <w:rPr>
          <w:noProof/>
        </w:rPr>
        <w:fldChar w:fldCharType="end"/>
      </w:r>
    </w:p>
    <w:p w14:paraId="01E3A2BE" w14:textId="568239F7" w:rsidR="00997D4D" w:rsidRDefault="00997D4D">
      <w:pPr>
        <w:pStyle w:val="TOC1"/>
        <w:rPr>
          <w:rFonts w:asciiTheme="minorHAnsi" w:eastAsiaTheme="minorEastAsia" w:hAnsiTheme="minorHAnsi" w:cstheme="minorBidi"/>
          <w:b w:val="0"/>
          <w:noProof/>
          <w:szCs w:val="22"/>
          <w:lang w:eastAsia="en-NZ"/>
        </w:rPr>
      </w:pPr>
      <w:r>
        <w:rPr>
          <w:noProof/>
        </w:rPr>
        <w:t>G</w:t>
      </w:r>
      <w:r>
        <w:rPr>
          <w:rFonts w:asciiTheme="minorHAnsi" w:eastAsiaTheme="minorEastAsia" w:hAnsiTheme="minorHAnsi" w:cstheme="minorBidi"/>
          <w:b w:val="0"/>
          <w:noProof/>
          <w:szCs w:val="22"/>
          <w:lang w:eastAsia="en-NZ"/>
        </w:rPr>
        <w:tab/>
      </w:r>
      <w:r>
        <w:rPr>
          <w:noProof/>
        </w:rPr>
        <w:t>How New Zealand regulates assisted reproduction</w:t>
      </w:r>
      <w:r>
        <w:rPr>
          <w:noProof/>
        </w:rPr>
        <w:tab/>
      </w:r>
      <w:r>
        <w:rPr>
          <w:noProof/>
        </w:rPr>
        <w:fldChar w:fldCharType="begin"/>
      </w:r>
      <w:r>
        <w:rPr>
          <w:noProof/>
        </w:rPr>
        <w:instrText xml:space="preserve"> PAGEREF _Toc73459704 \h </w:instrText>
      </w:r>
      <w:r>
        <w:rPr>
          <w:noProof/>
        </w:rPr>
      </w:r>
      <w:r>
        <w:rPr>
          <w:noProof/>
        </w:rPr>
        <w:fldChar w:fldCharType="separate"/>
      </w:r>
      <w:r w:rsidR="0093156E">
        <w:rPr>
          <w:noProof/>
        </w:rPr>
        <w:t>17</w:t>
      </w:r>
      <w:r>
        <w:rPr>
          <w:noProof/>
        </w:rPr>
        <w:fldChar w:fldCharType="end"/>
      </w:r>
    </w:p>
    <w:p w14:paraId="14E6F6EB" w14:textId="7E780DA2" w:rsidR="00997D4D" w:rsidRDefault="00997D4D">
      <w:pPr>
        <w:pStyle w:val="TOC2"/>
        <w:rPr>
          <w:rFonts w:asciiTheme="minorHAnsi" w:eastAsiaTheme="minorEastAsia" w:hAnsiTheme="minorHAnsi" w:cstheme="minorBidi"/>
          <w:noProof/>
          <w:sz w:val="22"/>
          <w:szCs w:val="22"/>
          <w:lang w:eastAsia="en-NZ"/>
        </w:rPr>
      </w:pPr>
      <w:r>
        <w:rPr>
          <w:noProof/>
        </w:rPr>
        <w:t>The HART Act</w:t>
      </w:r>
      <w:r>
        <w:rPr>
          <w:noProof/>
        </w:rPr>
        <w:tab/>
      </w:r>
      <w:r>
        <w:rPr>
          <w:noProof/>
        </w:rPr>
        <w:fldChar w:fldCharType="begin"/>
      </w:r>
      <w:r>
        <w:rPr>
          <w:noProof/>
        </w:rPr>
        <w:instrText xml:space="preserve"> PAGEREF _Toc73459705 \h </w:instrText>
      </w:r>
      <w:r>
        <w:rPr>
          <w:noProof/>
        </w:rPr>
      </w:r>
      <w:r>
        <w:rPr>
          <w:noProof/>
        </w:rPr>
        <w:fldChar w:fldCharType="separate"/>
      </w:r>
      <w:r w:rsidR="0093156E">
        <w:rPr>
          <w:noProof/>
        </w:rPr>
        <w:t>17</w:t>
      </w:r>
      <w:r>
        <w:rPr>
          <w:noProof/>
        </w:rPr>
        <w:fldChar w:fldCharType="end"/>
      </w:r>
    </w:p>
    <w:p w14:paraId="7B9B4912" w14:textId="20583256" w:rsidR="00997D4D" w:rsidRDefault="00997D4D">
      <w:pPr>
        <w:pStyle w:val="TOC2"/>
        <w:rPr>
          <w:rFonts w:asciiTheme="minorHAnsi" w:eastAsiaTheme="minorEastAsia" w:hAnsiTheme="minorHAnsi" w:cstheme="minorBidi"/>
          <w:noProof/>
          <w:sz w:val="22"/>
          <w:szCs w:val="22"/>
          <w:lang w:eastAsia="en-NZ"/>
        </w:rPr>
      </w:pPr>
      <w:r>
        <w:rPr>
          <w:noProof/>
        </w:rPr>
        <w:t>The HART Order</w:t>
      </w:r>
      <w:r>
        <w:rPr>
          <w:noProof/>
        </w:rPr>
        <w:tab/>
      </w:r>
      <w:r>
        <w:rPr>
          <w:noProof/>
        </w:rPr>
        <w:fldChar w:fldCharType="begin"/>
      </w:r>
      <w:r>
        <w:rPr>
          <w:noProof/>
        </w:rPr>
        <w:instrText xml:space="preserve"> PAGEREF _Toc73459706 \h </w:instrText>
      </w:r>
      <w:r>
        <w:rPr>
          <w:noProof/>
        </w:rPr>
      </w:r>
      <w:r>
        <w:rPr>
          <w:noProof/>
        </w:rPr>
        <w:fldChar w:fldCharType="separate"/>
      </w:r>
      <w:r w:rsidR="0093156E">
        <w:rPr>
          <w:noProof/>
        </w:rPr>
        <w:t>17</w:t>
      </w:r>
      <w:r>
        <w:rPr>
          <w:noProof/>
        </w:rPr>
        <w:fldChar w:fldCharType="end"/>
      </w:r>
    </w:p>
    <w:p w14:paraId="0F4F351F" w14:textId="122E6A02" w:rsidR="00997D4D" w:rsidRDefault="00997D4D">
      <w:pPr>
        <w:pStyle w:val="TOC2"/>
        <w:rPr>
          <w:rFonts w:asciiTheme="minorHAnsi" w:eastAsiaTheme="minorEastAsia" w:hAnsiTheme="minorHAnsi" w:cstheme="minorBidi"/>
          <w:noProof/>
          <w:sz w:val="22"/>
          <w:szCs w:val="22"/>
          <w:lang w:eastAsia="en-NZ"/>
        </w:rPr>
      </w:pPr>
      <w:r>
        <w:rPr>
          <w:noProof/>
        </w:rPr>
        <w:t>Guidelines issued by ACART</w:t>
      </w:r>
      <w:r>
        <w:rPr>
          <w:noProof/>
        </w:rPr>
        <w:tab/>
      </w:r>
      <w:r>
        <w:rPr>
          <w:noProof/>
        </w:rPr>
        <w:fldChar w:fldCharType="begin"/>
      </w:r>
      <w:r>
        <w:rPr>
          <w:noProof/>
        </w:rPr>
        <w:instrText xml:space="preserve"> PAGEREF _Toc73459707 \h </w:instrText>
      </w:r>
      <w:r>
        <w:rPr>
          <w:noProof/>
        </w:rPr>
      </w:r>
      <w:r>
        <w:rPr>
          <w:noProof/>
        </w:rPr>
        <w:fldChar w:fldCharType="separate"/>
      </w:r>
      <w:r w:rsidR="0093156E">
        <w:rPr>
          <w:noProof/>
        </w:rPr>
        <w:t>17</w:t>
      </w:r>
      <w:r>
        <w:rPr>
          <w:noProof/>
        </w:rPr>
        <w:fldChar w:fldCharType="end"/>
      </w:r>
    </w:p>
    <w:p w14:paraId="6CB5AA38" w14:textId="7D52D8A1" w:rsidR="00997D4D" w:rsidRDefault="00997D4D">
      <w:pPr>
        <w:pStyle w:val="TOC2"/>
        <w:rPr>
          <w:rFonts w:asciiTheme="minorHAnsi" w:eastAsiaTheme="minorEastAsia" w:hAnsiTheme="minorHAnsi" w:cstheme="minorBidi"/>
          <w:noProof/>
          <w:sz w:val="22"/>
          <w:szCs w:val="22"/>
          <w:lang w:eastAsia="en-NZ"/>
        </w:rPr>
      </w:pPr>
      <w:r>
        <w:rPr>
          <w:noProof/>
        </w:rPr>
        <w:t>The Code of Health and Disability Services Consumers’ Rights</w:t>
      </w:r>
      <w:r>
        <w:rPr>
          <w:noProof/>
        </w:rPr>
        <w:tab/>
      </w:r>
      <w:r>
        <w:rPr>
          <w:noProof/>
        </w:rPr>
        <w:fldChar w:fldCharType="begin"/>
      </w:r>
      <w:r>
        <w:rPr>
          <w:noProof/>
        </w:rPr>
        <w:instrText xml:space="preserve"> PAGEREF _Toc73459708 \h </w:instrText>
      </w:r>
      <w:r>
        <w:rPr>
          <w:noProof/>
        </w:rPr>
      </w:r>
      <w:r>
        <w:rPr>
          <w:noProof/>
        </w:rPr>
        <w:fldChar w:fldCharType="separate"/>
      </w:r>
      <w:r w:rsidR="0093156E">
        <w:rPr>
          <w:noProof/>
        </w:rPr>
        <w:t>18</w:t>
      </w:r>
      <w:r>
        <w:rPr>
          <w:noProof/>
        </w:rPr>
        <w:fldChar w:fldCharType="end"/>
      </w:r>
    </w:p>
    <w:p w14:paraId="10501CE2" w14:textId="30386373" w:rsidR="00997D4D" w:rsidRDefault="00997D4D">
      <w:pPr>
        <w:pStyle w:val="TOC2"/>
        <w:rPr>
          <w:rFonts w:asciiTheme="minorHAnsi" w:eastAsiaTheme="minorEastAsia" w:hAnsiTheme="minorHAnsi" w:cstheme="minorBidi"/>
          <w:noProof/>
          <w:sz w:val="22"/>
          <w:szCs w:val="22"/>
          <w:lang w:eastAsia="en-NZ"/>
        </w:rPr>
      </w:pPr>
      <w:r>
        <w:rPr>
          <w:noProof/>
        </w:rPr>
        <w:t>The Fertility Services Standard</w:t>
      </w:r>
      <w:r>
        <w:rPr>
          <w:noProof/>
        </w:rPr>
        <w:tab/>
      </w:r>
      <w:r>
        <w:rPr>
          <w:noProof/>
        </w:rPr>
        <w:fldChar w:fldCharType="begin"/>
      </w:r>
      <w:r>
        <w:rPr>
          <w:noProof/>
        </w:rPr>
        <w:instrText xml:space="preserve"> PAGEREF _Toc73459709 \h </w:instrText>
      </w:r>
      <w:r>
        <w:rPr>
          <w:noProof/>
        </w:rPr>
      </w:r>
      <w:r>
        <w:rPr>
          <w:noProof/>
        </w:rPr>
        <w:fldChar w:fldCharType="separate"/>
      </w:r>
      <w:r w:rsidR="0093156E">
        <w:rPr>
          <w:noProof/>
        </w:rPr>
        <w:t>18</w:t>
      </w:r>
      <w:r>
        <w:rPr>
          <w:noProof/>
        </w:rPr>
        <w:fldChar w:fldCharType="end"/>
      </w:r>
    </w:p>
    <w:p w14:paraId="6C70CB5D" w14:textId="4270CA67" w:rsidR="00997D4D" w:rsidRDefault="00997D4D">
      <w:pPr>
        <w:pStyle w:val="TOC2"/>
        <w:rPr>
          <w:rFonts w:asciiTheme="minorHAnsi" w:eastAsiaTheme="minorEastAsia" w:hAnsiTheme="minorHAnsi" w:cstheme="minorBidi"/>
          <w:noProof/>
          <w:sz w:val="22"/>
          <w:szCs w:val="22"/>
          <w:lang w:eastAsia="en-NZ"/>
        </w:rPr>
      </w:pPr>
      <w:r>
        <w:rPr>
          <w:noProof/>
        </w:rPr>
        <w:t>Informed consent</w:t>
      </w:r>
      <w:r>
        <w:rPr>
          <w:noProof/>
        </w:rPr>
        <w:tab/>
      </w:r>
      <w:r>
        <w:rPr>
          <w:noProof/>
        </w:rPr>
        <w:fldChar w:fldCharType="begin"/>
      </w:r>
      <w:r>
        <w:rPr>
          <w:noProof/>
        </w:rPr>
        <w:instrText xml:space="preserve"> PAGEREF _Toc73459710 \h </w:instrText>
      </w:r>
      <w:r>
        <w:rPr>
          <w:noProof/>
        </w:rPr>
      </w:r>
      <w:r>
        <w:rPr>
          <w:noProof/>
        </w:rPr>
        <w:fldChar w:fldCharType="separate"/>
      </w:r>
      <w:r w:rsidR="0093156E">
        <w:rPr>
          <w:noProof/>
        </w:rPr>
        <w:t>18</w:t>
      </w:r>
      <w:r>
        <w:rPr>
          <w:noProof/>
        </w:rPr>
        <w:fldChar w:fldCharType="end"/>
      </w:r>
    </w:p>
    <w:p w14:paraId="3E3690A4" w14:textId="4EA44079" w:rsidR="00997D4D" w:rsidRDefault="00997D4D">
      <w:pPr>
        <w:pStyle w:val="TOC2"/>
        <w:rPr>
          <w:rFonts w:asciiTheme="minorHAnsi" w:eastAsiaTheme="minorEastAsia" w:hAnsiTheme="minorHAnsi" w:cstheme="minorBidi"/>
          <w:noProof/>
          <w:sz w:val="22"/>
          <w:szCs w:val="22"/>
          <w:lang w:eastAsia="en-NZ"/>
        </w:rPr>
      </w:pPr>
      <w:r>
        <w:rPr>
          <w:noProof/>
        </w:rPr>
        <w:t>Other relevant legislation relating to adoption of children from surrogacy</w:t>
      </w:r>
      <w:r>
        <w:rPr>
          <w:noProof/>
        </w:rPr>
        <w:tab/>
      </w:r>
      <w:r>
        <w:rPr>
          <w:noProof/>
        </w:rPr>
        <w:fldChar w:fldCharType="begin"/>
      </w:r>
      <w:r>
        <w:rPr>
          <w:noProof/>
        </w:rPr>
        <w:instrText xml:space="preserve"> PAGEREF _Toc73459711 \h </w:instrText>
      </w:r>
      <w:r>
        <w:rPr>
          <w:noProof/>
        </w:rPr>
      </w:r>
      <w:r>
        <w:rPr>
          <w:noProof/>
        </w:rPr>
        <w:fldChar w:fldCharType="separate"/>
      </w:r>
      <w:r w:rsidR="0093156E">
        <w:rPr>
          <w:noProof/>
        </w:rPr>
        <w:t>19</w:t>
      </w:r>
      <w:r>
        <w:rPr>
          <w:noProof/>
        </w:rPr>
        <w:fldChar w:fldCharType="end"/>
      </w:r>
    </w:p>
    <w:p w14:paraId="4E57C61C" w14:textId="523DC343" w:rsidR="00997D4D" w:rsidRDefault="00997D4D">
      <w:pPr>
        <w:pStyle w:val="TOC1"/>
        <w:rPr>
          <w:rFonts w:asciiTheme="minorHAnsi" w:eastAsiaTheme="minorEastAsia" w:hAnsiTheme="minorHAnsi" w:cstheme="minorBidi"/>
          <w:b w:val="0"/>
          <w:noProof/>
          <w:szCs w:val="22"/>
          <w:lang w:eastAsia="en-NZ"/>
        </w:rPr>
      </w:pPr>
      <w:r>
        <w:rPr>
          <w:noProof/>
        </w:rPr>
        <w:t>H</w:t>
      </w:r>
      <w:r>
        <w:rPr>
          <w:rFonts w:asciiTheme="minorHAnsi" w:eastAsiaTheme="minorEastAsia" w:hAnsiTheme="minorHAnsi" w:cstheme="minorBidi"/>
          <w:b w:val="0"/>
          <w:noProof/>
          <w:szCs w:val="22"/>
          <w:lang w:eastAsia="en-NZ"/>
        </w:rPr>
        <w:tab/>
      </w:r>
      <w:r>
        <w:rPr>
          <w:noProof/>
        </w:rPr>
        <w:t>Why ACART has amended the guidelines</w:t>
      </w:r>
      <w:r>
        <w:rPr>
          <w:noProof/>
        </w:rPr>
        <w:tab/>
      </w:r>
      <w:r>
        <w:rPr>
          <w:noProof/>
        </w:rPr>
        <w:fldChar w:fldCharType="begin"/>
      </w:r>
      <w:r>
        <w:rPr>
          <w:noProof/>
        </w:rPr>
        <w:instrText xml:space="preserve"> PAGEREF _Toc73459712 \h </w:instrText>
      </w:r>
      <w:r>
        <w:rPr>
          <w:noProof/>
        </w:rPr>
      </w:r>
      <w:r>
        <w:rPr>
          <w:noProof/>
        </w:rPr>
        <w:fldChar w:fldCharType="separate"/>
      </w:r>
      <w:r w:rsidR="0093156E">
        <w:rPr>
          <w:noProof/>
        </w:rPr>
        <w:t>20</w:t>
      </w:r>
      <w:r>
        <w:rPr>
          <w:noProof/>
        </w:rPr>
        <w:fldChar w:fldCharType="end"/>
      </w:r>
    </w:p>
    <w:p w14:paraId="1857F48B" w14:textId="01415EEC" w:rsidR="00997D4D" w:rsidRDefault="00997D4D">
      <w:pPr>
        <w:pStyle w:val="TOC2"/>
        <w:rPr>
          <w:rFonts w:asciiTheme="minorHAnsi" w:eastAsiaTheme="minorEastAsia" w:hAnsiTheme="minorHAnsi" w:cstheme="minorBidi"/>
          <w:noProof/>
          <w:sz w:val="22"/>
          <w:szCs w:val="22"/>
          <w:lang w:eastAsia="en-NZ"/>
        </w:rPr>
      </w:pPr>
      <w:r>
        <w:rPr>
          <w:noProof/>
        </w:rPr>
        <w:t>Guidelines should not discriminate and should be consistent</w:t>
      </w:r>
      <w:r>
        <w:rPr>
          <w:noProof/>
        </w:rPr>
        <w:tab/>
      </w:r>
      <w:r>
        <w:rPr>
          <w:noProof/>
        </w:rPr>
        <w:fldChar w:fldCharType="begin"/>
      </w:r>
      <w:r>
        <w:rPr>
          <w:noProof/>
        </w:rPr>
        <w:instrText xml:space="preserve"> PAGEREF _Toc73459713 \h </w:instrText>
      </w:r>
      <w:r>
        <w:rPr>
          <w:noProof/>
        </w:rPr>
      </w:r>
      <w:r>
        <w:rPr>
          <w:noProof/>
        </w:rPr>
        <w:fldChar w:fldCharType="separate"/>
      </w:r>
      <w:r w:rsidR="0093156E">
        <w:rPr>
          <w:noProof/>
        </w:rPr>
        <w:t>20</w:t>
      </w:r>
      <w:r>
        <w:rPr>
          <w:noProof/>
        </w:rPr>
        <w:fldChar w:fldCharType="end"/>
      </w:r>
    </w:p>
    <w:p w14:paraId="014D4035" w14:textId="7C967DA2" w:rsidR="00997D4D" w:rsidRDefault="00997D4D">
      <w:pPr>
        <w:pStyle w:val="TOC2"/>
        <w:rPr>
          <w:rFonts w:asciiTheme="minorHAnsi" w:eastAsiaTheme="minorEastAsia" w:hAnsiTheme="minorHAnsi" w:cstheme="minorBidi"/>
          <w:noProof/>
          <w:sz w:val="22"/>
          <w:szCs w:val="22"/>
          <w:lang w:eastAsia="en-NZ"/>
        </w:rPr>
      </w:pPr>
      <w:r>
        <w:rPr>
          <w:noProof/>
        </w:rPr>
        <w:t>ACART keeps guidelines current and provides you advice</w:t>
      </w:r>
      <w:r>
        <w:rPr>
          <w:noProof/>
        </w:rPr>
        <w:tab/>
      </w:r>
      <w:r>
        <w:rPr>
          <w:noProof/>
        </w:rPr>
        <w:fldChar w:fldCharType="begin"/>
      </w:r>
      <w:r>
        <w:rPr>
          <w:noProof/>
        </w:rPr>
        <w:instrText xml:space="preserve"> PAGEREF _Toc73459714 \h </w:instrText>
      </w:r>
      <w:r>
        <w:rPr>
          <w:noProof/>
        </w:rPr>
      </w:r>
      <w:r>
        <w:rPr>
          <w:noProof/>
        </w:rPr>
        <w:fldChar w:fldCharType="separate"/>
      </w:r>
      <w:r w:rsidR="0093156E">
        <w:rPr>
          <w:noProof/>
        </w:rPr>
        <w:t>20</w:t>
      </w:r>
      <w:r>
        <w:rPr>
          <w:noProof/>
        </w:rPr>
        <w:fldChar w:fldCharType="end"/>
      </w:r>
    </w:p>
    <w:p w14:paraId="0BA4DE37" w14:textId="318BE447" w:rsidR="00997D4D" w:rsidRDefault="00997D4D">
      <w:pPr>
        <w:pStyle w:val="TOC2"/>
        <w:rPr>
          <w:rFonts w:asciiTheme="minorHAnsi" w:eastAsiaTheme="minorEastAsia" w:hAnsiTheme="minorHAnsi" w:cstheme="minorBidi"/>
          <w:noProof/>
          <w:sz w:val="22"/>
          <w:szCs w:val="22"/>
          <w:lang w:eastAsia="en-NZ"/>
        </w:rPr>
      </w:pPr>
      <w:r>
        <w:rPr>
          <w:noProof/>
        </w:rPr>
        <w:t>ACART’s monitoring identified necessary changes</w:t>
      </w:r>
      <w:r>
        <w:rPr>
          <w:noProof/>
        </w:rPr>
        <w:tab/>
      </w:r>
      <w:r>
        <w:rPr>
          <w:noProof/>
        </w:rPr>
        <w:fldChar w:fldCharType="begin"/>
      </w:r>
      <w:r>
        <w:rPr>
          <w:noProof/>
        </w:rPr>
        <w:instrText xml:space="preserve"> PAGEREF _Toc73459715 \h </w:instrText>
      </w:r>
      <w:r>
        <w:rPr>
          <w:noProof/>
        </w:rPr>
      </w:r>
      <w:r>
        <w:rPr>
          <w:noProof/>
        </w:rPr>
        <w:fldChar w:fldCharType="separate"/>
      </w:r>
      <w:r w:rsidR="0093156E">
        <w:rPr>
          <w:noProof/>
        </w:rPr>
        <w:t>21</w:t>
      </w:r>
      <w:r>
        <w:rPr>
          <w:noProof/>
        </w:rPr>
        <w:fldChar w:fldCharType="end"/>
      </w:r>
    </w:p>
    <w:p w14:paraId="4EED96DB" w14:textId="36D34324" w:rsidR="00997D4D" w:rsidRDefault="00997D4D">
      <w:pPr>
        <w:pStyle w:val="TOC2"/>
        <w:rPr>
          <w:rFonts w:asciiTheme="minorHAnsi" w:eastAsiaTheme="minorEastAsia" w:hAnsiTheme="minorHAnsi" w:cstheme="minorBidi"/>
          <w:noProof/>
          <w:sz w:val="22"/>
          <w:szCs w:val="22"/>
          <w:lang w:eastAsia="en-NZ"/>
        </w:rPr>
      </w:pPr>
      <w:r>
        <w:rPr>
          <w:noProof/>
        </w:rPr>
        <w:t>Literature review</w:t>
      </w:r>
      <w:r>
        <w:rPr>
          <w:noProof/>
        </w:rPr>
        <w:tab/>
      </w:r>
      <w:r>
        <w:rPr>
          <w:noProof/>
        </w:rPr>
        <w:fldChar w:fldCharType="begin"/>
      </w:r>
      <w:r>
        <w:rPr>
          <w:noProof/>
        </w:rPr>
        <w:instrText xml:space="preserve"> PAGEREF _Toc73459716 \h </w:instrText>
      </w:r>
      <w:r>
        <w:rPr>
          <w:noProof/>
        </w:rPr>
      </w:r>
      <w:r>
        <w:rPr>
          <w:noProof/>
        </w:rPr>
        <w:fldChar w:fldCharType="separate"/>
      </w:r>
      <w:r w:rsidR="0093156E">
        <w:rPr>
          <w:noProof/>
        </w:rPr>
        <w:t>21</w:t>
      </w:r>
      <w:r>
        <w:rPr>
          <w:noProof/>
        </w:rPr>
        <w:fldChar w:fldCharType="end"/>
      </w:r>
    </w:p>
    <w:p w14:paraId="0BC141B7" w14:textId="24FCA555" w:rsidR="00997D4D" w:rsidRDefault="00997D4D">
      <w:pPr>
        <w:pStyle w:val="TOC2"/>
        <w:rPr>
          <w:rFonts w:asciiTheme="minorHAnsi" w:eastAsiaTheme="minorEastAsia" w:hAnsiTheme="minorHAnsi" w:cstheme="minorBidi"/>
          <w:noProof/>
          <w:sz w:val="22"/>
          <w:szCs w:val="22"/>
          <w:lang w:eastAsia="en-NZ"/>
        </w:rPr>
      </w:pPr>
      <w:r>
        <w:rPr>
          <w:noProof/>
        </w:rPr>
        <w:t>Comments from the sector and interested parties</w:t>
      </w:r>
      <w:r>
        <w:rPr>
          <w:noProof/>
        </w:rPr>
        <w:tab/>
      </w:r>
      <w:r>
        <w:rPr>
          <w:noProof/>
        </w:rPr>
        <w:fldChar w:fldCharType="begin"/>
      </w:r>
      <w:r>
        <w:rPr>
          <w:noProof/>
        </w:rPr>
        <w:instrText xml:space="preserve"> PAGEREF _Toc73459717 \h </w:instrText>
      </w:r>
      <w:r>
        <w:rPr>
          <w:noProof/>
        </w:rPr>
      </w:r>
      <w:r>
        <w:rPr>
          <w:noProof/>
        </w:rPr>
        <w:fldChar w:fldCharType="separate"/>
      </w:r>
      <w:r w:rsidR="0093156E">
        <w:rPr>
          <w:noProof/>
        </w:rPr>
        <w:t>21</w:t>
      </w:r>
      <w:r>
        <w:rPr>
          <w:noProof/>
        </w:rPr>
        <w:fldChar w:fldCharType="end"/>
      </w:r>
    </w:p>
    <w:p w14:paraId="1002C5BA" w14:textId="68E9A667" w:rsidR="00997D4D" w:rsidRDefault="00997D4D">
      <w:pPr>
        <w:pStyle w:val="TOC1"/>
        <w:rPr>
          <w:rFonts w:asciiTheme="minorHAnsi" w:eastAsiaTheme="minorEastAsia" w:hAnsiTheme="minorHAnsi" w:cstheme="minorBidi"/>
          <w:b w:val="0"/>
          <w:noProof/>
          <w:szCs w:val="22"/>
          <w:lang w:eastAsia="en-NZ"/>
        </w:rPr>
      </w:pPr>
      <w:r>
        <w:rPr>
          <w:noProof/>
        </w:rPr>
        <w:t>I</w:t>
      </w:r>
      <w:r>
        <w:rPr>
          <w:rFonts w:asciiTheme="minorHAnsi" w:eastAsiaTheme="minorEastAsia" w:hAnsiTheme="minorHAnsi" w:cstheme="minorBidi"/>
          <w:b w:val="0"/>
          <w:noProof/>
          <w:szCs w:val="22"/>
          <w:lang w:eastAsia="en-NZ"/>
        </w:rPr>
        <w:tab/>
      </w:r>
      <w:r>
        <w:rPr>
          <w:noProof/>
        </w:rPr>
        <w:t>Matters ACART has taken into account</w:t>
      </w:r>
      <w:r>
        <w:rPr>
          <w:noProof/>
        </w:rPr>
        <w:tab/>
      </w:r>
      <w:r>
        <w:rPr>
          <w:noProof/>
        </w:rPr>
        <w:fldChar w:fldCharType="begin"/>
      </w:r>
      <w:r>
        <w:rPr>
          <w:noProof/>
        </w:rPr>
        <w:instrText xml:space="preserve"> PAGEREF _Toc73459718 \h </w:instrText>
      </w:r>
      <w:r>
        <w:rPr>
          <w:noProof/>
        </w:rPr>
      </w:r>
      <w:r>
        <w:rPr>
          <w:noProof/>
        </w:rPr>
        <w:fldChar w:fldCharType="separate"/>
      </w:r>
      <w:r w:rsidR="0093156E">
        <w:rPr>
          <w:noProof/>
        </w:rPr>
        <w:t>22</w:t>
      </w:r>
      <w:r>
        <w:rPr>
          <w:noProof/>
        </w:rPr>
        <w:fldChar w:fldCharType="end"/>
      </w:r>
    </w:p>
    <w:p w14:paraId="5568258B" w14:textId="65F72E4D" w:rsidR="00997D4D" w:rsidRDefault="00997D4D">
      <w:pPr>
        <w:pStyle w:val="TOC1"/>
        <w:rPr>
          <w:rFonts w:asciiTheme="minorHAnsi" w:eastAsiaTheme="minorEastAsia" w:hAnsiTheme="minorHAnsi" w:cstheme="minorBidi"/>
          <w:b w:val="0"/>
          <w:noProof/>
          <w:szCs w:val="22"/>
          <w:lang w:eastAsia="en-NZ"/>
        </w:rPr>
      </w:pPr>
      <w:r>
        <w:rPr>
          <w:noProof/>
        </w:rPr>
        <w:lastRenderedPageBreak/>
        <w:t>J</w:t>
      </w:r>
      <w:r>
        <w:rPr>
          <w:rFonts w:asciiTheme="minorHAnsi" w:eastAsiaTheme="minorEastAsia" w:hAnsiTheme="minorHAnsi" w:cstheme="minorBidi"/>
          <w:b w:val="0"/>
          <w:noProof/>
          <w:szCs w:val="22"/>
          <w:lang w:eastAsia="en-NZ"/>
        </w:rPr>
        <w:tab/>
      </w:r>
      <w:r>
        <w:rPr>
          <w:noProof/>
        </w:rPr>
        <w:t>ACART’s consultation process – two stages</w:t>
      </w:r>
      <w:r>
        <w:rPr>
          <w:noProof/>
        </w:rPr>
        <w:tab/>
      </w:r>
      <w:r>
        <w:rPr>
          <w:noProof/>
        </w:rPr>
        <w:fldChar w:fldCharType="begin"/>
      </w:r>
      <w:r>
        <w:rPr>
          <w:noProof/>
        </w:rPr>
        <w:instrText xml:space="preserve"> PAGEREF _Toc73459719 \h </w:instrText>
      </w:r>
      <w:r>
        <w:rPr>
          <w:noProof/>
        </w:rPr>
      </w:r>
      <w:r>
        <w:rPr>
          <w:noProof/>
        </w:rPr>
        <w:fldChar w:fldCharType="separate"/>
      </w:r>
      <w:r w:rsidR="0093156E">
        <w:rPr>
          <w:noProof/>
        </w:rPr>
        <w:t>24</w:t>
      </w:r>
      <w:r>
        <w:rPr>
          <w:noProof/>
        </w:rPr>
        <w:fldChar w:fldCharType="end"/>
      </w:r>
    </w:p>
    <w:p w14:paraId="17752F73" w14:textId="74D377E8" w:rsidR="00997D4D" w:rsidRDefault="00997D4D">
      <w:pPr>
        <w:pStyle w:val="TOC1"/>
        <w:rPr>
          <w:rFonts w:asciiTheme="minorHAnsi" w:eastAsiaTheme="minorEastAsia" w:hAnsiTheme="minorHAnsi" w:cstheme="minorBidi"/>
          <w:b w:val="0"/>
          <w:noProof/>
          <w:szCs w:val="22"/>
          <w:lang w:eastAsia="en-NZ"/>
        </w:rPr>
      </w:pPr>
      <w:r>
        <w:rPr>
          <w:noProof/>
        </w:rPr>
        <w:t>K</w:t>
      </w:r>
      <w:r>
        <w:rPr>
          <w:rFonts w:asciiTheme="minorHAnsi" w:eastAsiaTheme="minorEastAsia" w:hAnsiTheme="minorHAnsi" w:cstheme="minorBidi"/>
          <w:b w:val="0"/>
          <w:noProof/>
          <w:szCs w:val="22"/>
          <w:lang w:eastAsia="en-NZ"/>
        </w:rPr>
        <w:tab/>
      </w:r>
      <w:r>
        <w:rPr>
          <w:noProof/>
        </w:rPr>
        <w:t>The changes to the guidelines</w:t>
      </w:r>
      <w:r>
        <w:rPr>
          <w:noProof/>
        </w:rPr>
        <w:tab/>
      </w:r>
      <w:r>
        <w:rPr>
          <w:noProof/>
        </w:rPr>
        <w:fldChar w:fldCharType="begin"/>
      </w:r>
      <w:r>
        <w:rPr>
          <w:noProof/>
        </w:rPr>
        <w:instrText xml:space="preserve"> PAGEREF _Toc73459720 \h </w:instrText>
      </w:r>
      <w:r>
        <w:rPr>
          <w:noProof/>
        </w:rPr>
      </w:r>
      <w:r>
        <w:rPr>
          <w:noProof/>
        </w:rPr>
        <w:fldChar w:fldCharType="separate"/>
      </w:r>
      <w:r w:rsidR="0093156E">
        <w:rPr>
          <w:noProof/>
        </w:rPr>
        <w:t>26</w:t>
      </w:r>
      <w:r>
        <w:rPr>
          <w:noProof/>
        </w:rPr>
        <w:fldChar w:fldCharType="end"/>
      </w:r>
    </w:p>
    <w:p w14:paraId="05A9FC1D" w14:textId="31D1881D"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1:</w:t>
      </w:r>
      <w:r>
        <w:rPr>
          <w:noProof/>
        </w:rPr>
        <w:tab/>
        <w:t>Removal of the ‘biological link’ and medical requirements</w:t>
      </w:r>
      <w:r>
        <w:rPr>
          <w:noProof/>
        </w:rPr>
        <w:tab/>
      </w:r>
      <w:r>
        <w:rPr>
          <w:noProof/>
        </w:rPr>
        <w:fldChar w:fldCharType="begin"/>
      </w:r>
      <w:r>
        <w:rPr>
          <w:noProof/>
        </w:rPr>
        <w:instrText xml:space="preserve"> PAGEREF _Toc73459721 \h </w:instrText>
      </w:r>
      <w:r>
        <w:rPr>
          <w:noProof/>
        </w:rPr>
      </w:r>
      <w:r>
        <w:rPr>
          <w:noProof/>
        </w:rPr>
        <w:fldChar w:fldCharType="separate"/>
      </w:r>
      <w:r w:rsidR="0093156E">
        <w:rPr>
          <w:noProof/>
        </w:rPr>
        <w:t>26</w:t>
      </w:r>
      <w:r>
        <w:rPr>
          <w:noProof/>
        </w:rPr>
        <w:fldChar w:fldCharType="end"/>
      </w:r>
    </w:p>
    <w:p w14:paraId="653993E3" w14:textId="404B593E"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2:</w:t>
      </w:r>
      <w:r>
        <w:rPr>
          <w:noProof/>
        </w:rPr>
        <w:tab/>
        <w:t>Clarifying when embryo donations must be considered by ECART</w:t>
      </w:r>
      <w:r>
        <w:rPr>
          <w:noProof/>
        </w:rPr>
        <w:tab/>
      </w:r>
      <w:r>
        <w:rPr>
          <w:noProof/>
        </w:rPr>
        <w:fldChar w:fldCharType="begin"/>
      </w:r>
      <w:r>
        <w:rPr>
          <w:noProof/>
        </w:rPr>
        <w:instrText xml:space="preserve"> PAGEREF _Toc73459722 \h </w:instrText>
      </w:r>
      <w:r>
        <w:rPr>
          <w:noProof/>
        </w:rPr>
      </w:r>
      <w:r>
        <w:rPr>
          <w:noProof/>
        </w:rPr>
        <w:fldChar w:fldCharType="separate"/>
      </w:r>
      <w:r w:rsidR="0093156E">
        <w:rPr>
          <w:noProof/>
        </w:rPr>
        <w:t>31</w:t>
      </w:r>
      <w:r>
        <w:rPr>
          <w:noProof/>
        </w:rPr>
        <w:fldChar w:fldCharType="end"/>
      </w:r>
    </w:p>
    <w:p w14:paraId="6CEB63DF" w14:textId="3EEB6FFE"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3:</w:t>
      </w:r>
      <w:r>
        <w:rPr>
          <w:noProof/>
        </w:rPr>
        <w:tab/>
        <w:t>Consent requirements are more detailed and there are now more options for donating embryos</w:t>
      </w:r>
      <w:r>
        <w:rPr>
          <w:noProof/>
        </w:rPr>
        <w:tab/>
      </w:r>
      <w:r>
        <w:rPr>
          <w:noProof/>
        </w:rPr>
        <w:fldChar w:fldCharType="begin"/>
      </w:r>
      <w:r>
        <w:rPr>
          <w:noProof/>
        </w:rPr>
        <w:instrText xml:space="preserve"> PAGEREF _Toc73459723 \h </w:instrText>
      </w:r>
      <w:r>
        <w:rPr>
          <w:noProof/>
        </w:rPr>
      </w:r>
      <w:r>
        <w:rPr>
          <w:noProof/>
        </w:rPr>
        <w:fldChar w:fldCharType="separate"/>
      </w:r>
      <w:r w:rsidR="0093156E">
        <w:rPr>
          <w:noProof/>
        </w:rPr>
        <w:t>33</w:t>
      </w:r>
      <w:r>
        <w:rPr>
          <w:noProof/>
        </w:rPr>
        <w:fldChar w:fldCharType="end"/>
      </w:r>
    </w:p>
    <w:p w14:paraId="1D635E3F" w14:textId="11E5EC8F"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4:</w:t>
      </w:r>
      <w:r>
        <w:rPr>
          <w:noProof/>
        </w:rPr>
        <w:tab/>
        <w:t>Make all clinic assisted surrogacies subject to ECART consideration and remove the requirement that a surrogate must have completed her family</w:t>
      </w:r>
      <w:r>
        <w:rPr>
          <w:noProof/>
        </w:rPr>
        <w:tab/>
      </w:r>
      <w:r>
        <w:rPr>
          <w:noProof/>
        </w:rPr>
        <w:fldChar w:fldCharType="begin"/>
      </w:r>
      <w:r>
        <w:rPr>
          <w:noProof/>
        </w:rPr>
        <w:instrText xml:space="preserve"> PAGEREF _Toc73459724 \h </w:instrText>
      </w:r>
      <w:r>
        <w:rPr>
          <w:noProof/>
        </w:rPr>
      </w:r>
      <w:r>
        <w:rPr>
          <w:noProof/>
        </w:rPr>
        <w:fldChar w:fldCharType="separate"/>
      </w:r>
      <w:r w:rsidR="0093156E">
        <w:rPr>
          <w:noProof/>
        </w:rPr>
        <w:t>38</w:t>
      </w:r>
      <w:r>
        <w:rPr>
          <w:noProof/>
        </w:rPr>
        <w:fldChar w:fldCharType="end"/>
      </w:r>
    </w:p>
    <w:p w14:paraId="082350A9" w14:textId="686AAD6C"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5:</w:t>
      </w:r>
      <w:r>
        <w:rPr>
          <w:noProof/>
        </w:rPr>
        <w:tab/>
        <w:t>One guideline replaces four, and the language and format have been standardised</w:t>
      </w:r>
      <w:r>
        <w:rPr>
          <w:noProof/>
        </w:rPr>
        <w:tab/>
      </w:r>
      <w:r>
        <w:rPr>
          <w:noProof/>
        </w:rPr>
        <w:fldChar w:fldCharType="begin"/>
      </w:r>
      <w:r>
        <w:rPr>
          <w:noProof/>
        </w:rPr>
        <w:instrText xml:space="preserve"> PAGEREF _Toc73459725 \h </w:instrText>
      </w:r>
      <w:r>
        <w:rPr>
          <w:noProof/>
        </w:rPr>
      </w:r>
      <w:r>
        <w:rPr>
          <w:noProof/>
        </w:rPr>
        <w:fldChar w:fldCharType="separate"/>
      </w:r>
      <w:r w:rsidR="0093156E">
        <w:rPr>
          <w:noProof/>
        </w:rPr>
        <w:t>44</w:t>
      </w:r>
      <w:r>
        <w:rPr>
          <w:noProof/>
        </w:rPr>
        <w:fldChar w:fldCharType="end"/>
      </w:r>
    </w:p>
    <w:p w14:paraId="4DDA1898" w14:textId="18049B31"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6:</w:t>
      </w:r>
      <w:r>
        <w:rPr>
          <w:noProof/>
        </w:rPr>
        <w:tab/>
        <w:t>The two family limit for full genetic siblings is now universal</w:t>
      </w:r>
      <w:r>
        <w:rPr>
          <w:noProof/>
        </w:rPr>
        <w:tab/>
      </w:r>
      <w:r>
        <w:rPr>
          <w:noProof/>
        </w:rPr>
        <w:fldChar w:fldCharType="begin"/>
      </w:r>
      <w:r>
        <w:rPr>
          <w:noProof/>
        </w:rPr>
        <w:instrText xml:space="preserve"> PAGEREF _Toc73459726 \h </w:instrText>
      </w:r>
      <w:r>
        <w:rPr>
          <w:noProof/>
        </w:rPr>
      </w:r>
      <w:r>
        <w:rPr>
          <w:noProof/>
        </w:rPr>
        <w:fldChar w:fldCharType="separate"/>
      </w:r>
      <w:r w:rsidR="0093156E">
        <w:rPr>
          <w:noProof/>
        </w:rPr>
        <w:t>45</w:t>
      </w:r>
      <w:r>
        <w:rPr>
          <w:noProof/>
        </w:rPr>
        <w:fldChar w:fldCharType="end"/>
      </w:r>
    </w:p>
    <w:p w14:paraId="42EE57B6" w14:textId="5594BEDB"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7:</w:t>
      </w:r>
      <w:r>
        <w:rPr>
          <w:noProof/>
        </w:rPr>
        <w:tab/>
        <w:t>Stronger mitigation of risks for donations between family members</w:t>
      </w:r>
      <w:r>
        <w:rPr>
          <w:noProof/>
        </w:rPr>
        <w:tab/>
      </w:r>
      <w:r>
        <w:rPr>
          <w:noProof/>
        </w:rPr>
        <w:fldChar w:fldCharType="begin"/>
      </w:r>
      <w:r>
        <w:rPr>
          <w:noProof/>
        </w:rPr>
        <w:instrText xml:space="preserve"> PAGEREF _Toc73459727 \h </w:instrText>
      </w:r>
      <w:r>
        <w:rPr>
          <w:noProof/>
        </w:rPr>
      </w:r>
      <w:r>
        <w:rPr>
          <w:noProof/>
        </w:rPr>
        <w:fldChar w:fldCharType="separate"/>
      </w:r>
      <w:r w:rsidR="0093156E">
        <w:rPr>
          <w:noProof/>
        </w:rPr>
        <w:t>46</w:t>
      </w:r>
      <w:r>
        <w:rPr>
          <w:noProof/>
        </w:rPr>
        <w:fldChar w:fldCharType="end"/>
      </w:r>
    </w:p>
    <w:p w14:paraId="4CA7A873" w14:textId="079FD6A9"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8:</w:t>
      </w:r>
      <w:r>
        <w:rPr>
          <w:noProof/>
        </w:rPr>
        <w:tab/>
        <w:t>Stronger provisions for managing undue influence</w:t>
      </w:r>
      <w:r>
        <w:rPr>
          <w:noProof/>
        </w:rPr>
        <w:tab/>
      </w:r>
      <w:r>
        <w:rPr>
          <w:noProof/>
        </w:rPr>
        <w:fldChar w:fldCharType="begin"/>
      </w:r>
      <w:r>
        <w:rPr>
          <w:noProof/>
        </w:rPr>
        <w:instrText xml:space="preserve"> PAGEREF _Toc73459728 \h </w:instrText>
      </w:r>
      <w:r>
        <w:rPr>
          <w:noProof/>
        </w:rPr>
      </w:r>
      <w:r>
        <w:rPr>
          <w:noProof/>
        </w:rPr>
        <w:fldChar w:fldCharType="separate"/>
      </w:r>
      <w:r w:rsidR="0093156E">
        <w:rPr>
          <w:noProof/>
        </w:rPr>
        <w:t>49</w:t>
      </w:r>
      <w:r>
        <w:rPr>
          <w:noProof/>
        </w:rPr>
        <w:fldChar w:fldCharType="end"/>
      </w:r>
    </w:p>
    <w:p w14:paraId="56F61A9E" w14:textId="4345BD5C"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9:</w:t>
      </w:r>
      <w:r>
        <w:rPr>
          <w:noProof/>
        </w:rPr>
        <w:tab/>
        <w:t>The provisions about obtaining legal advice have been rationalised</w:t>
      </w:r>
      <w:r>
        <w:rPr>
          <w:noProof/>
        </w:rPr>
        <w:tab/>
      </w:r>
      <w:r>
        <w:rPr>
          <w:noProof/>
        </w:rPr>
        <w:fldChar w:fldCharType="begin"/>
      </w:r>
      <w:r>
        <w:rPr>
          <w:noProof/>
        </w:rPr>
        <w:instrText xml:space="preserve"> PAGEREF _Toc73459729 \h </w:instrText>
      </w:r>
      <w:r>
        <w:rPr>
          <w:noProof/>
        </w:rPr>
      </w:r>
      <w:r>
        <w:rPr>
          <w:noProof/>
        </w:rPr>
        <w:fldChar w:fldCharType="separate"/>
      </w:r>
      <w:r w:rsidR="0093156E">
        <w:rPr>
          <w:noProof/>
        </w:rPr>
        <w:t>51</w:t>
      </w:r>
      <w:r>
        <w:rPr>
          <w:noProof/>
        </w:rPr>
        <w:fldChar w:fldCharType="end"/>
      </w:r>
    </w:p>
    <w:p w14:paraId="3A680D3E" w14:textId="36779816" w:rsidR="00997D4D" w:rsidRDefault="00997D4D" w:rsidP="00997D4D">
      <w:pPr>
        <w:pStyle w:val="TOC2"/>
        <w:ind w:left="1701" w:hanging="1134"/>
        <w:rPr>
          <w:rFonts w:asciiTheme="minorHAnsi" w:eastAsiaTheme="minorEastAsia" w:hAnsiTheme="minorHAnsi" w:cstheme="minorBidi"/>
          <w:noProof/>
          <w:sz w:val="22"/>
          <w:szCs w:val="22"/>
          <w:lang w:eastAsia="en-NZ"/>
        </w:rPr>
      </w:pPr>
      <w:r>
        <w:rPr>
          <w:noProof/>
        </w:rPr>
        <w:t>Change 10:</w:t>
      </w:r>
      <w:r>
        <w:rPr>
          <w:noProof/>
        </w:rPr>
        <w:tab/>
        <w:t>Improved access for donor offspring to information about their genetic origins</w:t>
      </w:r>
      <w:r>
        <w:rPr>
          <w:noProof/>
        </w:rPr>
        <w:tab/>
      </w:r>
      <w:r>
        <w:rPr>
          <w:noProof/>
        </w:rPr>
        <w:fldChar w:fldCharType="begin"/>
      </w:r>
      <w:r>
        <w:rPr>
          <w:noProof/>
        </w:rPr>
        <w:instrText xml:space="preserve"> PAGEREF _Toc73459730 \h </w:instrText>
      </w:r>
      <w:r>
        <w:rPr>
          <w:noProof/>
        </w:rPr>
      </w:r>
      <w:r>
        <w:rPr>
          <w:noProof/>
        </w:rPr>
        <w:fldChar w:fldCharType="separate"/>
      </w:r>
      <w:r w:rsidR="0093156E">
        <w:rPr>
          <w:noProof/>
        </w:rPr>
        <w:t>53</w:t>
      </w:r>
      <w:r>
        <w:rPr>
          <w:noProof/>
        </w:rPr>
        <w:fldChar w:fldCharType="end"/>
      </w:r>
    </w:p>
    <w:p w14:paraId="44D0E84D" w14:textId="4A845E9F" w:rsidR="00997D4D" w:rsidRDefault="00997D4D">
      <w:pPr>
        <w:pStyle w:val="TOC1"/>
        <w:rPr>
          <w:rFonts w:asciiTheme="minorHAnsi" w:eastAsiaTheme="minorEastAsia" w:hAnsiTheme="minorHAnsi" w:cstheme="minorBidi"/>
          <w:b w:val="0"/>
          <w:noProof/>
          <w:szCs w:val="22"/>
          <w:lang w:eastAsia="en-NZ"/>
        </w:rPr>
      </w:pPr>
      <w:r>
        <w:rPr>
          <w:noProof/>
        </w:rPr>
        <w:t>L</w:t>
      </w:r>
      <w:r>
        <w:rPr>
          <w:rFonts w:asciiTheme="minorHAnsi" w:eastAsiaTheme="minorEastAsia" w:hAnsiTheme="minorHAnsi" w:cstheme="minorBidi"/>
          <w:b w:val="0"/>
          <w:noProof/>
          <w:szCs w:val="22"/>
          <w:lang w:eastAsia="en-NZ"/>
        </w:rPr>
        <w:tab/>
      </w:r>
      <w:r>
        <w:rPr>
          <w:noProof/>
        </w:rPr>
        <w:t>Next steps</w:t>
      </w:r>
      <w:r>
        <w:rPr>
          <w:noProof/>
        </w:rPr>
        <w:tab/>
      </w:r>
      <w:r>
        <w:rPr>
          <w:noProof/>
        </w:rPr>
        <w:fldChar w:fldCharType="begin"/>
      </w:r>
      <w:r>
        <w:rPr>
          <w:noProof/>
        </w:rPr>
        <w:instrText xml:space="preserve"> PAGEREF _Toc73459731 \h </w:instrText>
      </w:r>
      <w:r>
        <w:rPr>
          <w:noProof/>
        </w:rPr>
      </w:r>
      <w:r>
        <w:rPr>
          <w:noProof/>
        </w:rPr>
        <w:fldChar w:fldCharType="separate"/>
      </w:r>
      <w:r w:rsidR="0093156E">
        <w:rPr>
          <w:noProof/>
        </w:rPr>
        <w:t>56</w:t>
      </w:r>
      <w:r>
        <w:rPr>
          <w:noProof/>
        </w:rPr>
        <w:fldChar w:fldCharType="end"/>
      </w:r>
    </w:p>
    <w:p w14:paraId="1D6CB794" w14:textId="77777777" w:rsidR="00C86248" w:rsidRPr="00155578" w:rsidRDefault="00724708" w:rsidP="00A66034">
      <w:r>
        <w:rPr>
          <w:b/>
        </w:rPr>
        <w:fldChar w:fldCharType="end"/>
      </w:r>
    </w:p>
    <w:p w14:paraId="6ECB67ED" w14:textId="77777777" w:rsidR="00547D02" w:rsidRPr="00155578" w:rsidRDefault="00547D02" w:rsidP="002B3078"/>
    <w:p w14:paraId="0C5EF406" w14:textId="77777777" w:rsidR="002B3078" w:rsidRPr="00155578" w:rsidRDefault="002B3078" w:rsidP="002B3078">
      <w:pPr>
        <w:sectPr w:rsidR="002B3078" w:rsidRPr="00155578" w:rsidSect="00CC39E1">
          <w:headerReference w:type="default" r:id="rId16"/>
          <w:footerReference w:type="even" r:id="rId17"/>
          <w:footerReference w:type="default" r:id="rId18"/>
          <w:headerReference w:type="first" r:id="rId19"/>
          <w:footerReference w:type="first" r:id="rId20"/>
          <w:pgSz w:w="11907" w:h="16840" w:code="9"/>
          <w:pgMar w:top="1701" w:right="1418" w:bottom="1701" w:left="1701" w:header="0" w:footer="425" w:gutter="0"/>
          <w:pgNumType w:fmt="lowerRoman"/>
          <w:cols w:space="720"/>
          <w:titlePg/>
        </w:sectPr>
      </w:pPr>
    </w:p>
    <w:p w14:paraId="31C446A6" w14:textId="77777777" w:rsidR="00FF6216" w:rsidRDefault="00FF6216" w:rsidP="00FF6216">
      <w:pPr>
        <w:pStyle w:val="Heading1"/>
      </w:pPr>
      <w:bookmarkStart w:id="3" w:name="_Toc73459696"/>
      <w:r>
        <w:lastRenderedPageBreak/>
        <w:t>Executive summary</w:t>
      </w:r>
      <w:bookmarkEnd w:id="3"/>
    </w:p>
    <w:p w14:paraId="51D7182F" w14:textId="74944AF6" w:rsidR="00FF6216" w:rsidRDefault="00FF6216" w:rsidP="00FF6216">
      <w:pPr>
        <w:pStyle w:val="Number"/>
        <w:rPr>
          <w:rFonts w:eastAsia="Calibri"/>
        </w:rPr>
      </w:pPr>
      <w:r>
        <w:rPr>
          <w:rFonts w:eastAsia="Calibri"/>
        </w:rPr>
        <w:t>The Advisory Committee for Assisted Reproductive Technology (</w:t>
      </w:r>
      <w:r w:rsidRPr="00FB26B1">
        <w:rPr>
          <w:rFonts w:eastAsia="Calibri"/>
        </w:rPr>
        <w:t>ACART</w:t>
      </w:r>
      <w:r>
        <w:rPr>
          <w:rFonts w:eastAsia="Calibri"/>
        </w:rPr>
        <w:t xml:space="preserve">) is about to issue amended guidelines for the donation of eggs, sperm and embryos and for surrogacy. The new guidelines combine four previous guidelines; </w:t>
      </w:r>
      <w:r>
        <w:rPr>
          <w:rFonts w:eastAsia="Calibri"/>
        </w:rPr>
        <w:fldChar w:fldCharType="begin"/>
      </w:r>
      <w:r>
        <w:rPr>
          <w:rFonts w:eastAsia="Calibri"/>
        </w:rPr>
        <w:instrText xml:space="preserve"> REF _Ref73440912 \h </w:instrText>
      </w:r>
      <w:r>
        <w:rPr>
          <w:rFonts w:eastAsia="Calibri"/>
        </w:rPr>
      </w:r>
      <w:r>
        <w:rPr>
          <w:rFonts w:eastAsia="Calibri"/>
        </w:rPr>
        <w:fldChar w:fldCharType="separate"/>
      </w:r>
      <w:r w:rsidR="0093156E">
        <w:t>Table </w:t>
      </w:r>
      <w:r w:rsidR="0093156E">
        <w:rPr>
          <w:noProof/>
        </w:rPr>
        <w:t>1</w:t>
      </w:r>
      <w:r>
        <w:rPr>
          <w:rFonts w:eastAsia="Calibri"/>
        </w:rPr>
        <w:fldChar w:fldCharType="end"/>
      </w:r>
      <w:r>
        <w:rPr>
          <w:rFonts w:eastAsia="Calibri"/>
        </w:rPr>
        <w:t xml:space="preserve"> summarises the changes, the reasons for them and their effects.</w:t>
      </w:r>
    </w:p>
    <w:p w14:paraId="43C7A0A9" w14:textId="77777777" w:rsidR="00FF6216" w:rsidRDefault="00FF6216" w:rsidP="00FF6216">
      <w:pPr>
        <w:pStyle w:val="Number"/>
        <w:rPr>
          <w:rFonts w:eastAsia="Calibri"/>
        </w:rPr>
      </w:pPr>
      <w:r w:rsidRPr="00430BDB">
        <w:rPr>
          <w:rFonts w:eastAsia="Calibri"/>
        </w:rPr>
        <w:t xml:space="preserve">ACART recommends that </w:t>
      </w:r>
      <w:r>
        <w:rPr>
          <w:rFonts w:eastAsia="Calibri"/>
        </w:rPr>
        <w:t xml:space="preserve">you ask </w:t>
      </w:r>
      <w:r w:rsidRPr="00430BDB">
        <w:rPr>
          <w:rFonts w:eastAsia="Calibri"/>
        </w:rPr>
        <w:t xml:space="preserve">Cabinet </w:t>
      </w:r>
      <w:r>
        <w:rPr>
          <w:rFonts w:eastAsia="Calibri"/>
        </w:rPr>
        <w:t xml:space="preserve">to </w:t>
      </w:r>
      <w:r w:rsidRPr="00430BDB">
        <w:rPr>
          <w:rFonts w:eastAsia="Calibri"/>
        </w:rPr>
        <w:t>change the Human Assisted Reproductive Technology Order 2005 (</w:t>
      </w:r>
      <w:r>
        <w:rPr>
          <w:rFonts w:eastAsia="Calibri"/>
        </w:rPr>
        <w:t xml:space="preserve">the </w:t>
      </w:r>
      <w:r w:rsidRPr="00430BDB">
        <w:rPr>
          <w:rFonts w:eastAsia="Calibri"/>
        </w:rPr>
        <w:t xml:space="preserve">HART </w:t>
      </w:r>
      <w:r w:rsidRPr="00FB26B1">
        <w:rPr>
          <w:rFonts w:eastAsia="Calibri"/>
        </w:rPr>
        <w:t>Order</w:t>
      </w:r>
      <w:r w:rsidRPr="00430BDB">
        <w:rPr>
          <w:rFonts w:eastAsia="Calibri"/>
        </w:rPr>
        <w:t xml:space="preserve">) </w:t>
      </w:r>
      <w:r>
        <w:rPr>
          <w:rFonts w:eastAsia="Calibri"/>
        </w:rPr>
        <w:t>so that it</w:t>
      </w:r>
      <w:r w:rsidRPr="00430BDB">
        <w:rPr>
          <w:rFonts w:eastAsia="Calibri"/>
        </w:rPr>
        <w:t xml:space="preserve"> require</w:t>
      </w:r>
      <w:r>
        <w:rPr>
          <w:rFonts w:eastAsia="Calibri"/>
        </w:rPr>
        <w:t xml:space="preserve">s </w:t>
      </w:r>
      <w:r w:rsidRPr="00BC764C">
        <w:rPr>
          <w:rFonts w:eastAsia="Calibri"/>
        </w:rPr>
        <w:t xml:space="preserve">all clinic assisted surrogacies </w:t>
      </w:r>
      <w:r>
        <w:rPr>
          <w:rFonts w:eastAsia="Calibri"/>
        </w:rPr>
        <w:t xml:space="preserve">to be subject to guidelines and explicitly states that all embryo donations (with one exception) are subject to guidelines. </w:t>
      </w:r>
      <w:r w:rsidRPr="005C40BE">
        <w:rPr>
          <w:rFonts w:eastAsia="Calibri"/>
        </w:rPr>
        <w:t xml:space="preserve">Once </w:t>
      </w:r>
      <w:r>
        <w:rPr>
          <w:rFonts w:eastAsia="Calibri"/>
        </w:rPr>
        <w:t>the Order has been</w:t>
      </w:r>
      <w:r w:rsidRPr="005C40BE">
        <w:rPr>
          <w:rFonts w:eastAsia="Calibri"/>
        </w:rPr>
        <w:t xml:space="preserve"> change</w:t>
      </w:r>
      <w:r>
        <w:rPr>
          <w:rFonts w:eastAsia="Calibri"/>
        </w:rPr>
        <w:t>d,</w:t>
      </w:r>
      <w:r w:rsidRPr="005C40BE">
        <w:rPr>
          <w:rFonts w:eastAsia="Calibri"/>
        </w:rPr>
        <w:t xml:space="preserve"> ACART will issue a final set of guidelines</w:t>
      </w:r>
      <w:r>
        <w:rPr>
          <w:rFonts w:eastAsia="Calibri"/>
        </w:rPr>
        <w:t xml:space="preserve"> that state that all clinic assisted surrogacies are subject to guidelines.</w:t>
      </w:r>
    </w:p>
    <w:p w14:paraId="5C6B4836" w14:textId="77777777" w:rsidR="00FF6216" w:rsidRPr="009B6C20" w:rsidRDefault="00FF6216" w:rsidP="00FF6216">
      <w:pPr>
        <w:pStyle w:val="Number"/>
        <w:rPr>
          <w:rFonts w:eastAsia="Calibri"/>
        </w:rPr>
      </w:pPr>
      <w:r w:rsidRPr="00B264D2">
        <w:rPr>
          <w:rFonts w:eastAsia="Calibri"/>
        </w:rPr>
        <w:t xml:space="preserve">The guidelines have been amended to </w:t>
      </w:r>
      <w:r w:rsidRPr="009B6C20">
        <w:rPr>
          <w:rFonts w:eastAsia="Calibri"/>
        </w:rPr>
        <w:t xml:space="preserve">remove </w:t>
      </w:r>
      <w:r>
        <w:rPr>
          <w:rFonts w:eastAsia="Calibri"/>
        </w:rPr>
        <w:t xml:space="preserve">the </w:t>
      </w:r>
      <w:r w:rsidRPr="005C40BE">
        <w:rPr>
          <w:rFonts w:eastAsia="Calibri"/>
        </w:rPr>
        <w:t xml:space="preserve">mandatory biological link </w:t>
      </w:r>
      <w:r>
        <w:rPr>
          <w:rFonts w:eastAsia="Calibri"/>
        </w:rPr>
        <w:t xml:space="preserve">between at least one intending parent and offspring. By removing this requirement, ACART </w:t>
      </w:r>
      <w:r w:rsidRPr="005C40BE">
        <w:rPr>
          <w:rFonts w:eastAsia="Calibri"/>
        </w:rPr>
        <w:t>has removed</w:t>
      </w:r>
      <w:r w:rsidRPr="00B264D2">
        <w:rPr>
          <w:rFonts w:eastAsia="Calibri"/>
        </w:rPr>
        <w:t xml:space="preserve"> </w:t>
      </w:r>
      <w:r>
        <w:rPr>
          <w:rFonts w:eastAsia="Calibri"/>
        </w:rPr>
        <w:t xml:space="preserve">a potential source of discrimination </w:t>
      </w:r>
      <w:r w:rsidRPr="00B264D2">
        <w:rPr>
          <w:rFonts w:eastAsia="Calibri"/>
        </w:rPr>
        <w:t xml:space="preserve">and </w:t>
      </w:r>
      <w:r w:rsidRPr="009B6C20">
        <w:rPr>
          <w:rFonts w:eastAsia="Calibri"/>
        </w:rPr>
        <w:t>enable</w:t>
      </w:r>
      <w:r>
        <w:rPr>
          <w:rFonts w:eastAsia="Calibri"/>
        </w:rPr>
        <w:t>d</w:t>
      </w:r>
      <w:r w:rsidRPr="009B6C20">
        <w:rPr>
          <w:rFonts w:eastAsia="Calibri"/>
        </w:rPr>
        <w:t xml:space="preserve"> gametes and embryos to be donated in a greater range of situations</w:t>
      </w:r>
      <w:r>
        <w:rPr>
          <w:rFonts w:eastAsia="Calibri"/>
        </w:rPr>
        <w:t>. The new guidelines</w:t>
      </w:r>
      <w:r w:rsidRPr="00B264D2">
        <w:rPr>
          <w:rFonts w:eastAsia="Calibri"/>
        </w:rPr>
        <w:t xml:space="preserve"> </w:t>
      </w:r>
      <w:r>
        <w:rPr>
          <w:rFonts w:eastAsia="Calibri"/>
        </w:rPr>
        <w:t>make clear</w:t>
      </w:r>
      <w:r w:rsidRPr="009B6C20">
        <w:rPr>
          <w:rFonts w:eastAsia="Calibri"/>
        </w:rPr>
        <w:t xml:space="preserve"> the circumstances in which embryos can and cannot be donated</w:t>
      </w:r>
      <w:r>
        <w:rPr>
          <w:rFonts w:eastAsia="Calibri"/>
        </w:rPr>
        <w:t xml:space="preserve"> and </w:t>
      </w:r>
      <w:r w:rsidRPr="009B6C20">
        <w:rPr>
          <w:rFonts w:eastAsia="Calibri"/>
        </w:rPr>
        <w:t xml:space="preserve">who </w:t>
      </w:r>
      <w:r>
        <w:rPr>
          <w:rFonts w:eastAsia="Calibri"/>
        </w:rPr>
        <w:t>has authority to</w:t>
      </w:r>
      <w:r w:rsidRPr="009B6C20">
        <w:rPr>
          <w:rFonts w:eastAsia="Calibri"/>
        </w:rPr>
        <w:t xml:space="preserve"> c</w:t>
      </w:r>
      <w:r>
        <w:rPr>
          <w:rFonts w:eastAsia="Calibri"/>
        </w:rPr>
        <w:t>onsent to donations.</w:t>
      </w:r>
    </w:p>
    <w:p w14:paraId="1ABE3123" w14:textId="77777777" w:rsidR="00FF6216" w:rsidRDefault="00FF6216" w:rsidP="00FF6216">
      <w:pPr>
        <w:pStyle w:val="Number"/>
      </w:pPr>
      <w:r>
        <w:rPr>
          <w:rFonts w:eastAsia="Calibri"/>
        </w:rPr>
        <w:t>Other changes include clarification of</w:t>
      </w:r>
      <w:r w:rsidRPr="009B6C20">
        <w:rPr>
          <w:rFonts w:eastAsia="Calibri"/>
        </w:rPr>
        <w:t xml:space="preserve"> the issues </w:t>
      </w:r>
      <w:r>
        <w:rPr>
          <w:rFonts w:eastAsia="Calibri"/>
        </w:rPr>
        <w:t xml:space="preserve">people must </w:t>
      </w:r>
      <w:r w:rsidRPr="009B6C20">
        <w:rPr>
          <w:rFonts w:eastAsia="Calibri"/>
        </w:rPr>
        <w:t>consider if taking part in a surrogacy arrangement</w:t>
      </w:r>
      <w:r>
        <w:rPr>
          <w:rFonts w:eastAsia="Calibri"/>
        </w:rPr>
        <w:t xml:space="preserve"> and of the</w:t>
      </w:r>
      <w:r w:rsidRPr="009B6C20">
        <w:rPr>
          <w:rFonts w:eastAsia="Calibri"/>
        </w:rPr>
        <w:t xml:space="preserve"> requirement for </w:t>
      </w:r>
      <w:r>
        <w:rPr>
          <w:rFonts w:eastAsia="Calibri"/>
        </w:rPr>
        <w:t>the Ethics Committee on Assisted Reproductive Technology (</w:t>
      </w:r>
      <w:r w:rsidRPr="00FB26B1">
        <w:rPr>
          <w:rFonts w:eastAsia="Calibri"/>
        </w:rPr>
        <w:t>ECART</w:t>
      </w:r>
      <w:r>
        <w:rPr>
          <w:rFonts w:eastAsia="Calibri"/>
        </w:rPr>
        <w:t>)</w:t>
      </w:r>
      <w:r w:rsidRPr="009B6C20">
        <w:rPr>
          <w:rFonts w:eastAsia="Calibri"/>
        </w:rPr>
        <w:t xml:space="preserve"> to check for intergenerational risks and undue influence</w:t>
      </w:r>
      <w:r>
        <w:rPr>
          <w:rFonts w:eastAsia="Calibri"/>
        </w:rPr>
        <w:t>.</w:t>
      </w:r>
    </w:p>
    <w:p w14:paraId="0D6FC650" w14:textId="77777777" w:rsidR="00FF6216" w:rsidRDefault="00FF6216" w:rsidP="00FF6216">
      <w:pPr>
        <w:pStyle w:val="Number"/>
      </w:pPr>
      <w:r>
        <w:rPr>
          <w:rFonts w:eastAsia="Calibri"/>
        </w:rPr>
        <w:t xml:space="preserve">Several factors have prompted </w:t>
      </w:r>
      <w:r w:rsidRPr="00AA4812">
        <w:rPr>
          <w:rFonts w:eastAsia="Calibri"/>
        </w:rPr>
        <w:t>ACART</w:t>
      </w:r>
      <w:r w:rsidRPr="009B6C20">
        <w:rPr>
          <w:rFonts w:eastAsia="Calibri"/>
        </w:rPr>
        <w:t xml:space="preserve"> </w:t>
      </w:r>
      <w:r>
        <w:rPr>
          <w:rFonts w:eastAsia="Calibri"/>
        </w:rPr>
        <w:t>to make these changes. In</w:t>
      </w:r>
      <w:r w:rsidRPr="009B6C20">
        <w:rPr>
          <w:rFonts w:eastAsia="Calibri"/>
        </w:rPr>
        <w:t xml:space="preserve"> 2011, ACART received a co</w:t>
      </w:r>
      <w:r>
        <w:rPr>
          <w:rFonts w:eastAsia="Calibri"/>
        </w:rPr>
        <w:t xml:space="preserve">mplaint </w:t>
      </w:r>
      <w:r w:rsidRPr="009B6C20">
        <w:rPr>
          <w:rFonts w:eastAsia="Calibri"/>
        </w:rPr>
        <w:t xml:space="preserve">that the surrogacy guidelines discriminated </w:t>
      </w:r>
      <w:proofErr w:type="gramStart"/>
      <w:r w:rsidRPr="009B6C20">
        <w:rPr>
          <w:rFonts w:eastAsia="Calibri"/>
        </w:rPr>
        <w:t>on the basis of</w:t>
      </w:r>
      <w:proofErr w:type="gramEnd"/>
      <w:r w:rsidRPr="009B6C20">
        <w:rPr>
          <w:rFonts w:eastAsia="Calibri"/>
        </w:rPr>
        <w:t xml:space="preserve"> sex and sexual orientation. </w:t>
      </w:r>
      <w:r>
        <w:rPr>
          <w:rFonts w:eastAsia="Calibri"/>
        </w:rPr>
        <w:t>Consequently</w:t>
      </w:r>
      <w:r w:rsidRPr="009B6C20">
        <w:rPr>
          <w:rFonts w:eastAsia="Calibri"/>
        </w:rPr>
        <w:t>, ACART issued new surrogacy guidelines in 2013</w:t>
      </w:r>
      <w:r>
        <w:rPr>
          <w:rFonts w:eastAsia="Calibri"/>
        </w:rPr>
        <w:t xml:space="preserve">. </w:t>
      </w:r>
      <w:r w:rsidRPr="009B6C20">
        <w:t>At the same time, ACART issued new fa</w:t>
      </w:r>
      <w:r>
        <w:t>mily gamete donation guidelines as it wanted to make them</w:t>
      </w:r>
      <w:r w:rsidRPr="00386E8E">
        <w:t xml:space="preserve"> </w:t>
      </w:r>
      <w:r w:rsidRPr="009B6C20">
        <w:t>consistent with the new surrogacy guidelines, which no longer required a medical reason to justify a surrogacy.</w:t>
      </w:r>
    </w:p>
    <w:p w14:paraId="1417A031" w14:textId="77777777" w:rsidR="00FF6216" w:rsidRPr="000C0F60" w:rsidRDefault="00FF6216" w:rsidP="00FF6216">
      <w:pPr>
        <w:pStyle w:val="Number"/>
        <w:rPr>
          <w:rFonts w:eastAsia="Calibri"/>
          <w:szCs w:val="24"/>
        </w:rPr>
      </w:pPr>
      <w:r>
        <w:t xml:space="preserve">Subsequently, </w:t>
      </w:r>
      <w:r w:rsidRPr="00F42F6A">
        <w:t xml:space="preserve">ACART concluded that the mandatory biological link, between at least one intending parent and any offspring, was likely </w:t>
      </w:r>
      <w:r>
        <w:t xml:space="preserve">to be </w:t>
      </w:r>
      <w:r w:rsidRPr="00F42F6A">
        <w:t>an unjustified discrimination.</w:t>
      </w:r>
      <w:r>
        <w:t xml:space="preserve"> ACART consulted the public on proposed amended guidelines in 2017 and again in 2019 and, taking submissions into account, settled on the guidelines in this advice.</w:t>
      </w:r>
    </w:p>
    <w:p w14:paraId="696922F5" w14:textId="77777777" w:rsidR="00FF6216" w:rsidRDefault="00FF6216" w:rsidP="00FF6216">
      <w:pPr>
        <w:pStyle w:val="Number"/>
      </w:pPr>
      <w:r>
        <w:t>In developing this advice, ACART carefully considered the wellbeing of children born from assisted reproductive technology (ART) and</w:t>
      </w:r>
      <w:r w:rsidRPr="00987BF0">
        <w:t xml:space="preserve"> </w:t>
      </w:r>
      <w:r>
        <w:t xml:space="preserve">mitigated potential risks through, for example, the detailed requirements for counselling, consent and limiting full genetic siblings to a maximum of two families. These provisions are intended to both protect future relationships between children, their parents and other relevant parties and to meet the other statutory principles in the </w:t>
      </w:r>
      <w:r w:rsidRPr="00430BDB">
        <w:rPr>
          <w:rFonts w:eastAsia="Calibri"/>
          <w:szCs w:val="24"/>
        </w:rPr>
        <w:t>Human Assisted Reproductive Technology</w:t>
      </w:r>
      <w:r w:rsidRPr="00FF422A">
        <w:t xml:space="preserve"> </w:t>
      </w:r>
      <w:r>
        <w:t>Act 2004 (</w:t>
      </w:r>
      <w:r w:rsidRPr="00FF422A">
        <w:t>HART Act</w:t>
      </w:r>
      <w:r>
        <w:t>).</w:t>
      </w:r>
    </w:p>
    <w:p w14:paraId="016F02D3" w14:textId="77777777" w:rsidR="00FF6216" w:rsidRPr="00527013" w:rsidRDefault="00FF6216" w:rsidP="00FF6216">
      <w:pPr>
        <w:pStyle w:val="Number"/>
      </w:pPr>
      <w:r w:rsidRPr="00FF422A">
        <w:lastRenderedPageBreak/>
        <w:t>Under section 35(1)(a) of the HART Act, ACART is required to review its guidelines regularly.</w:t>
      </w:r>
    </w:p>
    <w:p w14:paraId="1ACC08C2" w14:textId="6198E708" w:rsidR="00FF6216" w:rsidRPr="00CA1526" w:rsidRDefault="00FF6216" w:rsidP="00FF6216">
      <w:pPr>
        <w:pStyle w:val="Table"/>
        <w:rPr>
          <w:rFonts w:eastAsia="Calibri"/>
        </w:rPr>
      </w:pPr>
      <w:bookmarkStart w:id="4" w:name="_Ref73440912"/>
      <w:r>
        <w:t>Table </w:t>
      </w:r>
      <w:r w:rsidR="00F30721">
        <w:fldChar w:fldCharType="begin"/>
      </w:r>
      <w:r w:rsidR="00F30721">
        <w:instrText xml:space="preserve"> SEQ Table \* ARABIC </w:instrText>
      </w:r>
      <w:r w:rsidR="00F30721">
        <w:fldChar w:fldCharType="separate"/>
      </w:r>
      <w:r w:rsidR="0093156E">
        <w:rPr>
          <w:noProof/>
        </w:rPr>
        <w:t>1</w:t>
      </w:r>
      <w:r w:rsidR="00F30721">
        <w:rPr>
          <w:noProof/>
        </w:rPr>
        <w:fldChar w:fldCharType="end"/>
      </w:r>
      <w:bookmarkEnd w:id="4"/>
      <w:r w:rsidRPr="00CA1526">
        <w:rPr>
          <w:rFonts w:eastAsia="Calibri"/>
        </w:rPr>
        <w:t>: Changes</w:t>
      </w:r>
      <w:r>
        <w:rPr>
          <w:rFonts w:eastAsia="Calibri"/>
        </w:rPr>
        <w:t>, recommendations</w:t>
      </w:r>
      <w:r w:rsidRPr="00CA1526">
        <w:rPr>
          <w:rFonts w:eastAsia="Calibri"/>
        </w:rPr>
        <w:t>, rationale and effects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693"/>
        <w:gridCol w:w="2977"/>
      </w:tblGrid>
      <w:tr w:rsidR="00FF6216" w:rsidRPr="00F269C2" w14:paraId="3B5E1F4A" w14:textId="77777777" w:rsidTr="000268BC">
        <w:trPr>
          <w:cantSplit/>
          <w:tblHeader/>
        </w:trPr>
        <w:tc>
          <w:tcPr>
            <w:tcW w:w="3119" w:type="dxa"/>
            <w:gridSpan w:val="2"/>
            <w:tcBorders>
              <w:bottom w:val="single" w:sz="4" w:space="0" w:color="auto"/>
            </w:tcBorders>
            <w:shd w:val="clear" w:color="auto" w:fill="D9D9D9" w:themeFill="background1" w:themeFillShade="D9"/>
            <w:vAlign w:val="center"/>
          </w:tcPr>
          <w:p w14:paraId="2078C57C" w14:textId="77777777" w:rsidR="00FF6216" w:rsidRPr="00F269C2" w:rsidRDefault="00FF6216" w:rsidP="000268BC">
            <w:pPr>
              <w:pStyle w:val="TableText"/>
              <w:jc w:val="center"/>
              <w:rPr>
                <w:b/>
                <w:highlight w:val="yellow"/>
              </w:rPr>
            </w:pPr>
            <w:bookmarkStart w:id="5" w:name="_Hlk14435538"/>
            <w:r w:rsidRPr="00F269C2">
              <w:rPr>
                <w:b/>
              </w:rPr>
              <w:t>Change/recommendation</w:t>
            </w:r>
          </w:p>
        </w:tc>
        <w:tc>
          <w:tcPr>
            <w:tcW w:w="2693" w:type="dxa"/>
            <w:tcBorders>
              <w:bottom w:val="single" w:sz="4" w:space="0" w:color="auto"/>
            </w:tcBorders>
            <w:shd w:val="clear" w:color="auto" w:fill="D9D9D9" w:themeFill="background1" w:themeFillShade="D9"/>
            <w:vAlign w:val="center"/>
          </w:tcPr>
          <w:p w14:paraId="543CDE34" w14:textId="77777777" w:rsidR="00FF6216" w:rsidRPr="00F269C2" w:rsidRDefault="00FF6216" w:rsidP="000268BC">
            <w:pPr>
              <w:pStyle w:val="TableText"/>
              <w:jc w:val="center"/>
              <w:rPr>
                <w:b/>
              </w:rPr>
            </w:pPr>
            <w:r w:rsidRPr="00F269C2">
              <w:rPr>
                <w:b/>
              </w:rPr>
              <w:t>Rationale</w:t>
            </w:r>
          </w:p>
        </w:tc>
        <w:tc>
          <w:tcPr>
            <w:tcW w:w="2977" w:type="dxa"/>
            <w:tcBorders>
              <w:bottom w:val="single" w:sz="4" w:space="0" w:color="auto"/>
            </w:tcBorders>
            <w:shd w:val="clear" w:color="auto" w:fill="D9D9D9" w:themeFill="background1" w:themeFillShade="D9"/>
            <w:vAlign w:val="center"/>
          </w:tcPr>
          <w:p w14:paraId="3E256345" w14:textId="77777777" w:rsidR="00FF6216" w:rsidRPr="00F269C2" w:rsidRDefault="00FF6216" w:rsidP="000268BC">
            <w:pPr>
              <w:pStyle w:val="TableText"/>
              <w:jc w:val="center"/>
              <w:rPr>
                <w:b/>
              </w:rPr>
            </w:pPr>
            <w:r w:rsidRPr="00F269C2">
              <w:rPr>
                <w:b/>
              </w:rPr>
              <w:t>Effects</w:t>
            </w:r>
          </w:p>
        </w:tc>
      </w:tr>
      <w:bookmarkEnd w:id="5"/>
      <w:tr w:rsidR="00FF6216" w:rsidRPr="00770550" w14:paraId="3AAE989B" w14:textId="77777777" w:rsidTr="000268BC">
        <w:trPr>
          <w:cantSplit/>
        </w:trPr>
        <w:tc>
          <w:tcPr>
            <w:tcW w:w="8789" w:type="dxa"/>
            <w:gridSpan w:val="4"/>
            <w:shd w:val="clear" w:color="auto" w:fill="F2F2F2" w:themeFill="background1" w:themeFillShade="F2"/>
          </w:tcPr>
          <w:p w14:paraId="24E32FD4" w14:textId="77777777" w:rsidR="00FF6216" w:rsidRPr="00F22974" w:rsidRDefault="00FF6216" w:rsidP="000268BC">
            <w:pPr>
              <w:pStyle w:val="TableText"/>
              <w:ind w:left="425" w:hanging="425"/>
            </w:pPr>
            <w:r w:rsidRPr="00F22974">
              <w:rPr>
                <w:b/>
              </w:rPr>
              <w:t>1.</w:t>
            </w:r>
            <w:r w:rsidRPr="00F22974">
              <w:rPr>
                <w:b/>
              </w:rPr>
              <w:tab/>
              <w:t>Removal of the “biological link” and medical requirements</w:t>
            </w:r>
            <w:r w:rsidRPr="00F22974" w:rsidDel="00B52BD6">
              <w:t xml:space="preserve"> </w:t>
            </w:r>
            <w:r w:rsidRPr="00F22974">
              <w:t>(page 28)</w:t>
            </w:r>
            <w:r w:rsidRPr="00F22974">
              <w:br/>
            </w:r>
            <w:r w:rsidRPr="00F22974">
              <w:rPr>
                <w:i/>
                <w:szCs w:val="18"/>
              </w:rPr>
              <w:t>(Note the related changes to embryo donation and consent – see separate sections below)</w:t>
            </w:r>
          </w:p>
        </w:tc>
      </w:tr>
      <w:tr w:rsidR="00FF6216" w:rsidRPr="00A729E6" w14:paraId="3397B723" w14:textId="77777777" w:rsidTr="000268BC">
        <w:trPr>
          <w:cantSplit/>
        </w:trPr>
        <w:tc>
          <w:tcPr>
            <w:tcW w:w="426" w:type="dxa"/>
          </w:tcPr>
          <w:p w14:paraId="57213BD0" w14:textId="77777777" w:rsidR="00FF6216" w:rsidRPr="00F22974" w:rsidRDefault="00FF6216" w:rsidP="000268BC">
            <w:pPr>
              <w:pStyle w:val="TableText"/>
            </w:pPr>
            <w:r w:rsidRPr="00F22974">
              <w:t>A.</w:t>
            </w:r>
          </w:p>
        </w:tc>
        <w:tc>
          <w:tcPr>
            <w:tcW w:w="2693" w:type="dxa"/>
            <w:shd w:val="clear" w:color="auto" w:fill="auto"/>
          </w:tcPr>
          <w:p w14:paraId="31007BAC" w14:textId="77777777" w:rsidR="00FF6216" w:rsidRPr="00F22974" w:rsidRDefault="00FF6216" w:rsidP="000268BC">
            <w:pPr>
              <w:pStyle w:val="TableText"/>
            </w:pPr>
            <w:r w:rsidRPr="00F22974">
              <w:t>The mandatory biological link has been removed.</w:t>
            </w:r>
          </w:p>
        </w:tc>
        <w:tc>
          <w:tcPr>
            <w:tcW w:w="2693" w:type="dxa"/>
            <w:shd w:val="clear" w:color="auto" w:fill="auto"/>
          </w:tcPr>
          <w:p w14:paraId="7A95388B" w14:textId="77777777" w:rsidR="00FF6216" w:rsidRPr="00F22974" w:rsidRDefault="00FF6216" w:rsidP="000268BC">
            <w:pPr>
              <w:pStyle w:val="TableText"/>
            </w:pPr>
            <w:r w:rsidRPr="00F22974">
              <w:t xml:space="preserve">The </w:t>
            </w:r>
            <w:r w:rsidRPr="00F22974">
              <w:rPr>
                <w:spacing w:val="-2"/>
              </w:rPr>
              <w:t>previous</w:t>
            </w:r>
            <w:r w:rsidRPr="00F22974">
              <w:t xml:space="preserve"> policy may have been unjustifiably discriminatory and restricted some activities unnecessarily.</w:t>
            </w:r>
          </w:p>
        </w:tc>
        <w:tc>
          <w:tcPr>
            <w:tcW w:w="2977" w:type="dxa"/>
            <w:shd w:val="clear" w:color="auto" w:fill="auto"/>
          </w:tcPr>
          <w:p w14:paraId="49A71C24" w14:textId="77777777" w:rsidR="00FF6216" w:rsidRPr="00F22974" w:rsidRDefault="00FF6216" w:rsidP="000268BC">
            <w:pPr>
              <w:pStyle w:val="TableText"/>
            </w:pPr>
            <w:r w:rsidRPr="00F22974">
              <w:t>The risk of inadvertent discrimination is removed.</w:t>
            </w:r>
          </w:p>
          <w:p w14:paraId="2AEF5D6F" w14:textId="77777777" w:rsidR="00FF6216" w:rsidRPr="00F22974" w:rsidRDefault="00FF6216" w:rsidP="000268BC">
            <w:pPr>
              <w:pStyle w:val="TableText"/>
            </w:pPr>
            <w:r w:rsidRPr="00F22974">
              <w:t>More people can use fertility procedures.</w:t>
            </w:r>
          </w:p>
          <w:p w14:paraId="3BE02252" w14:textId="77777777" w:rsidR="00FF6216" w:rsidRPr="00F22974" w:rsidRDefault="00FF6216" w:rsidP="000268BC">
            <w:pPr>
              <w:pStyle w:val="TableText"/>
            </w:pPr>
            <w:r w:rsidRPr="00F22974">
              <w:t>More people can donate their gametes.</w:t>
            </w:r>
          </w:p>
          <w:p w14:paraId="20918A12" w14:textId="77777777" w:rsidR="00FF6216" w:rsidRPr="00F22974" w:rsidRDefault="00FF6216" w:rsidP="000268BC">
            <w:pPr>
              <w:pStyle w:val="TableText"/>
              <w:rPr>
                <w:spacing w:val="-2"/>
              </w:rPr>
            </w:pPr>
            <w:r w:rsidRPr="00F22974">
              <w:t>Embryos can be donated in a greater range of situations.</w:t>
            </w:r>
          </w:p>
          <w:p w14:paraId="0A6A85B2" w14:textId="77777777" w:rsidR="00FF6216" w:rsidRPr="00F22974" w:rsidRDefault="00FF6216" w:rsidP="000268BC">
            <w:pPr>
              <w:pStyle w:val="TableText"/>
            </w:pPr>
            <w:r w:rsidRPr="00F22974">
              <w:rPr>
                <w:spacing w:val="-2"/>
              </w:rPr>
              <w:t>More ‘surplus’ embryos can be used (rather than disposed of).</w:t>
            </w:r>
          </w:p>
        </w:tc>
      </w:tr>
      <w:tr w:rsidR="00FF6216" w:rsidRPr="00770550" w14:paraId="23C0A145" w14:textId="77777777" w:rsidTr="000268BC">
        <w:trPr>
          <w:cantSplit/>
        </w:trPr>
        <w:tc>
          <w:tcPr>
            <w:tcW w:w="426" w:type="dxa"/>
            <w:tcBorders>
              <w:bottom w:val="single" w:sz="4" w:space="0" w:color="auto"/>
            </w:tcBorders>
          </w:tcPr>
          <w:p w14:paraId="5E597967" w14:textId="77777777" w:rsidR="00FF6216" w:rsidRPr="00F22974" w:rsidRDefault="00FF6216" w:rsidP="000268BC">
            <w:pPr>
              <w:pStyle w:val="TableText"/>
            </w:pPr>
            <w:r w:rsidRPr="00F22974">
              <w:t>B.</w:t>
            </w:r>
          </w:p>
        </w:tc>
        <w:tc>
          <w:tcPr>
            <w:tcW w:w="2693" w:type="dxa"/>
            <w:tcBorders>
              <w:bottom w:val="single" w:sz="4" w:space="0" w:color="auto"/>
            </w:tcBorders>
            <w:shd w:val="clear" w:color="auto" w:fill="auto"/>
          </w:tcPr>
          <w:p w14:paraId="29934D65" w14:textId="77777777" w:rsidR="00FF6216" w:rsidRPr="00F22974" w:rsidRDefault="00FF6216" w:rsidP="000268BC">
            <w:pPr>
              <w:pStyle w:val="TableText"/>
            </w:pPr>
            <w:r w:rsidRPr="00F22974">
              <w:rPr>
                <w:spacing w:val="-2"/>
              </w:rPr>
              <w:t>The requirement that a person must have a medical condition to use certain procedures has been replaced with a requirement that a procedure is the best or the only opportunity for the person to have a child.</w:t>
            </w:r>
          </w:p>
        </w:tc>
        <w:tc>
          <w:tcPr>
            <w:tcW w:w="2693" w:type="dxa"/>
            <w:tcBorders>
              <w:bottom w:val="single" w:sz="4" w:space="0" w:color="auto"/>
            </w:tcBorders>
            <w:shd w:val="clear" w:color="auto" w:fill="auto"/>
          </w:tcPr>
          <w:p w14:paraId="130CE187" w14:textId="77777777" w:rsidR="00FF6216" w:rsidRPr="00F22974" w:rsidRDefault="00FF6216" w:rsidP="000268BC">
            <w:pPr>
              <w:pStyle w:val="TableText"/>
              <w:rPr>
                <w:spacing w:val="-2"/>
              </w:rPr>
            </w:pPr>
            <w:r w:rsidRPr="00F22974">
              <w:rPr>
                <w:spacing w:val="-2"/>
              </w:rPr>
              <w:t>The previous provision might have inadvertently discriminated against people who had limited options to form a family due to, for example, sexual orientation or sex.</w:t>
            </w:r>
          </w:p>
        </w:tc>
        <w:tc>
          <w:tcPr>
            <w:tcW w:w="2977" w:type="dxa"/>
            <w:tcBorders>
              <w:bottom w:val="single" w:sz="4" w:space="0" w:color="auto"/>
            </w:tcBorders>
            <w:shd w:val="clear" w:color="auto" w:fill="auto"/>
          </w:tcPr>
          <w:p w14:paraId="7034B69B" w14:textId="77777777" w:rsidR="00FF6216" w:rsidRPr="00F22974" w:rsidRDefault="00FF6216" w:rsidP="000268BC">
            <w:pPr>
              <w:pStyle w:val="TableText"/>
            </w:pPr>
            <w:r w:rsidRPr="00F22974">
              <w:t>ECART can consider a greater range of personal circumstances.</w:t>
            </w:r>
          </w:p>
          <w:p w14:paraId="314E4BD9" w14:textId="77777777" w:rsidR="00FF6216" w:rsidRPr="00F22974" w:rsidRDefault="00FF6216" w:rsidP="000268BC">
            <w:pPr>
              <w:pStyle w:val="TableText"/>
            </w:pPr>
            <w:r w:rsidRPr="00F22974">
              <w:t>The risk of inadvertent discrimination has been removed.</w:t>
            </w:r>
          </w:p>
        </w:tc>
      </w:tr>
      <w:tr w:rsidR="00FF6216" w:rsidRPr="007336DE" w14:paraId="49002FAC" w14:textId="77777777" w:rsidTr="000268BC">
        <w:trPr>
          <w:cantSplit/>
        </w:trPr>
        <w:tc>
          <w:tcPr>
            <w:tcW w:w="8789" w:type="dxa"/>
            <w:gridSpan w:val="4"/>
            <w:shd w:val="clear" w:color="auto" w:fill="F2F2F2" w:themeFill="background1" w:themeFillShade="F2"/>
          </w:tcPr>
          <w:p w14:paraId="2FF79AF3" w14:textId="77777777" w:rsidR="00FF6216" w:rsidRPr="00F22974" w:rsidRDefault="00FF6216" w:rsidP="000268BC">
            <w:pPr>
              <w:pStyle w:val="TableText"/>
              <w:ind w:left="425" w:hanging="425"/>
              <w:rPr>
                <w:b/>
              </w:rPr>
            </w:pPr>
            <w:r w:rsidRPr="00F22974">
              <w:rPr>
                <w:b/>
              </w:rPr>
              <w:t>2.</w:t>
            </w:r>
            <w:r w:rsidRPr="00F22974">
              <w:rPr>
                <w:b/>
              </w:rPr>
              <w:tab/>
              <w:t>Clarifying when embryo donations must be considered by ECART</w:t>
            </w:r>
            <w:r w:rsidRPr="00F22974">
              <w:t xml:space="preserve"> (page 33)</w:t>
            </w:r>
          </w:p>
        </w:tc>
      </w:tr>
      <w:tr w:rsidR="00FF6216" w:rsidRPr="00770550" w14:paraId="256E23E5" w14:textId="77777777" w:rsidTr="000268BC">
        <w:trPr>
          <w:cantSplit/>
        </w:trPr>
        <w:tc>
          <w:tcPr>
            <w:tcW w:w="426" w:type="dxa"/>
          </w:tcPr>
          <w:p w14:paraId="2731B9B2" w14:textId="77777777" w:rsidR="00FF6216" w:rsidRPr="00F22974" w:rsidRDefault="00FF6216" w:rsidP="000268BC">
            <w:pPr>
              <w:pStyle w:val="TableText"/>
            </w:pPr>
            <w:r w:rsidRPr="00F22974">
              <w:t>A.</w:t>
            </w:r>
          </w:p>
        </w:tc>
        <w:tc>
          <w:tcPr>
            <w:tcW w:w="2693" w:type="dxa"/>
            <w:shd w:val="clear" w:color="auto" w:fill="auto"/>
          </w:tcPr>
          <w:p w14:paraId="39AD9DD5" w14:textId="77777777" w:rsidR="00FF6216" w:rsidRPr="00F22974" w:rsidRDefault="00FF6216" w:rsidP="000268BC">
            <w:pPr>
              <w:pStyle w:val="TableText"/>
              <w:rPr>
                <w:spacing w:val="-2"/>
              </w:rPr>
            </w:pPr>
            <w:r w:rsidRPr="00F22974">
              <w:rPr>
                <w:spacing w:val="-2"/>
              </w:rPr>
              <w:t xml:space="preserve">ACART </w:t>
            </w:r>
            <w:r w:rsidRPr="00F22974">
              <w:rPr>
                <w:b/>
                <w:spacing w:val="-2"/>
              </w:rPr>
              <w:t>recommends</w:t>
            </w:r>
            <w:r w:rsidRPr="00F22974">
              <w:rPr>
                <w:spacing w:val="-2"/>
              </w:rPr>
              <w:t xml:space="preserve"> a change to the HART Order to explicitly state that embryo donations (with the one exception set out in item 2B) are not established procedures.</w:t>
            </w:r>
          </w:p>
        </w:tc>
        <w:tc>
          <w:tcPr>
            <w:tcW w:w="2693" w:type="dxa"/>
            <w:shd w:val="clear" w:color="auto" w:fill="auto"/>
          </w:tcPr>
          <w:p w14:paraId="548CC8BF" w14:textId="77777777" w:rsidR="00FF6216" w:rsidRPr="00F22974" w:rsidRDefault="00FF6216" w:rsidP="000268BC">
            <w:pPr>
              <w:pStyle w:val="TableText"/>
              <w:rPr>
                <w:spacing w:val="-2"/>
              </w:rPr>
            </w:pPr>
            <w:r w:rsidRPr="00F22974">
              <w:rPr>
                <w:spacing w:val="-2"/>
              </w:rPr>
              <w:t>Not all parties are aware that all embryo donations are subject to ECART consideration.</w:t>
            </w:r>
          </w:p>
          <w:p w14:paraId="37FE3575" w14:textId="77777777" w:rsidR="00FF6216" w:rsidRPr="00F22974" w:rsidRDefault="00FF6216" w:rsidP="000268BC">
            <w:pPr>
              <w:pStyle w:val="TableText"/>
              <w:rPr>
                <w:spacing w:val="-2"/>
              </w:rPr>
            </w:pPr>
            <w:r w:rsidRPr="00F22974">
              <w:rPr>
                <w:spacing w:val="-2"/>
              </w:rPr>
              <w:t>Embryo donation is ethically complex so should, in most cases, be subject to ECART consideration.</w:t>
            </w:r>
          </w:p>
        </w:tc>
        <w:tc>
          <w:tcPr>
            <w:tcW w:w="2977" w:type="dxa"/>
            <w:shd w:val="clear" w:color="auto" w:fill="auto"/>
          </w:tcPr>
          <w:p w14:paraId="2E559CD3" w14:textId="77777777" w:rsidR="00FF6216" w:rsidRPr="00F22974" w:rsidRDefault="00FF6216" w:rsidP="000268BC">
            <w:pPr>
              <w:pStyle w:val="TableText"/>
            </w:pPr>
            <w:r w:rsidRPr="00F22974">
              <w:t>ECART will consider all cases of embryo donation (with one exception) thereby managing any risks associated with those cases.</w:t>
            </w:r>
          </w:p>
        </w:tc>
      </w:tr>
      <w:tr w:rsidR="00FF6216" w:rsidRPr="00F84172" w14:paraId="6C051065" w14:textId="77777777" w:rsidTr="000268BC">
        <w:trPr>
          <w:cantSplit/>
        </w:trPr>
        <w:tc>
          <w:tcPr>
            <w:tcW w:w="426" w:type="dxa"/>
            <w:tcBorders>
              <w:top w:val="single" w:sz="4" w:space="0" w:color="auto"/>
              <w:left w:val="single" w:sz="4" w:space="0" w:color="auto"/>
              <w:bottom w:val="single" w:sz="4" w:space="0" w:color="auto"/>
              <w:right w:val="single" w:sz="4" w:space="0" w:color="auto"/>
            </w:tcBorders>
          </w:tcPr>
          <w:p w14:paraId="0D63C87C" w14:textId="77777777" w:rsidR="00FF6216" w:rsidRPr="00F22974" w:rsidRDefault="00FF6216" w:rsidP="000268BC">
            <w:pPr>
              <w:pStyle w:val="TableText"/>
            </w:pPr>
            <w:r w:rsidRPr="00F22974">
              <w:t>B.</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0EEAAE" w14:textId="77777777" w:rsidR="00FF6216" w:rsidRPr="00F22974" w:rsidRDefault="00FF6216" w:rsidP="000268BC">
            <w:pPr>
              <w:pStyle w:val="TableText"/>
              <w:rPr>
                <w:spacing w:val="-2"/>
              </w:rPr>
            </w:pPr>
            <w:r w:rsidRPr="00F22974">
              <w:rPr>
                <w:spacing w:val="-2"/>
              </w:rPr>
              <w:t xml:space="preserve">ACART </w:t>
            </w:r>
            <w:r w:rsidRPr="00F22974">
              <w:rPr>
                <w:b/>
                <w:spacing w:val="-2"/>
              </w:rPr>
              <w:t>recommends</w:t>
            </w:r>
            <w:r w:rsidRPr="00F22974">
              <w:rPr>
                <w:spacing w:val="-2"/>
              </w:rPr>
              <w:t xml:space="preserve"> a change to the HART Order to define one </w:t>
            </w:r>
            <w:proofErr w:type="gramStart"/>
            <w:r w:rsidRPr="00F22974">
              <w:rPr>
                <w:spacing w:val="-2"/>
              </w:rPr>
              <w:t>particular scenario</w:t>
            </w:r>
            <w:proofErr w:type="gramEnd"/>
            <w:r w:rsidRPr="00F22974">
              <w:rPr>
                <w:spacing w:val="-2"/>
              </w:rPr>
              <w:t xml:space="preserve"> of embryo donation as an established procedure.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4DE06F" w14:textId="77777777" w:rsidR="00FF6216" w:rsidRPr="00F22974" w:rsidRDefault="00FF6216" w:rsidP="000268BC">
            <w:pPr>
              <w:pStyle w:val="TableText"/>
              <w:rPr>
                <w:spacing w:val="-2"/>
              </w:rPr>
            </w:pPr>
            <w:r w:rsidRPr="00F22974">
              <w:rPr>
                <w:spacing w:val="-2"/>
              </w:rPr>
              <w:t>Despite the ethical complexity of embryo donation, ECART would not need to consider cases where an embryo created in one relationship is to be used by one of the partners from that relationship with a new partner (with consent from the previous partner).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A8109C" w14:textId="77777777" w:rsidR="00FF6216" w:rsidRPr="00F22974" w:rsidRDefault="00FF6216" w:rsidP="000268BC">
            <w:pPr>
              <w:pStyle w:val="TableText"/>
              <w:rPr>
                <w:spacing w:val="-2"/>
              </w:rPr>
            </w:pPr>
            <w:r w:rsidRPr="00F22974">
              <w:rPr>
                <w:spacing w:val="-2"/>
              </w:rPr>
              <w:t>Certain embryo donations would not need to be seen by ECART, as is currently practised.</w:t>
            </w:r>
          </w:p>
          <w:p w14:paraId="6F922E79" w14:textId="77777777" w:rsidR="00FF6216" w:rsidRPr="00F22974" w:rsidRDefault="00FF6216" w:rsidP="000268BC">
            <w:pPr>
              <w:pStyle w:val="TableText"/>
              <w:rPr>
                <w:spacing w:val="-2"/>
              </w:rPr>
            </w:pPr>
            <w:r w:rsidRPr="00F22974">
              <w:rPr>
                <w:spacing w:val="-2"/>
              </w:rPr>
              <w:t>ECART could assess the proposed procedure for risks if asked to do so by the fertility clinic.</w:t>
            </w:r>
          </w:p>
          <w:p w14:paraId="560DD72F" w14:textId="77777777" w:rsidR="00FF6216" w:rsidRPr="00F22974" w:rsidRDefault="00FF6216" w:rsidP="000268BC">
            <w:pPr>
              <w:pStyle w:val="TableText"/>
              <w:rPr>
                <w:spacing w:val="-2"/>
              </w:rPr>
            </w:pPr>
            <w:r w:rsidRPr="00F22974">
              <w:rPr>
                <w:spacing w:val="-2"/>
              </w:rPr>
              <w:t>ECART would be able to decline, or advise on, risky donations.</w:t>
            </w:r>
          </w:p>
        </w:tc>
      </w:tr>
      <w:tr w:rsidR="00FF6216" w:rsidRPr="007336DE" w14:paraId="1CCA3DB3" w14:textId="77777777" w:rsidTr="000268BC">
        <w:trPr>
          <w:cantSplit/>
        </w:trPr>
        <w:tc>
          <w:tcPr>
            <w:tcW w:w="8789" w:type="dxa"/>
            <w:gridSpan w:val="4"/>
            <w:shd w:val="clear" w:color="auto" w:fill="F2F2F2" w:themeFill="background1" w:themeFillShade="F2"/>
          </w:tcPr>
          <w:p w14:paraId="1952E93B" w14:textId="77777777" w:rsidR="00FF6216" w:rsidRPr="00F22974" w:rsidRDefault="00FF6216" w:rsidP="000268BC">
            <w:pPr>
              <w:pStyle w:val="TableText"/>
              <w:keepNext/>
              <w:ind w:left="425" w:hanging="425"/>
              <w:rPr>
                <w:b/>
              </w:rPr>
            </w:pPr>
            <w:r w:rsidRPr="00F22974">
              <w:rPr>
                <w:b/>
              </w:rPr>
              <w:lastRenderedPageBreak/>
              <w:t>3.</w:t>
            </w:r>
            <w:r w:rsidRPr="00F22974">
              <w:rPr>
                <w:b/>
              </w:rPr>
              <w:tab/>
              <w:t>The consent requirements are more detailed and there are now more options for donating embryos</w:t>
            </w:r>
            <w:r w:rsidRPr="00F22974">
              <w:t xml:space="preserve"> (page 35)</w:t>
            </w:r>
          </w:p>
        </w:tc>
      </w:tr>
      <w:tr w:rsidR="00FF6216" w:rsidRPr="00CD6495" w14:paraId="454B1588" w14:textId="77777777" w:rsidTr="000268BC">
        <w:trPr>
          <w:cantSplit/>
        </w:trPr>
        <w:tc>
          <w:tcPr>
            <w:tcW w:w="426" w:type="dxa"/>
          </w:tcPr>
          <w:p w14:paraId="15ADB786" w14:textId="77777777" w:rsidR="00FF6216" w:rsidRPr="00F22974" w:rsidRDefault="00FF6216" w:rsidP="000268BC">
            <w:pPr>
              <w:pStyle w:val="TableText"/>
            </w:pPr>
            <w:r w:rsidRPr="00F22974">
              <w:t>A.</w:t>
            </w:r>
          </w:p>
        </w:tc>
        <w:tc>
          <w:tcPr>
            <w:tcW w:w="2693" w:type="dxa"/>
            <w:shd w:val="clear" w:color="auto" w:fill="auto"/>
          </w:tcPr>
          <w:p w14:paraId="44664BB3" w14:textId="77777777" w:rsidR="00FF6216" w:rsidRPr="00F22974" w:rsidRDefault="00FF6216" w:rsidP="000268BC">
            <w:pPr>
              <w:pStyle w:val="TableText"/>
            </w:pPr>
            <w:r w:rsidRPr="00F22974">
              <w:t>New consent requirements have been introduced for the new situations that the revised guidelines have made possible.</w:t>
            </w:r>
          </w:p>
          <w:p w14:paraId="2372D876" w14:textId="77777777" w:rsidR="00FF6216" w:rsidRPr="00F22974" w:rsidRDefault="00FF6216" w:rsidP="000268BC">
            <w:pPr>
              <w:pStyle w:val="TableText"/>
            </w:pPr>
            <w:r w:rsidRPr="00F22974">
              <w:t>Existing consent requirements have been elaborated on.</w:t>
            </w:r>
          </w:p>
        </w:tc>
        <w:tc>
          <w:tcPr>
            <w:tcW w:w="2693" w:type="dxa"/>
            <w:shd w:val="clear" w:color="auto" w:fill="auto"/>
          </w:tcPr>
          <w:p w14:paraId="07E6F6D2" w14:textId="77777777" w:rsidR="00FF6216" w:rsidRPr="00F22974" w:rsidRDefault="00FF6216" w:rsidP="000268BC">
            <w:pPr>
              <w:pStyle w:val="TableText"/>
              <w:rPr>
                <w:spacing w:val="-2"/>
              </w:rPr>
            </w:pPr>
            <w:r w:rsidRPr="00F22974">
              <w:rPr>
                <w:spacing w:val="-2"/>
              </w:rPr>
              <w:t>The new donation scenarios need to be specified in the guidelines to ensure participants are aware of them and can agree to them.</w:t>
            </w:r>
          </w:p>
          <w:p w14:paraId="4297827F" w14:textId="77777777" w:rsidR="00FF6216" w:rsidRPr="00F22974" w:rsidRDefault="00FF6216" w:rsidP="000268BC">
            <w:pPr>
              <w:pStyle w:val="TableText"/>
              <w:rPr>
                <w:spacing w:val="-2"/>
              </w:rPr>
            </w:pPr>
            <w:r w:rsidRPr="00F22974">
              <w:rPr>
                <w:spacing w:val="-2"/>
              </w:rPr>
              <w:t>Removing the biological link increases the range of possible donation scenarios, so more complex risks and ethical matters could arise. Therefore, it is important that all parties understand the implications of different scenarios.</w:t>
            </w:r>
          </w:p>
          <w:p w14:paraId="4976226B" w14:textId="77777777" w:rsidR="00FF6216" w:rsidRPr="00F22974" w:rsidRDefault="00FF6216" w:rsidP="000268BC">
            <w:pPr>
              <w:pStyle w:val="TableText"/>
              <w:rPr>
                <w:spacing w:val="-2"/>
              </w:rPr>
            </w:pPr>
            <w:r w:rsidRPr="00F22974">
              <w:rPr>
                <w:spacing w:val="-2"/>
              </w:rPr>
              <w:t>The expanded provisions clarify when and why consent must be obtained.</w:t>
            </w:r>
          </w:p>
        </w:tc>
        <w:tc>
          <w:tcPr>
            <w:tcW w:w="2977" w:type="dxa"/>
            <w:shd w:val="clear" w:color="auto" w:fill="auto"/>
          </w:tcPr>
          <w:p w14:paraId="54134C5F" w14:textId="77777777" w:rsidR="00FF6216" w:rsidRPr="00F22974" w:rsidRDefault="00FF6216" w:rsidP="000268BC">
            <w:pPr>
              <w:pStyle w:val="TableText"/>
            </w:pPr>
            <w:r w:rsidRPr="00F22974">
              <w:t>All parties will be aware of the implications of the procedures and be able to give informed consent accordingly.</w:t>
            </w:r>
          </w:p>
          <w:p w14:paraId="0365A8C4" w14:textId="77777777" w:rsidR="00FF6216" w:rsidRPr="00F22974" w:rsidRDefault="00FF6216" w:rsidP="000268BC">
            <w:pPr>
              <w:pStyle w:val="TableText"/>
            </w:pPr>
            <w:r w:rsidRPr="00F22974">
              <w:t xml:space="preserve">All parties will have a clearer </w:t>
            </w:r>
            <w:r w:rsidRPr="00F22974">
              <w:rPr>
                <w:spacing w:val="-2"/>
              </w:rPr>
              <w:t>understanding</w:t>
            </w:r>
            <w:r w:rsidRPr="00F22974">
              <w:t xml:space="preserve"> of the consent requirements.</w:t>
            </w:r>
          </w:p>
          <w:p w14:paraId="6E0808EB" w14:textId="77777777" w:rsidR="00FF6216" w:rsidRPr="00F22974" w:rsidRDefault="00FF6216" w:rsidP="000268BC">
            <w:pPr>
              <w:pStyle w:val="TableText"/>
            </w:pPr>
            <w:r w:rsidRPr="00F22974">
              <w:t>Retrospective consent from gamete donors will be sought if a new donation scenario is planned that they did not know about when they originally consented to gamete donation.</w:t>
            </w:r>
          </w:p>
        </w:tc>
      </w:tr>
      <w:tr w:rsidR="00FF6216" w:rsidRPr="00662B29" w14:paraId="60BEFBA0" w14:textId="77777777" w:rsidTr="000268BC">
        <w:trPr>
          <w:cantSplit/>
        </w:trPr>
        <w:tc>
          <w:tcPr>
            <w:tcW w:w="426" w:type="dxa"/>
            <w:tcBorders>
              <w:top w:val="single" w:sz="4" w:space="0" w:color="auto"/>
              <w:left w:val="single" w:sz="4" w:space="0" w:color="auto"/>
              <w:bottom w:val="single" w:sz="4" w:space="0" w:color="auto"/>
              <w:right w:val="single" w:sz="4" w:space="0" w:color="auto"/>
            </w:tcBorders>
          </w:tcPr>
          <w:p w14:paraId="6C85ED7A" w14:textId="77777777" w:rsidR="00FF6216" w:rsidRPr="00F22974" w:rsidRDefault="00FF6216" w:rsidP="000268BC">
            <w:pPr>
              <w:pStyle w:val="TableText"/>
            </w:pPr>
            <w:r w:rsidRPr="00F22974">
              <w:t>B.</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F450D0" w14:textId="77777777" w:rsidR="00FF6216" w:rsidRPr="00F22974" w:rsidRDefault="00FF6216" w:rsidP="000268BC">
            <w:pPr>
              <w:pStyle w:val="TableText"/>
            </w:pPr>
            <w:r w:rsidRPr="00F22974">
              <w:t xml:space="preserve">The authority to donate embryos is explained and a new provision gives the authority to on-donate embryos to the recipients of donated embryos </w:t>
            </w:r>
            <w:r w:rsidRPr="00F22974">
              <w:rPr>
                <w:b/>
                <w:iCs/>
              </w:rPr>
              <w:t>if certain criteria are met</w:t>
            </w:r>
            <w:r w:rsidRPr="00F22974">
              <w:rPr>
                <w:i/>
                <w:iCs/>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CD2030" w14:textId="77777777" w:rsidR="00FF6216" w:rsidRPr="00F22974" w:rsidRDefault="00FF6216" w:rsidP="000268BC">
            <w:pPr>
              <w:pStyle w:val="TableText"/>
              <w:rPr>
                <w:spacing w:val="-2"/>
              </w:rPr>
            </w:pPr>
            <w:r w:rsidRPr="00F22974">
              <w:rPr>
                <w:spacing w:val="-2"/>
              </w:rPr>
              <w:t xml:space="preserve">Removing the mandatory biological link </w:t>
            </w:r>
            <w:proofErr w:type="gramStart"/>
            <w:r w:rsidRPr="00F22974">
              <w:rPr>
                <w:spacing w:val="-2"/>
              </w:rPr>
              <w:t>opens up</w:t>
            </w:r>
            <w:proofErr w:type="gramEnd"/>
            <w:r w:rsidRPr="00F22974">
              <w:rPr>
                <w:spacing w:val="-2"/>
              </w:rPr>
              <w:t xml:space="preserve"> the possibility of a scenario in which people who have received donated embryos should have the authority over what happens to the embryos.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58CF77" w14:textId="77777777" w:rsidR="00FF6216" w:rsidRPr="00F22974" w:rsidRDefault="00FF6216" w:rsidP="000268BC">
            <w:pPr>
              <w:pStyle w:val="TableText"/>
              <w:rPr>
                <w:spacing w:val="-2"/>
              </w:rPr>
            </w:pPr>
            <w:r w:rsidRPr="00F22974">
              <w:rPr>
                <w:spacing w:val="-2"/>
              </w:rPr>
              <w:t>The recipients of donated embryos will have authority in one scenario where certain criteria are met.</w:t>
            </w:r>
          </w:p>
          <w:p w14:paraId="191BF627" w14:textId="77777777" w:rsidR="00FF6216" w:rsidRPr="00F22974" w:rsidRDefault="00FF6216" w:rsidP="000268BC">
            <w:pPr>
              <w:pStyle w:val="TableText"/>
            </w:pPr>
            <w:r w:rsidRPr="00F22974">
              <w:rPr>
                <w:spacing w:val="-2"/>
              </w:rPr>
              <w:t>The original donors will not have any say in the use of the embryos (other than through conditions they placed before originally donating).</w:t>
            </w:r>
          </w:p>
        </w:tc>
      </w:tr>
      <w:tr w:rsidR="00FF6216" w:rsidRPr="00F269C2" w14:paraId="2B57162F" w14:textId="77777777" w:rsidTr="000268BC">
        <w:trPr>
          <w:cantSplit/>
        </w:trPr>
        <w:tc>
          <w:tcPr>
            <w:tcW w:w="8789" w:type="dxa"/>
            <w:gridSpan w:val="4"/>
            <w:shd w:val="clear" w:color="auto" w:fill="F2F2F2" w:themeFill="background1" w:themeFillShade="F2"/>
          </w:tcPr>
          <w:p w14:paraId="19C81194" w14:textId="77777777" w:rsidR="00FF6216" w:rsidRPr="00F22974" w:rsidRDefault="00FF6216" w:rsidP="000268BC">
            <w:pPr>
              <w:pStyle w:val="TableText"/>
              <w:ind w:left="425" w:hanging="425"/>
              <w:rPr>
                <w:b/>
              </w:rPr>
            </w:pPr>
            <w:r w:rsidRPr="00F22974">
              <w:rPr>
                <w:b/>
              </w:rPr>
              <w:t>4.</w:t>
            </w:r>
            <w:r w:rsidRPr="00F22974">
              <w:rPr>
                <w:b/>
              </w:rPr>
              <w:tab/>
              <w:t>Recommendation that all clinic assisted surrogacies be subject to ECART consideration; and remove the requirement that a surrogate must have completed her family</w:t>
            </w:r>
            <w:r w:rsidRPr="00F22974">
              <w:t xml:space="preserve"> (page 39)</w:t>
            </w:r>
          </w:p>
        </w:tc>
      </w:tr>
      <w:tr w:rsidR="00FF6216" w:rsidRPr="00CD6495" w14:paraId="67B35CAC" w14:textId="77777777" w:rsidTr="000268BC">
        <w:trPr>
          <w:cantSplit/>
        </w:trPr>
        <w:tc>
          <w:tcPr>
            <w:tcW w:w="426" w:type="dxa"/>
          </w:tcPr>
          <w:p w14:paraId="46FAE47D" w14:textId="77777777" w:rsidR="00FF6216" w:rsidRPr="00F22974" w:rsidRDefault="00FF6216" w:rsidP="000268BC">
            <w:pPr>
              <w:pStyle w:val="TableText"/>
            </w:pPr>
            <w:r w:rsidRPr="00F22974">
              <w:t>A.</w:t>
            </w:r>
          </w:p>
        </w:tc>
        <w:tc>
          <w:tcPr>
            <w:tcW w:w="2693" w:type="dxa"/>
            <w:shd w:val="clear" w:color="auto" w:fill="auto"/>
          </w:tcPr>
          <w:p w14:paraId="221C59F7" w14:textId="77777777" w:rsidR="00FF6216" w:rsidRPr="00F22974" w:rsidRDefault="00FF6216" w:rsidP="000268BC">
            <w:pPr>
              <w:pStyle w:val="TableText"/>
            </w:pPr>
            <w:r w:rsidRPr="00F22974">
              <w:t xml:space="preserve">ACART </w:t>
            </w:r>
            <w:r w:rsidRPr="00F22974">
              <w:rPr>
                <w:b/>
              </w:rPr>
              <w:t>recommends</w:t>
            </w:r>
            <w:r w:rsidRPr="00F22974">
              <w:t xml:space="preserve"> changing the HART Order to exclude all clinic assisted surrogacies from being established procedures (so that all would be required to be considered by ECART).</w:t>
            </w:r>
          </w:p>
        </w:tc>
        <w:tc>
          <w:tcPr>
            <w:tcW w:w="2693" w:type="dxa"/>
            <w:shd w:val="clear" w:color="auto" w:fill="auto"/>
          </w:tcPr>
          <w:p w14:paraId="34B4284E" w14:textId="77777777" w:rsidR="00FF6216" w:rsidRPr="00F22974" w:rsidRDefault="00FF6216" w:rsidP="000268BC">
            <w:pPr>
              <w:pStyle w:val="TableText"/>
              <w:rPr>
                <w:spacing w:val="-2"/>
              </w:rPr>
            </w:pPr>
            <w:r w:rsidRPr="00F22974">
              <w:rPr>
                <w:spacing w:val="-2"/>
              </w:rPr>
              <w:t>Traditional surrogacies</w:t>
            </w:r>
            <w:r w:rsidRPr="00F22974">
              <w:rPr>
                <w:rStyle w:val="FootnoteReference"/>
              </w:rPr>
              <w:footnoteReference w:id="1"/>
            </w:r>
            <w:r w:rsidRPr="00F22974">
              <w:rPr>
                <w:spacing w:val="-2"/>
              </w:rPr>
              <w:t xml:space="preserve"> are not subject to ECART consideration; nor are surrogacies where the egg is donated to the surrogate and she uses her partner’s sperm.</w:t>
            </w:r>
          </w:p>
          <w:p w14:paraId="7E7B0E6D" w14:textId="77777777" w:rsidR="00FF6216" w:rsidRPr="00F22974" w:rsidRDefault="00FF6216" w:rsidP="000268BC">
            <w:pPr>
              <w:pStyle w:val="TableText"/>
              <w:rPr>
                <w:spacing w:val="-2"/>
              </w:rPr>
            </w:pPr>
            <w:r w:rsidRPr="00F22974">
              <w:rPr>
                <w:spacing w:val="-2"/>
              </w:rPr>
              <w:t>All clinic assisted surrogacies are ethically complex and should be subject to ECART consideration.</w:t>
            </w:r>
          </w:p>
        </w:tc>
        <w:tc>
          <w:tcPr>
            <w:tcW w:w="2977" w:type="dxa"/>
            <w:shd w:val="clear" w:color="auto" w:fill="auto"/>
          </w:tcPr>
          <w:p w14:paraId="51E5607C" w14:textId="77777777" w:rsidR="00FF6216" w:rsidRPr="00F22974" w:rsidRDefault="00FF6216" w:rsidP="000268BC">
            <w:pPr>
              <w:pStyle w:val="TableText"/>
            </w:pPr>
            <w:r w:rsidRPr="00F22974">
              <w:t>ECART will be able to manage risks consistently across all surrogacies and to focus on ethical considerations.</w:t>
            </w:r>
          </w:p>
        </w:tc>
      </w:tr>
      <w:tr w:rsidR="00FF6216" w:rsidRPr="00770550" w14:paraId="534A28B4" w14:textId="77777777" w:rsidTr="000268BC">
        <w:trPr>
          <w:cantSplit/>
        </w:trPr>
        <w:tc>
          <w:tcPr>
            <w:tcW w:w="426" w:type="dxa"/>
          </w:tcPr>
          <w:p w14:paraId="66F71457" w14:textId="77777777" w:rsidR="00FF6216" w:rsidRPr="00F22974" w:rsidRDefault="00FF6216" w:rsidP="000268BC">
            <w:pPr>
              <w:pStyle w:val="TableText"/>
            </w:pPr>
            <w:r w:rsidRPr="00F22974">
              <w:t>B.</w:t>
            </w:r>
          </w:p>
        </w:tc>
        <w:tc>
          <w:tcPr>
            <w:tcW w:w="2693" w:type="dxa"/>
            <w:shd w:val="clear" w:color="auto" w:fill="auto"/>
          </w:tcPr>
          <w:p w14:paraId="2FD42FFD" w14:textId="77777777" w:rsidR="00FF6216" w:rsidRPr="00F22974" w:rsidRDefault="00FF6216" w:rsidP="000268BC">
            <w:pPr>
              <w:pStyle w:val="TableText"/>
            </w:pPr>
            <w:r w:rsidRPr="00F22974">
              <w:t>A new provision requires surrogates to consider their future reproductive capacity.</w:t>
            </w:r>
          </w:p>
        </w:tc>
        <w:tc>
          <w:tcPr>
            <w:tcW w:w="2693" w:type="dxa"/>
            <w:shd w:val="clear" w:color="auto" w:fill="auto"/>
          </w:tcPr>
          <w:p w14:paraId="7A41C357" w14:textId="77777777" w:rsidR="00FF6216" w:rsidRPr="00F22974" w:rsidRDefault="00FF6216" w:rsidP="000268BC">
            <w:pPr>
              <w:pStyle w:val="TableText"/>
              <w:rPr>
                <w:spacing w:val="-2"/>
              </w:rPr>
            </w:pPr>
            <w:r w:rsidRPr="00F22974">
              <w:rPr>
                <w:spacing w:val="-2"/>
              </w:rPr>
              <w:t>The previous provision (requiring surrogates to have finished their families) was not enforceable.</w:t>
            </w:r>
          </w:p>
          <w:p w14:paraId="47EFD6EB" w14:textId="77777777" w:rsidR="00FF6216" w:rsidRPr="00F22974" w:rsidRDefault="00FF6216" w:rsidP="000268BC">
            <w:pPr>
              <w:pStyle w:val="TableText"/>
              <w:rPr>
                <w:spacing w:val="-2"/>
              </w:rPr>
            </w:pPr>
            <w:r w:rsidRPr="00F22974">
              <w:rPr>
                <w:spacing w:val="-2"/>
              </w:rPr>
              <w:t>Nevertheless, gestating and giving birth could compromise a woman’s ability to have further children so she needs to consider these risks.</w:t>
            </w:r>
          </w:p>
        </w:tc>
        <w:tc>
          <w:tcPr>
            <w:tcW w:w="2977" w:type="dxa"/>
            <w:shd w:val="clear" w:color="auto" w:fill="auto"/>
          </w:tcPr>
          <w:p w14:paraId="5714C804" w14:textId="77777777" w:rsidR="00FF6216" w:rsidRPr="00F22974" w:rsidRDefault="00FF6216" w:rsidP="000268BC">
            <w:pPr>
              <w:pStyle w:val="TableText"/>
              <w:rPr>
                <w:spacing w:val="-2"/>
              </w:rPr>
            </w:pPr>
            <w:r w:rsidRPr="00F22974">
              <w:rPr>
                <w:spacing w:val="-2"/>
              </w:rPr>
              <w:t>The provision makes it clear surrogates have important matters to consider but does not prohibit a woman from being a surrogate without first finishing her family.</w:t>
            </w:r>
          </w:p>
        </w:tc>
      </w:tr>
      <w:tr w:rsidR="00FF6216" w:rsidRPr="00770550" w14:paraId="71B4E467" w14:textId="77777777" w:rsidTr="000268BC">
        <w:trPr>
          <w:cantSplit/>
        </w:trPr>
        <w:tc>
          <w:tcPr>
            <w:tcW w:w="426" w:type="dxa"/>
            <w:tcBorders>
              <w:bottom w:val="single" w:sz="4" w:space="0" w:color="auto"/>
            </w:tcBorders>
          </w:tcPr>
          <w:p w14:paraId="5F0866C4" w14:textId="77777777" w:rsidR="00FF6216" w:rsidRPr="00F22974" w:rsidRDefault="00FF6216" w:rsidP="000268BC">
            <w:pPr>
              <w:pStyle w:val="TableText"/>
              <w:jc w:val="center"/>
            </w:pPr>
            <w:r w:rsidRPr="00F22974">
              <w:lastRenderedPageBreak/>
              <w:t>C.</w:t>
            </w:r>
          </w:p>
        </w:tc>
        <w:tc>
          <w:tcPr>
            <w:tcW w:w="2693" w:type="dxa"/>
            <w:tcBorders>
              <w:bottom w:val="single" w:sz="4" w:space="0" w:color="auto"/>
            </w:tcBorders>
            <w:shd w:val="clear" w:color="auto" w:fill="auto"/>
          </w:tcPr>
          <w:p w14:paraId="605B6430" w14:textId="77777777" w:rsidR="00FF6216" w:rsidRPr="00F22974" w:rsidRDefault="00FF6216" w:rsidP="000268BC">
            <w:pPr>
              <w:pStyle w:val="TableText"/>
            </w:pPr>
            <w:r w:rsidRPr="00F22974">
              <w:t>An amended provision requires all parties to consider how their residency will affect relationships in the future.</w:t>
            </w:r>
          </w:p>
        </w:tc>
        <w:tc>
          <w:tcPr>
            <w:tcW w:w="2693" w:type="dxa"/>
            <w:tcBorders>
              <w:bottom w:val="single" w:sz="4" w:space="0" w:color="auto"/>
            </w:tcBorders>
            <w:shd w:val="clear" w:color="auto" w:fill="auto"/>
          </w:tcPr>
          <w:p w14:paraId="2D1F705D" w14:textId="77777777" w:rsidR="00FF6216" w:rsidRPr="00F22974" w:rsidRDefault="00FF6216" w:rsidP="000268BC">
            <w:pPr>
              <w:pStyle w:val="TableText"/>
              <w:rPr>
                <w:spacing w:val="-2"/>
              </w:rPr>
            </w:pPr>
            <w:r w:rsidRPr="00F22974">
              <w:rPr>
                <w:spacing w:val="-2"/>
              </w:rPr>
              <w:t>The previous provision was less future focused.</w:t>
            </w:r>
          </w:p>
          <w:p w14:paraId="2A265AFB" w14:textId="77777777" w:rsidR="00FF6216" w:rsidRPr="00F22974" w:rsidRDefault="00FF6216" w:rsidP="000268BC">
            <w:pPr>
              <w:pStyle w:val="TableText"/>
              <w:rPr>
                <w:spacing w:val="-2"/>
              </w:rPr>
            </w:pPr>
            <w:r w:rsidRPr="00F22974">
              <w:rPr>
                <w:spacing w:val="-2"/>
              </w:rPr>
              <w:t>It is important for parties to be able to communicate and their residency could affect that communication in the future.</w:t>
            </w:r>
          </w:p>
          <w:p w14:paraId="1C7D15B2" w14:textId="77777777" w:rsidR="00FF6216" w:rsidRPr="00F22974" w:rsidRDefault="00FF6216" w:rsidP="000268BC">
            <w:pPr>
              <w:pStyle w:val="TableText"/>
              <w:rPr>
                <w:spacing w:val="-2"/>
              </w:rPr>
            </w:pPr>
            <w:r w:rsidRPr="00F22974">
              <w:rPr>
                <w:spacing w:val="-2"/>
              </w:rPr>
              <w:t>Overseas surrogacies can affect immigration and citizenship rights of children.</w:t>
            </w:r>
          </w:p>
        </w:tc>
        <w:tc>
          <w:tcPr>
            <w:tcW w:w="2977" w:type="dxa"/>
            <w:tcBorders>
              <w:bottom w:val="single" w:sz="4" w:space="0" w:color="auto"/>
            </w:tcBorders>
            <w:shd w:val="clear" w:color="auto" w:fill="auto"/>
          </w:tcPr>
          <w:p w14:paraId="05B5FE39" w14:textId="77777777" w:rsidR="00FF6216" w:rsidRPr="00F22974" w:rsidRDefault="00FF6216" w:rsidP="000268BC">
            <w:pPr>
              <w:pStyle w:val="TableText"/>
              <w:rPr>
                <w:spacing w:val="-2"/>
              </w:rPr>
            </w:pPr>
            <w:r w:rsidRPr="00F22974">
              <w:rPr>
                <w:spacing w:val="-2"/>
              </w:rPr>
              <w:t>The wellbeing of all parties, particularly children, is better protected.</w:t>
            </w:r>
          </w:p>
          <w:p w14:paraId="31E678CB" w14:textId="77777777" w:rsidR="00FF6216" w:rsidRPr="00F22974" w:rsidRDefault="00FF6216" w:rsidP="000268BC">
            <w:pPr>
              <w:pStyle w:val="TableText"/>
              <w:rPr>
                <w:spacing w:val="-2"/>
              </w:rPr>
            </w:pPr>
            <w:r w:rsidRPr="00F22974">
              <w:rPr>
                <w:spacing w:val="-2"/>
              </w:rPr>
              <w:t>ECART will be able to consider whether the residency plans will provide such protections.</w:t>
            </w:r>
          </w:p>
        </w:tc>
      </w:tr>
      <w:tr w:rsidR="00FF6216" w:rsidRPr="00F269C2" w14:paraId="185FE9C6" w14:textId="77777777" w:rsidTr="000268BC">
        <w:trPr>
          <w:cantSplit/>
        </w:trPr>
        <w:tc>
          <w:tcPr>
            <w:tcW w:w="8789" w:type="dxa"/>
            <w:gridSpan w:val="4"/>
            <w:shd w:val="clear" w:color="auto" w:fill="F2F2F2" w:themeFill="background1" w:themeFillShade="F2"/>
          </w:tcPr>
          <w:p w14:paraId="43AB2965" w14:textId="77777777" w:rsidR="00FF6216" w:rsidRPr="00F22974" w:rsidRDefault="00FF6216" w:rsidP="000268BC">
            <w:pPr>
              <w:pStyle w:val="TableText"/>
              <w:ind w:left="425" w:hanging="425"/>
              <w:rPr>
                <w:b/>
              </w:rPr>
            </w:pPr>
            <w:r w:rsidRPr="00F22974">
              <w:rPr>
                <w:b/>
                <w:spacing w:val="-2"/>
              </w:rPr>
              <w:t>5.</w:t>
            </w:r>
            <w:r w:rsidRPr="00F22974">
              <w:rPr>
                <w:b/>
                <w:spacing w:val="-2"/>
              </w:rPr>
              <w:tab/>
              <w:t xml:space="preserve">One </w:t>
            </w:r>
            <w:r w:rsidRPr="00F22974">
              <w:rPr>
                <w:b/>
              </w:rPr>
              <w:t>guideline</w:t>
            </w:r>
            <w:r w:rsidRPr="00F22974">
              <w:rPr>
                <w:b/>
                <w:spacing w:val="-2"/>
              </w:rPr>
              <w:t xml:space="preserve"> replaces four, and the language and format have been standardised</w:t>
            </w:r>
            <w:r w:rsidRPr="00F22974">
              <w:rPr>
                <w:spacing w:val="-2"/>
              </w:rPr>
              <w:t xml:space="preserve"> </w:t>
            </w:r>
            <w:r w:rsidRPr="00F22974">
              <w:t>(page 45)</w:t>
            </w:r>
          </w:p>
        </w:tc>
      </w:tr>
      <w:tr w:rsidR="00FF6216" w:rsidRPr="00770550" w14:paraId="3D22F31B" w14:textId="77777777" w:rsidTr="000268BC">
        <w:trPr>
          <w:cantSplit/>
        </w:trPr>
        <w:tc>
          <w:tcPr>
            <w:tcW w:w="426" w:type="dxa"/>
            <w:tcBorders>
              <w:top w:val="single" w:sz="4" w:space="0" w:color="auto"/>
              <w:left w:val="single" w:sz="4" w:space="0" w:color="auto"/>
              <w:bottom w:val="single" w:sz="4" w:space="0" w:color="auto"/>
              <w:right w:val="single" w:sz="4" w:space="0" w:color="auto"/>
            </w:tcBorders>
          </w:tcPr>
          <w:p w14:paraId="329821DA" w14:textId="77777777" w:rsidR="00FF6216" w:rsidRPr="00F22974" w:rsidRDefault="00FF6216" w:rsidP="000268BC">
            <w:pPr>
              <w:pStyle w:val="TableText"/>
            </w:pPr>
            <w:r w:rsidRPr="00F22974">
              <w: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5788A2" w14:textId="77777777" w:rsidR="00FF6216" w:rsidRPr="00F22974" w:rsidRDefault="00FF6216" w:rsidP="000268BC">
            <w:pPr>
              <w:pStyle w:val="TableText"/>
            </w:pPr>
            <w:r w:rsidRPr="00F22974">
              <w:t>ACART has combined the three previous sets of donation guidelines and the surrogacy guidelines into one set of guidelines. It has also standardised the language and format.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21598F" w14:textId="77777777" w:rsidR="00FF6216" w:rsidRPr="00F22974" w:rsidRDefault="00FF6216" w:rsidP="000268BC">
            <w:pPr>
              <w:pStyle w:val="TableText"/>
              <w:rPr>
                <w:spacing w:val="-2"/>
              </w:rPr>
            </w:pPr>
            <w:r w:rsidRPr="00F22974">
              <w:rPr>
                <w:spacing w:val="-2"/>
              </w:rPr>
              <w:t xml:space="preserve">The previous guidelines had some provisions that were mutually </w:t>
            </w:r>
            <w:proofErr w:type="gramStart"/>
            <w:r w:rsidRPr="00F22974">
              <w:rPr>
                <w:spacing w:val="-2"/>
              </w:rPr>
              <w:t>exclusive</w:t>
            </w:r>
            <w:proofErr w:type="gramEnd"/>
            <w:r w:rsidRPr="00F22974">
              <w:rPr>
                <w:spacing w:val="-2"/>
              </w:rPr>
              <w:t xml:space="preserve"> but these exclusions have now been removed.</w:t>
            </w:r>
          </w:p>
          <w:p w14:paraId="2875B152" w14:textId="77777777" w:rsidR="00FF6216" w:rsidRPr="00F22974" w:rsidRDefault="00FF6216" w:rsidP="000268BC">
            <w:pPr>
              <w:pStyle w:val="TableText"/>
              <w:rPr>
                <w:spacing w:val="-2"/>
              </w:rPr>
            </w:pPr>
            <w:r w:rsidRPr="00F22974">
              <w:rPr>
                <w:spacing w:val="-2"/>
              </w:rPr>
              <w:t>The previous guidelines were inconsistent in their language and format.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205F9F" w14:textId="77777777" w:rsidR="00FF6216" w:rsidRPr="00F22974" w:rsidRDefault="00FF6216" w:rsidP="000268BC">
            <w:pPr>
              <w:pStyle w:val="TableText"/>
              <w:rPr>
                <w:spacing w:val="-2"/>
              </w:rPr>
            </w:pPr>
            <w:r w:rsidRPr="00F22974">
              <w:rPr>
                <w:spacing w:val="-2"/>
              </w:rPr>
              <w:t>ECART can consider more complex cases.</w:t>
            </w:r>
          </w:p>
          <w:p w14:paraId="63011F84" w14:textId="77777777" w:rsidR="00FF6216" w:rsidRPr="00F22974" w:rsidRDefault="00FF6216" w:rsidP="000268BC">
            <w:pPr>
              <w:pStyle w:val="TableText"/>
              <w:rPr>
                <w:spacing w:val="-2"/>
              </w:rPr>
            </w:pPr>
            <w:r w:rsidRPr="00F22974">
              <w:rPr>
                <w:spacing w:val="-2"/>
              </w:rPr>
              <w:t>The single set of guidelines is more consistent in its language and clearer in its meaning.</w:t>
            </w:r>
          </w:p>
        </w:tc>
      </w:tr>
      <w:tr w:rsidR="00FF6216" w:rsidRPr="00F269C2" w14:paraId="0A221061" w14:textId="77777777" w:rsidTr="000268BC">
        <w:trPr>
          <w:cantSplit/>
        </w:trPr>
        <w:tc>
          <w:tcPr>
            <w:tcW w:w="8789" w:type="dxa"/>
            <w:gridSpan w:val="4"/>
            <w:shd w:val="clear" w:color="auto" w:fill="F2F2F2" w:themeFill="background1" w:themeFillShade="F2"/>
          </w:tcPr>
          <w:p w14:paraId="00D518B9" w14:textId="77777777" w:rsidR="00FF6216" w:rsidRPr="00F22974" w:rsidRDefault="00FF6216" w:rsidP="000268BC">
            <w:pPr>
              <w:pStyle w:val="TableText"/>
              <w:ind w:left="425" w:hanging="425"/>
              <w:rPr>
                <w:b/>
                <w:spacing w:val="-2"/>
              </w:rPr>
            </w:pPr>
            <w:r w:rsidRPr="00F22974">
              <w:rPr>
                <w:b/>
                <w:spacing w:val="-2"/>
              </w:rPr>
              <w:t>6.</w:t>
            </w:r>
            <w:r w:rsidRPr="00F22974">
              <w:rPr>
                <w:b/>
                <w:spacing w:val="-2"/>
              </w:rPr>
              <w:tab/>
              <w:t xml:space="preserve">The </w:t>
            </w:r>
            <w:proofErr w:type="gramStart"/>
            <w:r w:rsidRPr="00F22974">
              <w:rPr>
                <w:b/>
                <w:spacing w:val="-2"/>
              </w:rPr>
              <w:t>two family</w:t>
            </w:r>
            <w:proofErr w:type="gramEnd"/>
            <w:r w:rsidRPr="00F22974">
              <w:rPr>
                <w:b/>
                <w:spacing w:val="-2"/>
              </w:rPr>
              <w:t xml:space="preserve"> limit for full genetic siblings is now universal</w:t>
            </w:r>
            <w:r w:rsidRPr="00F22974">
              <w:rPr>
                <w:spacing w:val="-2"/>
              </w:rPr>
              <w:t xml:space="preserve"> </w:t>
            </w:r>
            <w:r w:rsidRPr="00F22974">
              <w:t>(page 46)</w:t>
            </w:r>
          </w:p>
        </w:tc>
      </w:tr>
      <w:tr w:rsidR="00FF6216" w:rsidRPr="00770550" w14:paraId="0EB87D8E" w14:textId="77777777" w:rsidTr="000268BC">
        <w:trPr>
          <w:cantSplit/>
        </w:trPr>
        <w:tc>
          <w:tcPr>
            <w:tcW w:w="426" w:type="dxa"/>
            <w:tcBorders>
              <w:bottom w:val="single" w:sz="4" w:space="0" w:color="auto"/>
            </w:tcBorders>
          </w:tcPr>
          <w:p w14:paraId="57DB224B" w14:textId="77777777" w:rsidR="00FF6216" w:rsidRPr="00F22974" w:rsidRDefault="00FF6216" w:rsidP="000268BC">
            <w:pPr>
              <w:pStyle w:val="TableText"/>
            </w:pPr>
            <w:r w:rsidRPr="00F22974">
              <w:t>A.</w:t>
            </w:r>
          </w:p>
        </w:tc>
        <w:tc>
          <w:tcPr>
            <w:tcW w:w="2693" w:type="dxa"/>
            <w:tcBorders>
              <w:bottom w:val="single" w:sz="4" w:space="0" w:color="auto"/>
            </w:tcBorders>
            <w:shd w:val="clear" w:color="auto" w:fill="auto"/>
          </w:tcPr>
          <w:p w14:paraId="0CBF8069" w14:textId="77777777" w:rsidR="00FF6216" w:rsidRPr="00F22974" w:rsidRDefault="00FF6216" w:rsidP="000268BC">
            <w:pPr>
              <w:pStyle w:val="TableText"/>
            </w:pPr>
            <w:r w:rsidRPr="00F22974">
              <w:t>The two-family limit for full genetic siblings is now specified for all embryo donations or donations of eggs in conjunction with sperm.</w:t>
            </w:r>
          </w:p>
        </w:tc>
        <w:tc>
          <w:tcPr>
            <w:tcW w:w="2693" w:type="dxa"/>
            <w:tcBorders>
              <w:bottom w:val="single" w:sz="4" w:space="0" w:color="auto"/>
            </w:tcBorders>
            <w:shd w:val="clear" w:color="auto" w:fill="auto"/>
          </w:tcPr>
          <w:p w14:paraId="29AE002E" w14:textId="77777777" w:rsidR="00FF6216" w:rsidRPr="00F22974" w:rsidRDefault="00FF6216" w:rsidP="000268BC">
            <w:pPr>
              <w:pStyle w:val="TableText"/>
              <w:rPr>
                <w:spacing w:val="-2"/>
              </w:rPr>
            </w:pPr>
            <w:r w:rsidRPr="00F22974">
              <w:rPr>
                <w:spacing w:val="-2"/>
              </w:rPr>
              <w:t>Although the limit applied previously, some of the separate sets of guidelines did not explicitly state it.</w:t>
            </w:r>
          </w:p>
        </w:tc>
        <w:tc>
          <w:tcPr>
            <w:tcW w:w="2977" w:type="dxa"/>
            <w:tcBorders>
              <w:bottom w:val="single" w:sz="4" w:space="0" w:color="auto"/>
            </w:tcBorders>
            <w:shd w:val="clear" w:color="auto" w:fill="auto"/>
          </w:tcPr>
          <w:p w14:paraId="1349BBDB" w14:textId="77777777" w:rsidR="00FF6216" w:rsidRPr="00F22974" w:rsidRDefault="00FF6216" w:rsidP="000268BC">
            <w:pPr>
              <w:pStyle w:val="TableText"/>
              <w:rPr>
                <w:spacing w:val="-2"/>
              </w:rPr>
            </w:pPr>
            <w:r w:rsidRPr="00F22974">
              <w:rPr>
                <w:spacing w:val="-2"/>
              </w:rPr>
              <w:t xml:space="preserve">All parties will understand that the </w:t>
            </w:r>
            <w:r w:rsidRPr="00F22974">
              <w:t>limit</w:t>
            </w:r>
            <w:r w:rsidRPr="00F22974">
              <w:rPr>
                <w:spacing w:val="-2"/>
              </w:rPr>
              <w:t xml:space="preserve"> applies regardless of the procedures they are considering.</w:t>
            </w:r>
          </w:p>
        </w:tc>
      </w:tr>
      <w:tr w:rsidR="00FF6216" w:rsidRPr="00F269C2" w14:paraId="06F7D50F" w14:textId="77777777" w:rsidTr="000268BC">
        <w:trPr>
          <w:cantSplit/>
        </w:trPr>
        <w:tc>
          <w:tcPr>
            <w:tcW w:w="8789" w:type="dxa"/>
            <w:gridSpan w:val="4"/>
            <w:shd w:val="clear" w:color="auto" w:fill="F2F2F2" w:themeFill="background1" w:themeFillShade="F2"/>
          </w:tcPr>
          <w:p w14:paraId="56B55E84" w14:textId="77777777" w:rsidR="00FF6216" w:rsidRPr="00F22974" w:rsidRDefault="00FF6216" w:rsidP="000268BC">
            <w:pPr>
              <w:pStyle w:val="TableText"/>
              <w:ind w:left="425" w:hanging="425"/>
              <w:rPr>
                <w:b/>
              </w:rPr>
            </w:pPr>
            <w:r w:rsidRPr="00F22974">
              <w:rPr>
                <w:b/>
                <w:spacing w:val="-2"/>
              </w:rPr>
              <w:t>7.</w:t>
            </w:r>
            <w:r w:rsidRPr="00F22974">
              <w:rPr>
                <w:b/>
                <w:spacing w:val="-2"/>
              </w:rPr>
              <w:tab/>
              <w:t>Stronger mitigation of risks for donations between family members</w:t>
            </w:r>
            <w:r w:rsidRPr="00F22974">
              <w:rPr>
                <w:spacing w:val="-2"/>
              </w:rPr>
              <w:t xml:space="preserve"> </w:t>
            </w:r>
            <w:r w:rsidRPr="00F22974">
              <w:t>(page 48)</w:t>
            </w:r>
          </w:p>
        </w:tc>
      </w:tr>
      <w:tr w:rsidR="00FF6216" w:rsidRPr="00770550" w14:paraId="09B42D28" w14:textId="77777777" w:rsidTr="000268BC">
        <w:trPr>
          <w:cantSplit/>
        </w:trPr>
        <w:tc>
          <w:tcPr>
            <w:tcW w:w="426" w:type="dxa"/>
          </w:tcPr>
          <w:p w14:paraId="6CB55186" w14:textId="77777777" w:rsidR="00FF6216" w:rsidRPr="00F22974" w:rsidRDefault="00FF6216" w:rsidP="000268BC">
            <w:pPr>
              <w:pStyle w:val="TableText"/>
            </w:pPr>
            <w:r w:rsidRPr="00F22974">
              <w:t>A.</w:t>
            </w:r>
          </w:p>
        </w:tc>
        <w:tc>
          <w:tcPr>
            <w:tcW w:w="2693" w:type="dxa"/>
            <w:shd w:val="clear" w:color="auto" w:fill="auto"/>
          </w:tcPr>
          <w:p w14:paraId="030580E9" w14:textId="77777777" w:rsidR="00FF6216" w:rsidRPr="00F22974" w:rsidRDefault="00FF6216" w:rsidP="000268BC">
            <w:pPr>
              <w:pStyle w:val="TableText"/>
            </w:pPr>
            <w:r w:rsidRPr="00F22974">
              <w:t>Greater emphasis has been given to managing intergenerational risks.</w:t>
            </w:r>
          </w:p>
        </w:tc>
        <w:tc>
          <w:tcPr>
            <w:tcW w:w="2693" w:type="dxa"/>
            <w:shd w:val="clear" w:color="auto" w:fill="auto"/>
          </w:tcPr>
          <w:p w14:paraId="052F2E9C" w14:textId="77777777" w:rsidR="00FF6216" w:rsidRPr="00F22974" w:rsidRDefault="00FF6216" w:rsidP="000268BC">
            <w:pPr>
              <w:pStyle w:val="TableText"/>
              <w:rPr>
                <w:spacing w:val="-2"/>
              </w:rPr>
            </w:pPr>
            <w:r w:rsidRPr="00F22974">
              <w:rPr>
                <w:spacing w:val="-2"/>
              </w:rPr>
              <w:t>The previous provisions were not strong enough to fully manage possible intergenerational risks.</w:t>
            </w:r>
          </w:p>
        </w:tc>
        <w:tc>
          <w:tcPr>
            <w:tcW w:w="2977" w:type="dxa"/>
            <w:shd w:val="clear" w:color="auto" w:fill="auto"/>
          </w:tcPr>
          <w:p w14:paraId="7E1BC07B" w14:textId="77777777" w:rsidR="00FF6216" w:rsidRPr="00F22974" w:rsidRDefault="00FF6216" w:rsidP="000268BC">
            <w:pPr>
              <w:pStyle w:val="TableText"/>
            </w:pPr>
            <w:r w:rsidRPr="00F22974">
              <w:rPr>
                <w:spacing w:val="-2"/>
              </w:rPr>
              <w:t>The potential effects of intergenerational risks are minimised.</w:t>
            </w:r>
          </w:p>
        </w:tc>
      </w:tr>
      <w:tr w:rsidR="00FF6216" w:rsidRPr="00770550" w14:paraId="6D6F83CA" w14:textId="77777777" w:rsidTr="000268BC">
        <w:trPr>
          <w:cantSplit/>
        </w:trPr>
        <w:tc>
          <w:tcPr>
            <w:tcW w:w="426" w:type="dxa"/>
            <w:tcBorders>
              <w:bottom w:val="single" w:sz="4" w:space="0" w:color="auto"/>
            </w:tcBorders>
          </w:tcPr>
          <w:p w14:paraId="6035133F" w14:textId="77777777" w:rsidR="00FF6216" w:rsidRPr="00F22974" w:rsidRDefault="00FF6216" w:rsidP="000268BC">
            <w:pPr>
              <w:pStyle w:val="TableText"/>
            </w:pPr>
            <w:r w:rsidRPr="00F22974">
              <w:t>B.</w:t>
            </w:r>
          </w:p>
        </w:tc>
        <w:tc>
          <w:tcPr>
            <w:tcW w:w="2693" w:type="dxa"/>
            <w:tcBorders>
              <w:bottom w:val="single" w:sz="4" w:space="0" w:color="auto"/>
            </w:tcBorders>
            <w:shd w:val="clear" w:color="auto" w:fill="auto"/>
          </w:tcPr>
          <w:p w14:paraId="6F304F2C" w14:textId="77777777" w:rsidR="00FF6216" w:rsidRPr="00F22974" w:rsidRDefault="00FF6216" w:rsidP="000268BC">
            <w:pPr>
              <w:pStyle w:val="TableText"/>
            </w:pPr>
            <w:r w:rsidRPr="00F22974">
              <w:t>More family gamete donations are prohibited.</w:t>
            </w:r>
          </w:p>
        </w:tc>
        <w:tc>
          <w:tcPr>
            <w:tcW w:w="2693" w:type="dxa"/>
            <w:tcBorders>
              <w:bottom w:val="single" w:sz="4" w:space="0" w:color="auto"/>
            </w:tcBorders>
            <w:shd w:val="clear" w:color="auto" w:fill="auto"/>
          </w:tcPr>
          <w:p w14:paraId="2B5A2B6B" w14:textId="77777777" w:rsidR="00FF6216" w:rsidRPr="00F22974" w:rsidRDefault="00FF6216" w:rsidP="000268BC">
            <w:pPr>
              <w:pStyle w:val="TableText"/>
              <w:rPr>
                <w:spacing w:val="-2"/>
              </w:rPr>
            </w:pPr>
            <w:r w:rsidRPr="00F22974">
              <w:rPr>
                <w:spacing w:val="-2"/>
              </w:rPr>
              <w:t>The previous list was less comprehensive and might not have sufficiently minimised the risks of consanguinity (blood relationships).</w:t>
            </w:r>
          </w:p>
        </w:tc>
        <w:tc>
          <w:tcPr>
            <w:tcW w:w="2977" w:type="dxa"/>
            <w:tcBorders>
              <w:bottom w:val="single" w:sz="4" w:space="0" w:color="auto"/>
            </w:tcBorders>
            <w:shd w:val="clear" w:color="auto" w:fill="auto"/>
          </w:tcPr>
          <w:p w14:paraId="3D407905" w14:textId="77777777" w:rsidR="00FF6216" w:rsidRPr="00F22974" w:rsidRDefault="00FF6216" w:rsidP="000268BC">
            <w:pPr>
              <w:pStyle w:val="TableText"/>
            </w:pPr>
            <w:r w:rsidRPr="00F22974">
              <w:t>The amendments are consistent with current clinic practice and clear regulation reduces the risk of consanguinity.</w:t>
            </w:r>
          </w:p>
        </w:tc>
      </w:tr>
      <w:tr w:rsidR="00FF6216" w:rsidRPr="00F269C2" w14:paraId="60339CB5" w14:textId="77777777" w:rsidTr="000268BC">
        <w:trPr>
          <w:cantSplit/>
        </w:trPr>
        <w:tc>
          <w:tcPr>
            <w:tcW w:w="8789" w:type="dxa"/>
            <w:gridSpan w:val="4"/>
            <w:shd w:val="clear" w:color="auto" w:fill="F2F2F2" w:themeFill="background1" w:themeFillShade="F2"/>
          </w:tcPr>
          <w:p w14:paraId="6A1FC774" w14:textId="77777777" w:rsidR="00FF6216" w:rsidRPr="00F22974" w:rsidRDefault="00FF6216" w:rsidP="000268BC">
            <w:pPr>
              <w:pStyle w:val="TableText"/>
              <w:ind w:left="425" w:hanging="425"/>
              <w:rPr>
                <w:b/>
                <w:spacing w:val="-2"/>
              </w:rPr>
            </w:pPr>
            <w:r w:rsidRPr="00F22974">
              <w:rPr>
                <w:b/>
                <w:spacing w:val="-2"/>
              </w:rPr>
              <w:t>8.</w:t>
            </w:r>
            <w:r w:rsidRPr="00F22974">
              <w:rPr>
                <w:b/>
                <w:spacing w:val="-2"/>
              </w:rPr>
              <w:tab/>
              <w:t>Stronger</w:t>
            </w:r>
            <w:r w:rsidRPr="00F22974">
              <w:rPr>
                <w:rFonts w:eastAsia="Calibri"/>
                <w:b/>
                <w:spacing w:val="-2"/>
              </w:rPr>
              <w:t xml:space="preserve"> provisions for managing undue influence</w:t>
            </w:r>
            <w:r w:rsidRPr="00F22974">
              <w:rPr>
                <w:spacing w:val="-2"/>
              </w:rPr>
              <w:t xml:space="preserve"> </w:t>
            </w:r>
            <w:r w:rsidRPr="00F22974">
              <w:t>(page 50)</w:t>
            </w:r>
          </w:p>
        </w:tc>
      </w:tr>
      <w:tr w:rsidR="00FF6216" w:rsidRPr="00770550" w14:paraId="41A7C9FC" w14:textId="77777777" w:rsidTr="000268BC">
        <w:trPr>
          <w:cantSplit/>
        </w:trPr>
        <w:tc>
          <w:tcPr>
            <w:tcW w:w="426" w:type="dxa"/>
            <w:tcBorders>
              <w:bottom w:val="single" w:sz="4" w:space="0" w:color="auto"/>
            </w:tcBorders>
          </w:tcPr>
          <w:p w14:paraId="370FB75A" w14:textId="77777777" w:rsidR="00FF6216" w:rsidRPr="00F22974" w:rsidRDefault="00FF6216" w:rsidP="000268BC">
            <w:pPr>
              <w:pStyle w:val="TableText"/>
            </w:pPr>
            <w:r w:rsidRPr="00F22974">
              <w:t>A.</w:t>
            </w:r>
          </w:p>
        </w:tc>
        <w:tc>
          <w:tcPr>
            <w:tcW w:w="2693" w:type="dxa"/>
            <w:tcBorders>
              <w:bottom w:val="single" w:sz="4" w:space="0" w:color="auto"/>
            </w:tcBorders>
            <w:shd w:val="clear" w:color="auto" w:fill="auto"/>
          </w:tcPr>
          <w:p w14:paraId="70F9CB3D" w14:textId="77777777" w:rsidR="00FF6216" w:rsidRPr="00F22974" w:rsidRDefault="00FF6216" w:rsidP="000268BC">
            <w:pPr>
              <w:pStyle w:val="TableText"/>
            </w:pPr>
            <w:r w:rsidRPr="00F22974">
              <w:t>Greater emphasis has been given to managing undue influence.</w:t>
            </w:r>
          </w:p>
        </w:tc>
        <w:tc>
          <w:tcPr>
            <w:tcW w:w="2693" w:type="dxa"/>
            <w:tcBorders>
              <w:bottom w:val="single" w:sz="4" w:space="0" w:color="auto"/>
            </w:tcBorders>
            <w:shd w:val="clear" w:color="auto" w:fill="auto"/>
          </w:tcPr>
          <w:p w14:paraId="39F6D14E" w14:textId="77777777" w:rsidR="00FF6216" w:rsidRPr="00F22974" w:rsidRDefault="00FF6216" w:rsidP="000268BC">
            <w:pPr>
              <w:pStyle w:val="TableText"/>
              <w:rPr>
                <w:spacing w:val="-2"/>
              </w:rPr>
            </w:pPr>
            <w:r w:rsidRPr="00F22974">
              <w:rPr>
                <w:spacing w:val="-2"/>
              </w:rPr>
              <w:t>The previous provision was not strong enough, especially for family gamete donations and surrogacy.</w:t>
            </w:r>
          </w:p>
        </w:tc>
        <w:tc>
          <w:tcPr>
            <w:tcW w:w="2977" w:type="dxa"/>
            <w:tcBorders>
              <w:bottom w:val="single" w:sz="4" w:space="0" w:color="auto"/>
            </w:tcBorders>
            <w:shd w:val="clear" w:color="auto" w:fill="auto"/>
          </w:tcPr>
          <w:p w14:paraId="4CC877C6" w14:textId="77777777" w:rsidR="00FF6216" w:rsidRPr="00F22974" w:rsidRDefault="00FF6216" w:rsidP="000268BC">
            <w:pPr>
              <w:pStyle w:val="TableText"/>
            </w:pPr>
            <w:r w:rsidRPr="00F22974">
              <w:t xml:space="preserve">The </w:t>
            </w:r>
            <w:r w:rsidRPr="00F22974">
              <w:rPr>
                <w:spacing w:val="-2"/>
              </w:rPr>
              <w:t>new</w:t>
            </w:r>
            <w:r w:rsidRPr="00F22974">
              <w:t xml:space="preserve"> provisions minimise the risks of undue influence.</w:t>
            </w:r>
          </w:p>
        </w:tc>
      </w:tr>
      <w:tr w:rsidR="00FF6216" w:rsidRPr="00F269C2" w14:paraId="63AC3919" w14:textId="77777777" w:rsidTr="000268BC">
        <w:trPr>
          <w:cantSplit/>
        </w:trPr>
        <w:tc>
          <w:tcPr>
            <w:tcW w:w="8789" w:type="dxa"/>
            <w:gridSpan w:val="4"/>
            <w:shd w:val="clear" w:color="auto" w:fill="F2F2F2" w:themeFill="background1" w:themeFillShade="F2"/>
          </w:tcPr>
          <w:p w14:paraId="5CFCA754" w14:textId="77777777" w:rsidR="00FF6216" w:rsidRPr="00F22974" w:rsidRDefault="00FF6216" w:rsidP="000268BC">
            <w:pPr>
              <w:pStyle w:val="TableText"/>
              <w:ind w:left="425" w:hanging="425"/>
              <w:rPr>
                <w:b/>
                <w:spacing w:val="-2"/>
              </w:rPr>
            </w:pPr>
            <w:r w:rsidRPr="00F22974">
              <w:rPr>
                <w:b/>
                <w:spacing w:val="-2"/>
              </w:rPr>
              <w:t>9.</w:t>
            </w:r>
            <w:r w:rsidRPr="00F22974">
              <w:rPr>
                <w:b/>
                <w:spacing w:val="-2"/>
              </w:rPr>
              <w:tab/>
              <w:t>T</w:t>
            </w:r>
            <w:r w:rsidRPr="00F22974">
              <w:rPr>
                <w:rFonts w:eastAsia="Calibri"/>
                <w:b/>
                <w:spacing w:val="-2"/>
              </w:rPr>
              <w:t xml:space="preserve">he </w:t>
            </w:r>
            <w:r w:rsidRPr="00F22974">
              <w:rPr>
                <w:b/>
                <w:spacing w:val="-2"/>
              </w:rPr>
              <w:t>provisions</w:t>
            </w:r>
            <w:r w:rsidRPr="00F22974">
              <w:rPr>
                <w:rFonts w:eastAsia="Calibri"/>
                <w:b/>
                <w:spacing w:val="-2"/>
              </w:rPr>
              <w:t xml:space="preserve"> about obtaining legal advice have been rationalised</w:t>
            </w:r>
            <w:r w:rsidRPr="00F22974">
              <w:rPr>
                <w:spacing w:val="-2"/>
              </w:rPr>
              <w:t xml:space="preserve"> </w:t>
            </w:r>
            <w:r w:rsidRPr="00F22974">
              <w:t>(page 52)</w:t>
            </w:r>
          </w:p>
        </w:tc>
      </w:tr>
      <w:tr w:rsidR="00FF6216" w:rsidRPr="00CD6495" w14:paraId="4B4EAB58" w14:textId="77777777" w:rsidTr="000268BC">
        <w:trPr>
          <w:cantSplit/>
        </w:trPr>
        <w:tc>
          <w:tcPr>
            <w:tcW w:w="426" w:type="dxa"/>
            <w:tcBorders>
              <w:bottom w:val="single" w:sz="4" w:space="0" w:color="auto"/>
            </w:tcBorders>
          </w:tcPr>
          <w:p w14:paraId="61177063" w14:textId="77777777" w:rsidR="00FF6216" w:rsidRPr="00F22974" w:rsidRDefault="00FF6216" w:rsidP="000268BC">
            <w:pPr>
              <w:pStyle w:val="TableText"/>
              <w:jc w:val="center"/>
            </w:pPr>
            <w:r w:rsidRPr="00F22974">
              <w:t>A.</w:t>
            </w:r>
          </w:p>
        </w:tc>
        <w:tc>
          <w:tcPr>
            <w:tcW w:w="2693" w:type="dxa"/>
            <w:tcBorders>
              <w:bottom w:val="single" w:sz="4" w:space="0" w:color="auto"/>
            </w:tcBorders>
            <w:shd w:val="clear" w:color="auto" w:fill="auto"/>
          </w:tcPr>
          <w:p w14:paraId="5B3F6CEA" w14:textId="77777777" w:rsidR="00FF6216" w:rsidRPr="00F22974" w:rsidRDefault="00FF6216" w:rsidP="000268BC">
            <w:pPr>
              <w:pStyle w:val="TableText"/>
            </w:pPr>
            <w:r w:rsidRPr="00F22974">
              <w:t>The requirement to obtain legal advice is now mandatory in cases involving surrogacy and optional for cases not involving surrogacy.</w:t>
            </w:r>
          </w:p>
        </w:tc>
        <w:tc>
          <w:tcPr>
            <w:tcW w:w="2693" w:type="dxa"/>
            <w:tcBorders>
              <w:bottom w:val="single" w:sz="4" w:space="0" w:color="auto"/>
            </w:tcBorders>
            <w:shd w:val="clear" w:color="auto" w:fill="auto"/>
          </w:tcPr>
          <w:p w14:paraId="2B423CE1" w14:textId="77777777" w:rsidR="00FF6216" w:rsidRPr="00F22974" w:rsidRDefault="00FF6216" w:rsidP="000268BC">
            <w:pPr>
              <w:pStyle w:val="TableText"/>
              <w:rPr>
                <w:spacing w:val="-2"/>
              </w:rPr>
            </w:pPr>
            <w:r w:rsidRPr="00F22974">
              <w:rPr>
                <w:spacing w:val="-2"/>
              </w:rPr>
              <w:t>The previous provision was that parties must have understood legal advice: this requirement was difficult to enforce. Nevertheless, in a surrogacy all affected parties must have received legal advice.</w:t>
            </w:r>
          </w:p>
          <w:p w14:paraId="27263E7C" w14:textId="77777777" w:rsidR="00FF6216" w:rsidRPr="00F22974" w:rsidRDefault="00FF6216" w:rsidP="000268BC">
            <w:pPr>
              <w:pStyle w:val="TableText"/>
              <w:rPr>
                <w:spacing w:val="-2"/>
              </w:rPr>
            </w:pPr>
            <w:r w:rsidRPr="00F22974">
              <w:rPr>
                <w:spacing w:val="-2"/>
              </w:rPr>
              <w:t>In fertility procedures other than surrogacy, the legal implications are simpler but affected parties should still consider seeking legal advice.</w:t>
            </w:r>
          </w:p>
        </w:tc>
        <w:tc>
          <w:tcPr>
            <w:tcW w:w="2977" w:type="dxa"/>
            <w:tcBorders>
              <w:bottom w:val="single" w:sz="4" w:space="0" w:color="auto"/>
            </w:tcBorders>
            <w:shd w:val="clear" w:color="auto" w:fill="auto"/>
          </w:tcPr>
          <w:p w14:paraId="0137DE1D" w14:textId="77777777" w:rsidR="00FF6216" w:rsidRPr="00F22974" w:rsidRDefault="00FF6216" w:rsidP="000268BC">
            <w:pPr>
              <w:pStyle w:val="TableText"/>
              <w:rPr>
                <w:spacing w:val="-2"/>
              </w:rPr>
            </w:pPr>
            <w:r w:rsidRPr="00F22974">
              <w:rPr>
                <w:spacing w:val="-2"/>
              </w:rPr>
              <w:t>In surrogacy cases, the requirement for the parties to receive independent legal reports will continue but counsellors will not have to ascertain whether the parties have understood the advice.</w:t>
            </w:r>
          </w:p>
          <w:p w14:paraId="5750A173" w14:textId="77777777" w:rsidR="00FF6216" w:rsidRPr="00F22974" w:rsidRDefault="00FF6216" w:rsidP="000268BC">
            <w:pPr>
              <w:pStyle w:val="TableText"/>
              <w:rPr>
                <w:spacing w:val="-2"/>
              </w:rPr>
            </w:pPr>
            <w:r w:rsidRPr="00F22974">
              <w:rPr>
                <w:spacing w:val="-2"/>
              </w:rPr>
              <w:t>In cases not involving surrogacy, ECART must be satisfied that the affected parties have considered seeking legal advice.</w:t>
            </w:r>
          </w:p>
        </w:tc>
      </w:tr>
      <w:tr w:rsidR="00FF6216" w:rsidRPr="00F269C2" w14:paraId="1B229D10" w14:textId="77777777" w:rsidTr="000268BC">
        <w:trPr>
          <w:cantSplit/>
        </w:trPr>
        <w:tc>
          <w:tcPr>
            <w:tcW w:w="8789" w:type="dxa"/>
            <w:gridSpan w:val="4"/>
            <w:shd w:val="clear" w:color="auto" w:fill="F2F2F2" w:themeFill="background1" w:themeFillShade="F2"/>
          </w:tcPr>
          <w:p w14:paraId="241029DC" w14:textId="77777777" w:rsidR="00FF6216" w:rsidRPr="00F22974" w:rsidRDefault="00FF6216" w:rsidP="000268BC">
            <w:pPr>
              <w:pStyle w:val="TableText"/>
              <w:keepNext/>
              <w:ind w:left="425" w:hanging="425"/>
              <w:rPr>
                <w:b/>
              </w:rPr>
            </w:pPr>
            <w:bookmarkStart w:id="6" w:name="_Hlk14435422"/>
            <w:r w:rsidRPr="00F22974">
              <w:rPr>
                <w:b/>
                <w:spacing w:val="-2"/>
              </w:rPr>
              <w:lastRenderedPageBreak/>
              <w:t>10.</w:t>
            </w:r>
            <w:r w:rsidRPr="00F22974">
              <w:rPr>
                <w:b/>
                <w:spacing w:val="-2"/>
              </w:rPr>
              <w:tab/>
              <w:t>I</w:t>
            </w:r>
            <w:r w:rsidRPr="00F22974">
              <w:rPr>
                <w:rFonts w:eastAsia="Calibri"/>
                <w:b/>
                <w:spacing w:val="-2"/>
              </w:rPr>
              <w:t>mproved access for donor offspring to information about their genetic origins</w:t>
            </w:r>
            <w:r w:rsidRPr="00F22974">
              <w:rPr>
                <w:spacing w:val="-2"/>
              </w:rPr>
              <w:t xml:space="preserve"> </w:t>
            </w:r>
            <w:r w:rsidRPr="00F22974">
              <w:t>(page 53)</w:t>
            </w:r>
          </w:p>
        </w:tc>
      </w:tr>
      <w:tr w:rsidR="00FF6216" w:rsidRPr="00FC4342" w14:paraId="54AEA7C7" w14:textId="77777777" w:rsidTr="000268BC">
        <w:trPr>
          <w:cantSplit/>
        </w:trPr>
        <w:tc>
          <w:tcPr>
            <w:tcW w:w="426" w:type="dxa"/>
          </w:tcPr>
          <w:p w14:paraId="19F034E0" w14:textId="77777777" w:rsidR="00FF6216" w:rsidRPr="00F22974" w:rsidRDefault="00FF6216" w:rsidP="000268BC">
            <w:pPr>
              <w:pStyle w:val="TableText"/>
            </w:pPr>
            <w:r w:rsidRPr="00F22974">
              <w:t>A.</w:t>
            </w:r>
          </w:p>
        </w:tc>
        <w:tc>
          <w:tcPr>
            <w:tcW w:w="2693" w:type="dxa"/>
            <w:shd w:val="clear" w:color="auto" w:fill="auto"/>
          </w:tcPr>
          <w:p w14:paraId="2F29227C" w14:textId="77777777" w:rsidR="00FF6216" w:rsidRPr="00F22974" w:rsidRDefault="00FF6216" w:rsidP="000268BC">
            <w:pPr>
              <w:pStyle w:val="TableText"/>
            </w:pPr>
            <w:r w:rsidRPr="00F22974">
              <w:t xml:space="preserve">ACART </w:t>
            </w:r>
            <w:r w:rsidRPr="00F22974">
              <w:rPr>
                <w:b/>
              </w:rPr>
              <w:t>recommends</w:t>
            </w:r>
            <w:r w:rsidRPr="00F22974">
              <w:t xml:space="preserve"> </w:t>
            </w:r>
            <w:r w:rsidRPr="00F22974">
              <w:rPr>
                <w:bCs/>
              </w:rPr>
              <w:t>to the Department of Internal Affairs that, on</w:t>
            </w:r>
            <w:r w:rsidRPr="00F22974">
              <w:t xml:space="preserve"> its web page about obtaining birth certificates, it should add a statement that information about people’s genetic origins might be available on the HART register.</w:t>
            </w:r>
          </w:p>
        </w:tc>
        <w:tc>
          <w:tcPr>
            <w:tcW w:w="2693" w:type="dxa"/>
            <w:shd w:val="clear" w:color="auto" w:fill="auto"/>
          </w:tcPr>
          <w:p w14:paraId="581CAFDC" w14:textId="77777777" w:rsidR="00FF6216" w:rsidRPr="00F22974" w:rsidRDefault="00FF6216" w:rsidP="000268BC">
            <w:pPr>
              <w:pStyle w:val="TableText"/>
            </w:pPr>
            <w:r w:rsidRPr="00F22974">
              <w:t>Such a statement would raise awareness about the register and the information it contains.</w:t>
            </w:r>
          </w:p>
          <w:p w14:paraId="5F936954" w14:textId="77777777" w:rsidR="00FF6216" w:rsidRPr="00F22974" w:rsidRDefault="00FF6216" w:rsidP="000268BC">
            <w:pPr>
              <w:pStyle w:val="TableText"/>
              <w:rPr>
                <w:spacing w:val="-2"/>
              </w:rPr>
            </w:pPr>
            <w:r w:rsidRPr="00F22974">
              <w:rPr>
                <w:spacing w:val="-2"/>
              </w:rPr>
              <w:t>Not all donor offspring are aware of their genetic heritage despite the HART Act requirement that offspring from assisted reproduction can learn their genetic heritage.</w:t>
            </w:r>
          </w:p>
          <w:p w14:paraId="353CB6A0" w14:textId="77777777" w:rsidR="00FF6216" w:rsidRPr="00F22974" w:rsidRDefault="00FF6216" w:rsidP="000268BC">
            <w:pPr>
              <w:pStyle w:val="TableText"/>
            </w:pPr>
            <w:r w:rsidRPr="00F22974">
              <w:rPr>
                <w:spacing w:val="-2"/>
              </w:rPr>
              <w:t>This option can be achieved without changes to birth certificates.</w:t>
            </w:r>
          </w:p>
        </w:tc>
        <w:tc>
          <w:tcPr>
            <w:tcW w:w="2977" w:type="dxa"/>
            <w:shd w:val="clear" w:color="auto" w:fill="auto"/>
          </w:tcPr>
          <w:p w14:paraId="7536DC4F" w14:textId="77777777" w:rsidR="00FF6216" w:rsidRPr="00F22974" w:rsidRDefault="00FF6216" w:rsidP="000268BC">
            <w:pPr>
              <w:pStyle w:val="TableText"/>
            </w:pPr>
            <w:r w:rsidRPr="00F22974">
              <w:t xml:space="preserve">The suggested change could raise awareness of the HART register among the </w:t>
            </w:r>
            <w:proofErr w:type="gramStart"/>
            <w:r w:rsidRPr="00F22974">
              <w:t>public, and</w:t>
            </w:r>
            <w:proofErr w:type="gramEnd"/>
            <w:r w:rsidRPr="00F22974">
              <w:t xml:space="preserve"> help donor offspring to learn about their genetic heritage.</w:t>
            </w:r>
          </w:p>
        </w:tc>
      </w:tr>
      <w:tr w:rsidR="00FF6216" w:rsidRPr="006B7798" w14:paraId="02514BCD" w14:textId="77777777" w:rsidTr="000268BC">
        <w:trPr>
          <w:cantSplit/>
        </w:trPr>
        <w:tc>
          <w:tcPr>
            <w:tcW w:w="426" w:type="dxa"/>
          </w:tcPr>
          <w:p w14:paraId="4B67587B" w14:textId="77777777" w:rsidR="00FF6216" w:rsidRPr="00F22974" w:rsidRDefault="00FF6216" w:rsidP="000268BC">
            <w:pPr>
              <w:pStyle w:val="TableText"/>
            </w:pPr>
            <w:r w:rsidRPr="00F22974">
              <w:t>B.</w:t>
            </w:r>
          </w:p>
        </w:tc>
        <w:tc>
          <w:tcPr>
            <w:tcW w:w="2693" w:type="dxa"/>
            <w:shd w:val="clear" w:color="auto" w:fill="auto"/>
          </w:tcPr>
          <w:p w14:paraId="56BA42B2" w14:textId="77777777" w:rsidR="00FF6216" w:rsidRPr="00F22974" w:rsidRDefault="00FF6216" w:rsidP="000268BC">
            <w:pPr>
              <w:pStyle w:val="TableText"/>
            </w:pPr>
            <w:r w:rsidRPr="00F22974">
              <w:t xml:space="preserve">ACART </w:t>
            </w:r>
            <w:r w:rsidRPr="00F22974">
              <w:rPr>
                <w:b/>
              </w:rPr>
              <w:t>recommends</w:t>
            </w:r>
            <w:r w:rsidRPr="00F22974">
              <w:t xml:space="preserve"> that the Births, Deaths, Marriages and Registrations Act should be amended so that birth certificates could include a statement that the Births, Deaths and Marriages register might contain other information that the certificate’s owner may access.</w:t>
            </w:r>
          </w:p>
        </w:tc>
        <w:tc>
          <w:tcPr>
            <w:tcW w:w="2693" w:type="dxa"/>
            <w:shd w:val="clear" w:color="auto" w:fill="auto"/>
          </w:tcPr>
          <w:p w14:paraId="429D829A" w14:textId="77777777" w:rsidR="00FF6216" w:rsidRPr="00F22974" w:rsidRDefault="00FF6216" w:rsidP="000268BC">
            <w:pPr>
              <w:pStyle w:val="TableText"/>
            </w:pPr>
            <w:r w:rsidRPr="00F22974">
              <w:t>Not all donor offspring are aware of their genetic heritage despite the HART Act requirement that offspring from assisted reproduction can learn their genetic heritage.</w:t>
            </w:r>
          </w:p>
          <w:p w14:paraId="2FA822EA" w14:textId="77777777" w:rsidR="00FF6216" w:rsidRPr="00F22974" w:rsidRDefault="00FF6216" w:rsidP="000268BC">
            <w:pPr>
              <w:pStyle w:val="TableText"/>
            </w:pPr>
            <w:r w:rsidRPr="00F22974">
              <w:t>Section 67(1) of the Births, Deaths, Marriages and Registrations Act prescribes the information that can and must be on birth certificates.</w:t>
            </w:r>
          </w:p>
        </w:tc>
        <w:tc>
          <w:tcPr>
            <w:tcW w:w="2977" w:type="dxa"/>
            <w:shd w:val="clear" w:color="auto" w:fill="auto"/>
          </w:tcPr>
          <w:p w14:paraId="60504419" w14:textId="77777777" w:rsidR="00FF6216" w:rsidRPr="00F22974" w:rsidRDefault="00FF6216" w:rsidP="000268BC">
            <w:pPr>
              <w:pStyle w:val="TableText"/>
            </w:pPr>
            <w:r w:rsidRPr="00F22974">
              <w:t xml:space="preserve">The suggested change could raise awareness of the HART register among the </w:t>
            </w:r>
            <w:proofErr w:type="gramStart"/>
            <w:r w:rsidRPr="00F22974">
              <w:t>public, and</w:t>
            </w:r>
            <w:proofErr w:type="gramEnd"/>
            <w:r w:rsidRPr="00F22974">
              <w:t xml:space="preserve"> help donor offspring to learn about their genetic heritage.</w:t>
            </w:r>
          </w:p>
        </w:tc>
      </w:tr>
      <w:bookmarkEnd w:id="6"/>
    </w:tbl>
    <w:p w14:paraId="03D5AD5A" w14:textId="77777777" w:rsidR="00FF6216" w:rsidRPr="00547D02" w:rsidRDefault="00FF6216" w:rsidP="00FF6216"/>
    <w:p w14:paraId="3767F9D0" w14:textId="77777777" w:rsidR="00FF6216" w:rsidRDefault="00FF6216" w:rsidP="00CD0AEB">
      <w:pPr>
        <w:pStyle w:val="Heading1"/>
        <w:sectPr w:rsidR="00FF6216" w:rsidSect="00521CF5">
          <w:footerReference w:type="even" r:id="rId21"/>
          <w:headerReference w:type="first" r:id="rId22"/>
          <w:footerReference w:type="first" r:id="rId23"/>
          <w:pgSz w:w="11907" w:h="16834" w:code="9"/>
          <w:pgMar w:top="1701" w:right="1418" w:bottom="1701" w:left="1701" w:header="0" w:footer="425" w:gutter="0"/>
          <w:pgNumType w:start="1"/>
          <w:cols w:space="720"/>
          <w:titlePg/>
        </w:sectPr>
      </w:pPr>
    </w:p>
    <w:p w14:paraId="2AE7802A" w14:textId="77777777" w:rsidR="00762F00" w:rsidRPr="00155578" w:rsidRDefault="00547D02" w:rsidP="00CD0AEB">
      <w:pPr>
        <w:pStyle w:val="Heading1"/>
      </w:pPr>
      <w:bookmarkStart w:id="7" w:name="_Toc73459697"/>
      <w:r>
        <w:lastRenderedPageBreak/>
        <w:t>Recommendations</w:t>
      </w:r>
      <w:bookmarkEnd w:id="7"/>
    </w:p>
    <w:p w14:paraId="0E2C8D20" w14:textId="77777777" w:rsidR="00547D02" w:rsidRPr="001503AD" w:rsidRDefault="00547D02" w:rsidP="002D6FC1">
      <w:pPr>
        <w:pStyle w:val="Number"/>
        <w:rPr>
          <w:rFonts w:eastAsia="Calibri"/>
        </w:rPr>
      </w:pPr>
      <w:bookmarkStart w:id="8" w:name="_Toc373151668"/>
      <w:r>
        <w:rPr>
          <w:rFonts w:eastAsia="Calibri"/>
        </w:rPr>
        <w:t xml:space="preserve">We recommend </w:t>
      </w:r>
      <w:r w:rsidRPr="001503AD">
        <w:rPr>
          <w:rFonts w:eastAsia="Calibri"/>
        </w:rPr>
        <w:t xml:space="preserve">that </w:t>
      </w:r>
      <w:r>
        <w:rPr>
          <w:rFonts w:eastAsia="Calibri"/>
        </w:rPr>
        <w:t>you:</w:t>
      </w:r>
    </w:p>
    <w:tbl>
      <w:tblPr>
        <w:tblW w:w="8330" w:type="dxa"/>
        <w:tblInd w:w="567" w:type="dxa"/>
        <w:tblLayout w:type="fixed"/>
        <w:tblLook w:val="04A0" w:firstRow="1" w:lastRow="0" w:firstColumn="1" w:lastColumn="0" w:noHBand="0" w:noVBand="1"/>
      </w:tblPr>
      <w:tblGrid>
        <w:gridCol w:w="567"/>
        <w:gridCol w:w="6629"/>
        <w:gridCol w:w="1134"/>
      </w:tblGrid>
      <w:tr w:rsidR="00547D02" w:rsidRPr="00BE1DEA" w14:paraId="67C6F107" w14:textId="77777777" w:rsidTr="000B1E32">
        <w:trPr>
          <w:cantSplit/>
        </w:trPr>
        <w:tc>
          <w:tcPr>
            <w:tcW w:w="567" w:type="dxa"/>
            <w:shd w:val="clear" w:color="auto" w:fill="auto"/>
          </w:tcPr>
          <w:p w14:paraId="5E2EAB23" w14:textId="77777777" w:rsidR="00547D02" w:rsidRPr="00E51DAD" w:rsidRDefault="00547D02" w:rsidP="000B1E32">
            <w:pPr>
              <w:pStyle w:val="TableText"/>
              <w:spacing w:before="180" w:after="0"/>
              <w:rPr>
                <w:sz w:val="20"/>
              </w:rPr>
            </w:pPr>
            <w:r w:rsidRPr="00E51DAD">
              <w:rPr>
                <w:sz w:val="20"/>
              </w:rPr>
              <w:t>1</w:t>
            </w:r>
          </w:p>
        </w:tc>
        <w:tc>
          <w:tcPr>
            <w:tcW w:w="6629" w:type="dxa"/>
            <w:shd w:val="clear" w:color="auto" w:fill="auto"/>
          </w:tcPr>
          <w:p w14:paraId="3F68457E" w14:textId="77777777" w:rsidR="00547D02" w:rsidRPr="00E51DAD" w:rsidRDefault="00547D02" w:rsidP="000B1E32">
            <w:pPr>
              <w:pStyle w:val="TableText"/>
              <w:spacing w:before="180" w:after="0"/>
              <w:rPr>
                <w:sz w:val="20"/>
              </w:rPr>
            </w:pPr>
            <w:r w:rsidRPr="00E51DAD">
              <w:rPr>
                <w:b/>
                <w:sz w:val="20"/>
              </w:rPr>
              <w:t>note</w:t>
            </w:r>
            <w:r w:rsidRPr="00E51DAD">
              <w:rPr>
                <w:sz w:val="20"/>
              </w:rPr>
              <w:t xml:space="preserve"> ACART is about to issue the first set of combined, amended guidelines for the donation of eggs, sperm and embryos and for surrogacy</w:t>
            </w:r>
          </w:p>
        </w:tc>
        <w:tc>
          <w:tcPr>
            <w:tcW w:w="1134" w:type="dxa"/>
          </w:tcPr>
          <w:p w14:paraId="1E3EBC35" w14:textId="77777777" w:rsidR="00547D02" w:rsidRPr="00E51DAD" w:rsidRDefault="00547D02" w:rsidP="000B1E32">
            <w:pPr>
              <w:pStyle w:val="TableText"/>
              <w:spacing w:before="180" w:after="0"/>
              <w:jc w:val="right"/>
              <w:rPr>
                <w:sz w:val="20"/>
              </w:rPr>
            </w:pPr>
          </w:p>
        </w:tc>
      </w:tr>
      <w:tr w:rsidR="00547D02" w:rsidRPr="00BE1DEA" w14:paraId="7BFD71D7" w14:textId="77777777" w:rsidTr="000B1E32">
        <w:trPr>
          <w:cantSplit/>
        </w:trPr>
        <w:tc>
          <w:tcPr>
            <w:tcW w:w="567" w:type="dxa"/>
            <w:shd w:val="clear" w:color="auto" w:fill="auto"/>
          </w:tcPr>
          <w:p w14:paraId="56198716" w14:textId="77777777" w:rsidR="00547D02" w:rsidRPr="00E51DAD" w:rsidRDefault="00547D02" w:rsidP="000B1E32">
            <w:pPr>
              <w:pStyle w:val="TableText"/>
              <w:spacing w:before="180" w:after="0"/>
              <w:rPr>
                <w:sz w:val="20"/>
              </w:rPr>
            </w:pPr>
            <w:r w:rsidRPr="00E51DAD">
              <w:rPr>
                <w:sz w:val="20"/>
              </w:rPr>
              <w:t>2</w:t>
            </w:r>
          </w:p>
        </w:tc>
        <w:tc>
          <w:tcPr>
            <w:tcW w:w="6629" w:type="dxa"/>
            <w:shd w:val="clear" w:color="auto" w:fill="auto"/>
          </w:tcPr>
          <w:p w14:paraId="2C604643" w14:textId="77777777" w:rsidR="00547D02" w:rsidRPr="00E51DAD" w:rsidRDefault="00547D02" w:rsidP="000B1E32">
            <w:pPr>
              <w:pStyle w:val="TableText"/>
              <w:spacing w:before="180" w:after="0"/>
              <w:rPr>
                <w:sz w:val="20"/>
              </w:rPr>
            </w:pPr>
            <w:r w:rsidRPr="00E51DAD">
              <w:rPr>
                <w:b/>
                <w:sz w:val="20"/>
              </w:rPr>
              <w:t>agree</w:t>
            </w:r>
            <w:r w:rsidRPr="00E51DAD">
              <w:rPr>
                <w:sz w:val="20"/>
              </w:rPr>
              <w:t xml:space="preserve"> to recommend to Cabinet a change to the HART Order to state that all embryo donations are assisted reproductive procedures</w:t>
            </w:r>
          </w:p>
        </w:tc>
        <w:tc>
          <w:tcPr>
            <w:tcW w:w="1134" w:type="dxa"/>
          </w:tcPr>
          <w:p w14:paraId="04744811" w14:textId="77777777" w:rsidR="00547D02" w:rsidRPr="00E51DAD" w:rsidRDefault="00547D02" w:rsidP="000B1E32">
            <w:pPr>
              <w:pStyle w:val="TableText"/>
              <w:spacing w:before="180" w:after="0"/>
              <w:jc w:val="right"/>
              <w:rPr>
                <w:sz w:val="20"/>
              </w:rPr>
            </w:pPr>
            <w:r w:rsidRPr="00E51DAD">
              <w:rPr>
                <w:sz w:val="20"/>
              </w:rPr>
              <w:t>Yes / No</w:t>
            </w:r>
          </w:p>
        </w:tc>
      </w:tr>
      <w:tr w:rsidR="00547D02" w:rsidRPr="00BE1DEA" w14:paraId="21495D28" w14:textId="77777777" w:rsidTr="000B1E32">
        <w:trPr>
          <w:cantSplit/>
        </w:trPr>
        <w:tc>
          <w:tcPr>
            <w:tcW w:w="567" w:type="dxa"/>
            <w:shd w:val="clear" w:color="auto" w:fill="auto"/>
          </w:tcPr>
          <w:p w14:paraId="450531C0" w14:textId="77777777" w:rsidR="00547D02" w:rsidRPr="00E51DAD" w:rsidRDefault="00547D02" w:rsidP="000B1E32">
            <w:pPr>
              <w:pStyle w:val="TableText"/>
              <w:spacing w:before="180" w:after="0"/>
              <w:rPr>
                <w:sz w:val="20"/>
              </w:rPr>
            </w:pPr>
            <w:r w:rsidRPr="00E51DAD">
              <w:rPr>
                <w:sz w:val="20"/>
              </w:rPr>
              <w:t>3</w:t>
            </w:r>
          </w:p>
        </w:tc>
        <w:tc>
          <w:tcPr>
            <w:tcW w:w="6629" w:type="dxa"/>
            <w:shd w:val="clear" w:color="auto" w:fill="auto"/>
          </w:tcPr>
          <w:p w14:paraId="73527B46" w14:textId="77777777" w:rsidR="00547D02" w:rsidRPr="00E51DAD" w:rsidRDefault="00547D02" w:rsidP="000B1E32">
            <w:pPr>
              <w:pStyle w:val="TableText"/>
              <w:spacing w:before="180" w:after="0"/>
              <w:rPr>
                <w:sz w:val="20"/>
              </w:rPr>
            </w:pPr>
            <w:r w:rsidRPr="00E51DAD">
              <w:rPr>
                <w:b/>
                <w:sz w:val="20"/>
              </w:rPr>
              <w:t>agree</w:t>
            </w:r>
            <w:r w:rsidRPr="00E51DAD">
              <w:rPr>
                <w:sz w:val="20"/>
              </w:rPr>
              <w:t xml:space="preserve"> to recommend to Cabinet a change to the HART Order to state that the use of embryos in one </w:t>
            </w:r>
            <w:proofErr w:type="gramStart"/>
            <w:r w:rsidRPr="00E51DAD">
              <w:rPr>
                <w:sz w:val="20"/>
              </w:rPr>
              <w:t>particular scenario</w:t>
            </w:r>
            <w:proofErr w:type="gramEnd"/>
            <w:r w:rsidRPr="00E51DAD">
              <w:rPr>
                <w:sz w:val="20"/>
              </w:rPr>
              <w:t xml:space="preserve"> is not an assisted reproductive procedure</w:t>
            </w:r>
          </w:p>
        </w:tc>
        <w:tc>
          <w:tcPr>
            <w:tcW w:w="1134" w:type="dxa"/>
          </w:tcPr>
          <w:p w14:paraId="3E50152E" w14:textId="77777777" w:rsidR="00547D02" w:rsidRPr="00E51DAD" w:rsidRDefault="00547D02" w:rsidP="000B1E32">
            <w:pPr>
              <w:pStyle w:val="TableText"/>
              <w:spacing w:before="180" w:after="0"/>
              <w:jc w:val="right"/>
              <w:rPr>
                <w:sz w:val="20"/>
              </w:rPr>
            </w:pPr>
            <w:r w:rsidRPr="00E51DAD">
              <w:rPr>
                <w:sz w:val="20"/>
              </w:rPr>
              <w:t>Yes / No</w:t>
            </w:r>
          </w:p>
        </w:tc>
      </w:tr>
      <w:tr w:rsidR="00547D02" w:rsidRPr="00BE1DEA" w14:paraId="6EB22000" w14:textId="77777777" w:rsidTr="000B1E32">
        <w:trPr>
          <w:cantSplit/>
        </w:trPr>
        <w:tc>
          <w:tcPr>
            <w:tcW w:w="567" w:type="dxa"/>
            <w:shd w:val="clear" w:color="auto" w:fill="auto"/>
          </w:tcPr>
          <w:p w14:paraId="16877A09" w14:textId="77777777" w:rsidR="00547D02" w:rsidRPr="00E51DAD" w:rsidRDefault="00547D02" w:rsidP="000B1E32">
            <w:pPr>
              <w:pStyle w:val="TableText"/>
              <w:spacing w:before="180" w:after="0"/>
              <w:rPr>
                <w:sz w:val="20"/>
              </w:rPr>
            </w:pPr>
            <w:r w:rsidRPr="00E51DAD">
              <w:rPr>
                <w:sz w:val="20"/>
              </w:rPr>
              <w:t>4</w:t>
            </w:r>
          </w:p>
        </w:tc>
        <w:tc>
          <w:tcPr>
            <w:tcW w:w="6629" w:type="dxa"/>
            <w:shd w:val="clear" w:color="auto" w:fill="auto"/>
          </w:tcPr>
          <w:p w14:paraId="66616F14" w14:textId="77777777" w:rsidR="00547D02" w:rsidRPr="00E51DAD" w:rsidRDefault="00547D02" w:rsidP="000B1E32">
            <w:pPr>
              <w:pStyle w:val="TableText"/>
              <w:spacing w:before="180" w:after="0"/>
              <w:rPr>
                <w:sz w:val="20"/>
              </w:rPr>
            </w:pPr>
            <w:r w:rsidRPr="00E51DAD">
              <w:rPr>
                <w:b/>
                <w:sz w:val="20"/>
              </w:rPr>
              <w:t>agree</w:t>
            </w:r>
            <w:r w:rsidRPr="00E51DAD">
              <w:rPr>
                <w:sz w:val="20"/>
              </w:rPr>
              <w:t xml:space="preserve"> to recommend to Cabinet a change to the HART Order to state that all clinic assisted surrogacies are assisted reproductive procedures</w:t>
            </w:r>
          </w:p>
        </w:tc>
        <w:tc>
          <w:tcPr>
            <w:tcW w:w="1134" w:type="dxa"/>
          </w:tcPr>
          <w:p w14:paraId="42EF3ADE" w14:textId="77777777" w:rsidR="00547D02" w:rsidRPr="00E51DAD" w:rsidRDefault="00547D02" w:rsidP="000B1E32">
            <w:pPr>
              <w:pStyle w:val="TableText"/>
              <w:spacing w:before="180" w:after="0"/>
              <w:jc w:val="right"/>
              <w:rPr>
                <w:sz w:val="20"/>
              </w:rPr>
            </w:pPr>
            <w:r w:rsidRPr="00E51DAD">
              <w:rPr>
                <w:sz w:val="20"/>
              </w:rPr>
              <w:t>Yes / No</w:t>
            </w:r>
          </w:p>
        </w:tc>
      </w:tr>
      <w:tr w:rsidR="00547D02" w:rsidRPr="00BE1DEA" w14:paraId="61C3EE59" w14:textId="77777777" w:rsidTr="000B1E32">
        <w:trPr>
          <w:cantSplit/>
        </w:trPr>
        <w:tc>
          <w:tcPr>
            <w:tcW w:w="567" w:type="dxa"/>
            <w:shd w:val="clear" w:color="auto" w:fill="auto"/>
          </w:tcPr>
          <w:p w14:paraId="42829989" w14:textId="77777777" w:rsidR="00547D02" w:rsidRPr="00E51DAD" w:rsidRDefault="00547D02" w:rsidP="000B1E32">
            <w:pPr>
              <w:pStyle w:val="TableText"/>
              <w:spacing w:before="180" w:after="0"/>
              <w:rPr>
                <w:sz w:val="20"/>
              </w:rPr>
            </w:pPr>
            <w:r w:rsidRPr="00E51DAD">
              <w:rPr>
                <w:sz w:val="20"/>
              </w:rPr>
              <w:t>5</w:t>
            </w:r>
          </w:p>
        </w:tc>
        <w:tc>
          <w:tcPr>
            <w:tcW w:w="6629" w:type="dxa"/>
            <w:shd w:val="clear" w:color="auto" w:fill="auto"/>
          </w:tcPr>
          <w:p w14:paraId="2748E839" w14:textId="77777777" w:rsidR="00547D02" w:rsidRPr="00E51DAD" w:rsidRDefault="00547D02" w:rsidP="000B1E32">
            <w:pPr>
              <w:pStyle w:val="TableText"/>
              <w:spacing w:before="180" w:after="0"/>
              <w:rPr>
                <w:sz w:val="20"/>
              </w:rPr>
            </w:pPr>
            <w:r w:rsidRPr="00E51DAD">
              <w:rPr>
                <w:b/>
                <w:sz w:val="20"/>
              </w:rPr>
              <w:t>agree</w:t>
            </w:r>
            <w:r w:rsidRPr="00E51DAD">
              <w:rPr>
                <w:sz w:val="20"/>
              </w:rPr>
              <w:t xml:space="preserve"> that the Births, Deaths, Marriages and Registrations Act should be amended so that birth certificates could include a statement that the Births, Deaths and Marriages register might contain other information that the certificate</w:t>
            </w:r>
            <w:r w:rsidR="000A0B49">
              <w:rPr>
                <w:sz w:val="20"/>
              </w:rPr>
              <w:t>’</w:t>
            </w:r>
            <w:r w:rsidRPr="00E51DAD">
              <w:rPr>
                <w:sz w:val="20"/>
              </w:rPr>
              <w:t>s owner may access</w:t>
            </w:r>
          </w:p>
        </w:tc>
        <w:tc>
          <w:tcPr>
            <w:tcW w:w="1134" w:type="dxa"/>
          </w:tcPr>
          <w:p w14:paraId="3301A92D" w14:textId="77777777" w:rsidR="00547D02" w:rsidRPr="00E51DAD" w:rsidRDefault="00547D02" w:rsidP="000B1E32">
            <w:pPr>
              <w:pStyle w:val="TableText"/>
              <w:spacing w:before="180" w:after="0"/>
              <w:jc w:val="right"/>
              <w:rPr>
                <w:sz w:val="20"/>
              </w:rPr>
            </w:pPr>
            <w:r w:rsidRPr="00E51DAD">
              <w:rPr>
                <w:sz w:val="20"/>
              </w:rPr>
              <w:t>Yes / No</w:t>
            </w:r>
          </w:p>
        </w:tc>
      </w:tr>
      <w:tr w:rsidR="00547D02" w:rsidRPr="00BE1DEA" w14:paraId="69CDBFD2" w14:textId="77777777" w:rsidTr="000B1E32">
        <w:trPr>
          <w:cantSplit/>
        </w:trPr>
        <w:tc>
          <w:tcPr>
            <w:tcW w:w="567" w:type="dxa"/>
            <w:shd w:val="clear" w:color="auto" w:fill="auto"/>
          </w:tcPr>
          <w:p w14:paraId="349BC5B8" w14:textId="77777777" w:rsidR="00547D02" w:rsidRPr="00E51DAD" w:rsidRDefault="00547D02" w:rsidP="000B1E32">
            <w:pPr>
              <w:pStyle w:val="TableText"/>
              <w:spacing w:before="180" w:after="0"/>
              <w:rPr>
                <w:sz w:val="20"/>
              </w:rPr>
            </w:pPr>
            <w:r w:rsidRPr="00E51DAD">
              <w:rPr>
                <w:sz w:val="20"/>
              </w:rPr>
              <w:t>6</w:t>
            </w:r>
          </w:p>
        </w:tc>
        <w:tc>
          <w:tcPr>
            <w:tcW w:w="6629" w:type="dxa"/>
            <w:shd w:val="clear" w:color="auto" w:fill="auto"/>
          </w:tcPr>
          <w:p w14:paraId="56FCE135" w14:textId="77777777" w:rsidR="00547D02" w:rsidRPr="00E51DAD" w:rsidRDefault="00547D02" w:rsidP="000B1E32">
            <w:pPr>
              <w:pStyle w:val="TableText"/>
              <w:spacing w:before="180" w:after="0"/>
              <w:rPr>
                <w:sz w:val="20"/>
              </w:rPr>
            </w:pPr>
            <w:r w:rsidRPr="00E51DAD">
              <w:rPr>
                <w:b/>
                <w:sz w:val="20"/>
              </w:rPr>
              <w:t>present</w:t>
            </w:r>
            <w:r w:rsidRPr="00E51DAD">
              <w:rPr>
                <w:sz w:val="20"/>
              </w:rPr>
              <w:t xml:space="preserve"> a copy of the guidelines to the House of Representatives in accordance with section 36(3) of the HART Act</w:t>
            </w:r>
          </w:p>
        </w:tc>
        <w:tc>
          <w:tcPr>
            <w:tcW w:w="1134" w:type="dxa"/>
          </w:tcPr>
          <w:p w14:paraId="3E58A564" w14:textId="77777777" w:rsidR="00547D02" w:rsidRPr="00E51DAD" w:rsidRDefault="00547D02" w:rsidP="000B1E32">
            <w:pPr>
              <w:pStyle w:val="TableText"/>
              <w:spacing w:before="180" w:after="0"/>
              <w:jc w:val="right"/>
              <w:rPr>
                <w:sz w:val="20"/>
              </w:rPr>
            </w:pPr>
            <w:r w:rsidRPr="00E51DAD">
              <w:rPr>
                <w:sz w:val="20"/>
              </w:rPr>
              <w:t>Yes / No</w:t>
            </w:r>
          </w:p>
        </w:tc>
      </w:tr>
      <w:tr w:rsidR="00547D02" w:rsidRPr="00BE1DEA" w14:paraId="45C3C3A4" w14:textId="77777777" w:rsidTr="000B1E32">
        <w:trPr>
          <w:cantSplit/>
        </w:trPr>
        <w:tc>
          <w:tcPr>
            <w:tcW w:w="567" w:type="dxa"/>
            <w:shd w:val="clear" w:color="auto" w:fill="auto"/>
          </w:tcPr>
          <w:p w14:paraId="1544DAF8" w14:textId="77777777" w:rsidR="00547D02" w:rsidRPr="00E51DAD" w:rsidRDefault="00547D02" w:rsidP="000B1E32">
            <w:pPr>
              <w:pStyle w:val="TableText"/>
              <w:spacing w:before="180" w:after="0"/>
              <w:rPr>
                <w:sz w:val="20"/>
              </w:rPr>
            </w:pPr>
            <w:r w:rsidRPr="00E51DAD">
              <w:rPr>
                <w:sz w:val="20"/>
              </w:rPr>
              <w:t>7</w:t>
            </w:r>
          </w:p>
        </w:tc>
        <w:tc>
          <w:tcPr>
            <w:tcW w:w="6629" w:type="dxa"/>
            <w:shd w:val="clear" w:color="auto" w:fill="auto"/>
          </w:tcPr>
          <w:p w14:paraId="0D91235B" w14:textId="77777777" w:rsidR="00547D02" w:rsidRPr="00E51DAD" w:rsidRDefault="00547D02" w:rsidP="000B1E32">
            <w:pPr>
              <w:pStyle w:val="TableText"/>
              <w:spacing w:before="180" w:after="0"/>
              <w:rPr>
                <w:sz w:val="20"/>
              </w:rPr>
            </w:pPr>
            <w:r w:rsidRPr="00E51DAD">
              <w:rPr>
                <w:b/>
                <w:bCs/>
                <w:sz w:val="20"/>
              </w:rPr>
              <w:t>note</w:t>
            </w:r>
            <w:r w:rsidRPr="00E51DAD">
              <w:rPr>
                <w:sz w:val="20"/>
              </w:rPr>
              <w:t xml:space="preserve"> these first combined guidelines will be used before and until the HART Order is changed and will then be updated </w:t>
            </w:r>
            <w:proofErr w:type="gramStart"/>
            <w:r w:rsidRPr="00E51DAD">
              <w:rPr>
                <w:sz w:val="20"/>
              </w:rPr>
              <w:t>if and when</w:t>
            </w:r>
            <w:proofErr w:type="gramEnd"/>
            <w:r w:rsidRPr="00E51DAD">
              <w:rPr>
                <w:sz w:val="20"/>
              </w:rPr>
              <w:t xml:space="preserve"> the HART Order is changed as recommended.</w:t>
            </w:r>
          </w:p>
        </w:tc>
        <w:tc>
          <w:tcPr>
            <w:tcW w:w="1134" w:type="dxa"/>
          </w:tcPr>
          <w:p w14:paraId="14060392" w14:textId="77777777" w:rsidR="00547D02" w:rsidRPr="00E51DAD" w:rsidRDefault="00547D02" w:rsidP="000B1E32">
            <w:pPr>
              <w:pStyle w:val="TableText"/>
              <w:spacing w:before="180" w:after="0"/>
              <w:jc w:val="right"/>
              <w:rPr>
                <w:sz w:val="20"/>
              </w:rPr>
            </w:pPr>
          </w:p>
        </w:tc>
      </w:tr>
    </w:tbl>
    <w:p w14:paraId="02354EFC" w14:textId="77777777" w:rsidR="00547D02" w:rsidRPr="001503AD" w:rsidRDefault="00547D02" w:rsidP="002D6FC1">
      <w:pPr>
        <w:spacing w:before="1200"/>
        <w:rPr>
          <w:b/>
        </w:rPr>
      </w:pPr>
      <w:r>
        <w:t>Dr Kathleen Logan</w:t>
      </w:r>
    </w:p>
    <w:p w14:paraId="5223DC4F" w14:textId="77777777" w:rsidR="00547D02" w:rsidRPr="002D6FC1" w:rsidRDefault="00547D02" w:rsidP="002D6FC1">
      <w:pPr>
        <w:rPr>
          <w:b/>
        </w:rPr>
      </w:pPr>
      <w:r w:rsidRPr="002D6FC1">
        <w:rPr>
          <w:b/>
        </w:rPr>
        <w:t>Chair, Advisory Committee on Assisted Reproductive Technology</w:t>
      </w:r>
    </w:p>
    <w:p w14:paraId="44C79679" w14:textId="77777777" w:rsidR="00547D02" w:rsidRPr="002D6FC1" w:rsidRDefault="00547D02" w:rsidP="002D6FC1">
      <w:pPr>
        <w:tabs>
          <w:tab w:val="left" w:pos="5670"/>
        </w:tabs>
        <w:spacing w:before="1200"/>
        <w:rPr>
          <w:b/>
        </w:rPr>
      </w:pPr>
      <w:r w:rsidRPr="002D6FC1">
        <w:rPr>
          <w:b/>
        </w:rPr>
        <w:t>Minister</w:t>
      </w:r>
      <w:r w:rsidR="000A0B49" w:rsidRPr="002D6FC1">
        <w:rPr>
          <w:b/>
        </w:rPr>
        <w:t>’</w:t>
      </w:r>
      <w:r w:rsidRPr="002D6FC1">
        <w:rPr>
          <w:b/>
        </w:rPr>
        <w:t>s signature</w:t>
      </w:r>
      <w:r>
        <w:tab/>
      </w:r>
      <w:r w:rsidRPr="002D6FC1">
        <w:rPr>
          <w:b/>
        </w:rPr>
        <w:t>Date</w:t>
      </w:r>
    </w:p>
    <w:p w14:paraId="37E46D49" w14:textId="77777777" w:rsidR="00547D02" w:rsidRDefault="00547D02" w:rsidP="002D6FC1">
      <w:pPr>
        <w:rPr>
          <w:highlight w:val="yellow"/>
        </w:rPr>
      </w:pPr>
    </w:p>
    <w:tbl>
      <w:tblPr>
        <w:tblW w:w="4881"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178"/>
        <w:gridCol w:w="3379"/>
        <w:gridCol w:w="1242"/>
        <w:gridCol w:w="2764"/>
      </w:tblGrid>
      <w:tr w:rsidR="00547D02" w:rsidRPr="00A52166" w14:paraId="3926AAB9" w14:textId="77777777" w:rsidTr="002D6FC1">
        <w:trPr>
          <w:cantSplit/>
        </w:trPr>
        <w:tc>
          <w:tcPr>
            <w:tcW w:w="2661" w:type="pct"/>
            <w:gridSpan w:val="2"/>
            <w:tcBorders>
              <w:left w:val="single" w:sz="6" w:space="0" w:color="808080"/>
            </w:tcBorders>
          </w:tcPr>
          <w:p w14:paraId="51414E61" w14:textId="77777777" w:rsidR="00547D02" w:rsidRPr="001503AD" w:rsidRDefault="00547D02" w:rsidP="002D6FC1">
            <w:pPr>
              <w:pStyle w:val="TableText"/>
            </w:pPr>
            <w:r>
              <w:t>Dr Kathleen Logan</w:t>
            </w:r>
          </w:p>
        </w:tc>
        <w:tc>
          <w:tcPr>
            <w:tcW w:w="2339" w:type="pct"/>
            <w:gridSpan w:val="2"/>
            <w:tcBorders>
              <w:right w:val="single" w:sz="6" w:space="0" w:color="808080"/>
            </w:tcBorders>
          </w:tcPr>
          <w:p w14:paraId="5168B64E" w14:textId="77777777" w:rsidR="00547D02" w:rsidRPr="001503AD" w:rsidRDefault="00547D02" w:rsidP="002D6FC1">
            <w:pPr>
              <w:pStyle w:val="TableText"/>
            </w:pPr>
            <w:r>
              <w:t>Martin Kennedy</w:t>
            </w:r>
          </w:p>
        </w:tc>
      </w:tr>
      <w:tr w:rsidR="00547D02" w:rsidRPr="00A52166" w14:paraId="508B535F" w14:textId="77777777" w:rsidTr="002D6FC1">
        <w:trPr>
          <w:cantSplit/>
        </w:trPr>
        <w:tc>
          <w:tcPr>
            <w:tcW w:w="2661" w:type="pct"/>
            <w:gridSpan w:val="2"/>
            <w:tcBorders>
              <w:left w:val="single" w:sz="6" w:space="0" w:color="808080"/>
            </w:tcBorders>
          </w:tcPr>
          <w:p w14:paraId="1B7053A0" w14:textId="77777777" w:rsidR="00547D02" w:rsidRPr="001503AD" w:rsidRDefault="00547D02" w:rsidP="002D6FC1">
            <w:pPr>
              <w:pStyle w:val="TableText"/>
            </w:pPr>
            <w:r w:rsidRPr="001503AD">
              <w:t>Chair,</w:t>
            </w:r>
            <w:r>
              <w:t xml:space="preserve"> ACART</w:t>
            </w:r>
          </w:p>
        </w:tc>
        <w:tc>
          <w:tcPr>
            <w:tcW w:w="2339" w:type="pct"/>
            <w:gridSpan w:val="2"/>
            <w:tcBorders>
              <w:right w:val="single" w:sz="6" w:space="0" w:color="808080"/>
            </w:tcBorders>
          </w:tcPr>
          <w:p w14:paraId="3F44E17D" w14:textId="77777777" w:rsidR="00547D02" w:rsidRPr="001503AD" w:rsidRDefault="00547D02" w:rsidP="002D6FC1">
            <w:pPr>
              <w:pStyle w:val="TableText"/>
            </w:pPr>
            <w:r>
              <w:t xml:space="preserve">Senior </w:t>
            </w:r>
            <w:r w:rsidRPr="001503AD">
              <w:t>Policy Analyst</w:t>
            </w:r>
            <w:r>
              <w:t>, Ministry of Health</w:t>
            </w:r>
          </w:p>
        </w:tc>
      </w:tr>
      <w:tr w:rsidR="002D6FC1" w:rsidRPr="00A52166" w14:paraId="243C1CDB" w14:textId="77777777" w:rsidTr="002D6FC1">
        <w:trPr>
          <w:cantSplit/>
        </w:trPr>
        <w:tc>
          <w:tcPr>
            <w:tcW w:w="688" w:type="pct"/>
            <w:tcBorders>
              <w:left w:val="single" w:sz="6" w:space="0" w:color="808080"/>
            </w:tcBorders>
          </w:tcPr>
          <w:p w14:paraId="0C0A50FC" w14:textId="77777777" w:rsidR="00547D02" w:rsidRPr="001503AD" w:rsidRDefault="00547D02" w:rsidP="002D6FC1">
            <w:pPr>
              <w:pStyle w:val="TableText"/>
            </w:pPr>
            <w:r w:rsidRPr="001503AD">
              <w:t>Phone</w:t>
            </w:r>
          </w:p>
        </w:tc>
        <w:tc>
          <w:tcPr>
            <w:tcW w:w="1973" w:type="pct"/>
          </w:tcPr>
          <w:p w14:paraId="02D1957D" w14:textId="77777777" w:rsidR="00547D02" w:rsidRPr="001503AD" w:rsidRDefault="00547D02" w:rsidP="002D6FC1">
            <w:pPr>
              <w:pStyle w:val="TableText"/>
            </w:pPr>
            <w:r>
              <w:t xml:space="preserve">04 495 7804 </w:t>
            </w:r>
            <w:r w:rsidRPr="001503AD">
              <w:t>(business)</w:t>
            </w:r>
          </w:p>
        </w:tc>
        <w:tc>
          <w:tcPr>
            <w:tcW w:w="725" w:type="pct"/>
          </w:tcPr>
          <w:p w14:paraId="3D6089E4" w14:textId="77777777" w:rsidR="00547D02" w:rsidRPr="001503AD" w:rsidRDefault="00547D02" w:rsidP="002D6FC1">
            <w:pPr>
              <w:pStyle w:val="TableText"/>
            </w:pPr>
            <w:r w:rsidRPr="001503AD">
              <w:t>Phone</w:t>
            </w:r>
          </w:p>
        </w:tc>
        <w:tc>
          <w:tcPr>
            <w:tcW w:w="1614" w:type="pct"/>
            <w:tcBorders>
              <w:right w:val="single" w:sz="6" w:space="0" w:color="808080"/>
            </w:tcBorders>
          </w:tcPr>
          <w:p w14:paraId="3B96D37C" w14:textId="77777777" w:rsidR="00547D02" w:rsidRPr="001503AD" w:rsidRDefault="00547D02" w:rsidP="002D6FC1">
            <w:pPr>
              <w:pStyle w:val="TableText"/>
            </w:pPr>
            <w:r w:rsidRPr="001503AD">
              <w:t xml:space="preserve">04 816 </w:t>
            </w:r>
            <w:r>
              <w:t>4459</w:t>
            </w:r>
          </w:p>
        </w:tc>
      </w:tr>
      <w:tr w:rsidR="002D6FC1" w:rsidRPr="00A52166" w14:paraId="59821A53" w14:textId="77777777" w:rsidTr="002D6FC1">
        <w:trPr>
          <w:cantSplit/>
        </w:trPr>
        <w:tc>
          <w:tcPr>
            <w:tcW w:w="688" w:type="pct"/>
            <w:tcBorders>
              <w:left w:val="single" w:sz="6" w:space="0" w:color="808080"/>
            </w:tcBorders>
          </w:tcPr>
          <w:p w14:paraId="312BCB1C" w14:textId="77777777" w:rsidR="00547D02" w:rsidRPr="001503AD" w:rsidRDefault="00547D02" w:rsidP="002D6FC1">
            <w:pPr>
              <w:pStyle w:val="TableText"/>
            </w:pPr>
            <w:proofErr w:type="spellStart"/>
            <w:r w:rsidRPr="001503AD">
              <w:t>Cellphone</w:t>
            </w:r>
            <w:proofErr w:type="spellEnd"/>
          </w:p>
        </w:tc>
        <w:tc>
          <w:tcPr>
            <w:tcW w:w="1973" w:type="pct"/>
          </w:tcPr>
          <w:p w14:paraId="781BCAEF" w14:textId="77777777" w:rsidR="00547D02" w:rsidRPr="001503AD" w:rsidRDefault="00547D02" w:rsidP="002D6FC1">
            <w:pPr>
              <w:pStyle w:val="TableText"/>
            </w:pPr>
          </w:p>
        </w:tc>
        <w:tc>
          <w:tcPr>
            <w:tcW w:w="725" w:type="pct"/>
          </w:tcPr>
          <w:p w14:paraId="5D4523E4" w14:textId="77777777" w:rsidR="00547D02" w:rsidRPr="001503AD" w:rsidRDefault="00547D02" w:rsidP="002D6FC1">
            <w:pPr>
              <w:pStyle w:val="TableText"/>
            </w:pPr>
            <w:proofErr w:type="spellStart"/>
            <w:r w:rsidRPr="001503AD">
              <w:t>Cellphone</w:t>
            </w:r>
            <w:proofErr w:type="spellEnd"/>
          </w:p>
        </w:tc>
        <w:tc>
          <w:tcPr>
            <w:tcW w:w="1614" w:type="pct"/>
            <w:tcBorders>
              <w:right w:val="single" w:sz="6" w:space="0" w:color="808080"/>
            </w:tcBorders>
          </w:tcPr>
          <w:p w14:paraId="407EBF6A" w14:textId="77777777" w:rsidR="00547D02" w:rsidRPr="001503AD" w:rsidRDefault="00547D02" w:rsidP="002D6FC1">
            <w:pPr>
              <w:pStyle w:val="TableText"/>
            </w:pPr>
            <w:r w:rsidRPr="001503AD">
              <w:t>N/A</w:t>
            </w:r>
          </w:p>
        </w:tc>
      </w:tr>
    </w:tbl>
    <w:p w14:paraId="6F38D3AB" w14:textId="77777777" w:rsidR="00547D02" w:rsidRDefault="00547D02" w:rsidP="002D6FC1"/>
    <w:p w14:paraId="721D2813" w14:textId="77777777" w:rsidR="006E2BBA" w:rsidRPr="00155578" w:rsidRDefault="006E2BBA" w:rsidP="0026492E"/>
    <w:p w14:paraId="639762E7" w14:textId="77777777" w:rsidR="0026492E" w:rsidRPr="00155578" w:rsidRDefault="0026492E" w:rsidP="0026492E">
      <w:pPr>
        <w:pStyle w:val="Heading1"/>
        <w:sectPr w:rsidR="0026492E" w:rsidRPr="00155578" w:rsidSect="00B307FA">
          <w:footerReference w:type="first" r:id="rId24"/>
          <w:pgSz w:w="11907" w:h="16834" w:code="9"/>
          <w:pgMar w:top="1701" w:right="1418" w:bottom="1701" w:left="1701" w:header="0" w:footer="425" w:gutter="0"/>
          <w:cols w:space="720"/>
          <w:titlePg/>
        </w:sectPr>
      </w:pPr>
    </w:p>
    <w:p w14:paraId="41BA1774" w14:textId="77777777" w:rsidR="00AB34FD" w:rsidRPr="00155578" w:rsidRDefault="00461C31" w:rsidP="00C04801">
      <w:pPr>
        <w:pStyle w:val="Heading1"/>
      </w:pPr>
      <w:bookmarkStart w:id="9" w:name="_Toc73459698"/>
      <w:r>
        <w:lastRenderedPageBreak/>
        <w:t xml:space="preserve">The </w:t>
      </w:r>
      <w:r w:rsidR="00547D02">
        <w:t>new guidelines</w:t>
      </w:r>
      <w:bookmarkEnd w:id="8"/>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7D02" w:rsidRPr="00155578" w14:paraId="16AE27E3" w14:textId="77777777" w:rsidTr="000B1E32">
        <w:trPr>
          <w:cantSplit/>
        </w:trPr>
        <w:tc>
          <w:tcPr>
            <w:tcW w:w="8789" w:type="dxa"/>
            <w:tcBorders>
              <w:top w:val="nil"/>
              <w:left w:val="nil"/>
              <w:right w:val="nil"/>
            </w:tcBorders>
            <w:shd w:val="clear" w:color="auto" w:fill="auto"/>
          </w:tcPr>
          <w:p w14:paraId="1B228752" w14:textId="77777777" w:rsidR="00547D02" w:rsidRPr="009D3670" w:rsidRDefault="00547D02" w:rsidP="000B1E32">
            <w:pPr>
              <w:pStyle w:val="TableText"/>
              <w:jc w:val="center"/>
              <w:rPr>
                <w:b/>
              </w:rPr>
            </w:pPr>
            <w:bookmarkStart w:id="10" w:name="_Toc1652620"/>
            <w:r w:rsidRPr="009D3670">
              <w:rPr>
                <w:b/>
                <w:sz w:val="22"/>
              </w:rPr>
              <w:t>Guidelines for family gamete donation, embryo donation, the use of donated eggs with donated sperm and clinic assisted surrogacy</w:t>
            </w:r>
          </w:p>
        </w:tc>
      </w:tr>
      <w:tr w:rsidR="00547D02" w:rsidRPr="00155578" w14:paraId="6761CC1F" w14:textId="77777777" w:rsidTr="000B1E32">
        <w:trPr>
          <w:cantSplit/>
        </w:trPr>
        <w:tc>
          <w:tcPr>
            <w:tcW w:w="8789" w:type="dxa"/>
            <w:shd w:val="clear" w:color="auto" w:fill="FFE599"/>
          </w:tcPr>
          <w:p w14:paraId="323CF3CD" w14:textId="77777777" w:rsidR="00547D02" w:rsidRPr="00155578" w:rsidRDefault="00547D02" w:rsidP="000B1E32">
            <w:pPr>
              <w:pStyle w:val="TableText"/>
              <w:jc w:val="center"/>
              <w:rPr>
                <w:b/>
              </w:rPr>
            </w:pPr>
            <w:r w:rsidRPr="00155578">
              <w:rPr>
                <w:b/>
              </w:rPr>
              <w:t>Preamble</w:t>
            </w:r>
          </w:p>
        </w:tc>
      </w:tr>
      <w:tr w:rsidR="00547D02" w:rsidRPr="00155578" w14:paraId="6555D679" w14:textId="77777777" w:rsidTr="000B1E32">
        <w:trPr>
          <w:cantSplit/>
        </w:trPr>
        <w:tc>
          <w:tcPr>
            <w:tcW w:w="8789" w:type="dxa"/>
            <w:shd w:val="clear" w:color="auto" w:fill="auto"/>
          </w:tcPr>
          <w:p w14:paraId="2DE0BA7F" w14:textId="77777777" w:rsidR="00547D02" w:rsidRPr="009D3670" w:rsidRDefault="00547D02" w:rsidP="000B1E32">
            <w:pPr>
              <w:pStyle w:val="TableText"/>
              <w:rPr>
                <w:b/>
              </w:rPr>
            </w:pPr>
            <w:r w:rsidRPr="009D3670">
              <w:rPr>
                <w:b/>
              </w:rPr>
              <w:t>ACART can issue guidelines.</w:t>
            </w:r>
          </w:p>
          <w:p w14:paraId="215F6FEF" w14:textId="77777777" w:rsidR="00547D02" w:rsidRPr="009D3670" w:rsidRDefault="00547D02" w:rsidP="000B1E32">
            <w:pPr>
              <w:pStyle w:val="TableText"/>
              <w:spacing w:before="80" w:after="80"/>
            </w:pPr>
            <w:r w:rsidRPr="009D3670">
              <w:t xml:space="preserve">The </w:t>
            </w:r>
            <w:r w:rsidRPr="009D3670">
              <w:rPr>
                <w:rFonts w:eastAsia="Calibri" w:cs="Arial"/>
                <w:szCs w:val="24"/>
              </w:rPr>
              <w:t>Advisory Committee for Assisted Reproductive Technology</w:t>
            </w:r>
            <w:r w:rsidRPr="009D3670">
              <w:t xml:space="preserve"> (ACART) is appointed by the Minister of Health. One of its functions is to issue guidelines on any matter relating to any kind of assisted reproductive procedure (s 35(1)(a) of the </w:t>
            </w:r>
            <w:r w:rsidRPr="009D3670">
              <w:rPr>
                <w:rFonts w:eastAsia="Calibri" w:cs="Arial"/>
                <w:szCs w:val="24"/>
              </w:rPr>
              <w:t>Human Assisted Reproductive Technology</w:t>
            </w:r>
            <w:r w:rsidRPr="009D3670">
              <w:rPr>
                <w:rFonts w:cs="Arial"/>
              </w:rPr>
              <w:t xml:space="preserve"> Act 2004 (</w:t>
            </w:r>
            <w:r w:rsidRPr="009D3670">
              <w:t>HART Act)).</w:t>
            </w:r>
          </w:p>
        </w:tc>
      </w:tr>
      <w:tr w:rsidR="00547D02" w:rsidRPr="00155578" w14:paraId="2C9AE489" w14:textId="77777777" w:rsidTr="000B1E32">
        <w:trPr>
          <w:cantSplit/>
        </w:trPr>
        <w:tc>
          <w:tcPr>
            <w:tcW w:w="8789" w:type="dxa"/>
            <w:shd w:val="clear" w:color="auto" w:fill="FFE599"/>
          </w:tcPr>
          <w:p w14:paraId="2911D812" w14:textId="77777777" w:rsidR="00547D02" w:rsidRPr="00155578" w:rsidRDefault="00547D02" w:rsidP="000B1E32">
            <w:pPr>
              <w:pStyle w:val="TableText"/>
              <w:jc w:val="center"/>
              <w:rPr>
                <w:b/>
              </w:rPr>
            </w:pPr>
            <w:r w:rsidRPr="00155578">
              <w:rPr>
                <w:b/>
              </w:rPr>
              <w:t>Guidance on terms used</w:t>
            </w:r>
          </w:p>
        </w:tc>
      </w:tr>
      <w:tr w:rsidR="00547D02" w:rsidRPr="00155578" w14:paraId="643FCE80" w14:textId="77777777" w:rsidTr="000B1E32">
        <w:trPr>
          <w:cantSplit/>
        </w:trPr>
        <w:tc>
          <w:tcPr>
            <w:tcW w:w="8789" w:type="dxa"/>
            <w:tcBorders>
              <w:bottom w:val="single" w:sz="4" w:space="0" w:color="auto"/>
            </w:tcBorders>
            <w:shd w:val="clear" w:color="auto" w:fill="auto"/>
          </w:tcPr>
          <w:p w14:paraId="4D3E25E0" w14:textId="77777777" w:rsidR="00547D02" w:rsidRPr="00155578" w:rsidRDefault="00547D02" w:rsidP="000B1E32">
            <w:pPr>
              <w:pStyle w:val="TableText"/>
            </w:pPr>
            <w:r w:rsidRPr="00155578">
              <w:t xml:space="preserve">In these guidelines, unless the context indicates otherwise, words should be interpreted in accordance with definitions given in the HART Act and the </w:t>
            </w:r>
            <w:r w:rsidRPr="00430BDB">
              <w:rPr>
                <w:rFonts w:eastAsia="Calibri" w:cs="Arial"/>
                <w:szCs w:val="24"/>
              </w:rPr>
              <w:t>Human Assisted Reproductive Technology Order 2005</w:t>
            </w:r>
            <w:r>
              <w:rPr>
                <w:rFonts w:eastAsia="Calibri" w:cs="Arial"/>
                <w:szCs w:val="24"/>
              </w:rPr>
              <w:t xml:space="preserve"> (</w:t>
            </w:r>
            <w:r w:rsidRPr="00155578">
              <w:t>HART Order</w:t>
            </w:r>
            <w:r>
              <w:t>)</w:t>
            </w:r>
            <w:r w:rsidRPr="00155578">
              <w:t>.</w:t>
            </w:r>
          </w:p>
        </w:tc>
      </w:tr>
      <w:tr w:rsidR="00547D02" w:rsidRPr="00155578" w14:paraId="3D405D11" w14:textId="77777777" w:rsidTr="000B1E32">
        <w:trPr>
          <w:cantSplit/>
        </w:trPr>
        <w:tc>
          <w:tcPr>
            <w:tcW w:w="8789" w:type="dxa"/>
            <w:tcBorders>
              <w:bottom w:val="single" w:sz="4" w:space="0" w:color="auto"/>
            </w:tcBorders>
            <w:shd w:val="clear" w:color="auto" w:fill="FFE599"/>
          </w:tcPr>
          <w:p w14:paraId="7EE1F351" w14:textId="77777777" w:rsidR="00547D02" w:rsidRPr="00155578" w:rsidRDefault="00547D02" w:rsidP="000B1E32">
            <w:pPr>
              <w:pStyle w:val="TableText"/>
              <w:jc w:val="center"/>
              <w:rPr>
                <w:b/>
              </w:rPr>
            </w:pPr>
            <w:r w:rsidRPr="00155578">
              <w:rPr>
                <w:b/>
              </w:rPr>
              <w:t>Principles</w:t>
            </w:r>
          </w:p>
        </w:tc>
      </w:tr>
      <w:tr w:rsidR="00547D02" w:rsidRPr="00155578" w14:paraId="184784B7" w14:textId="77777777" w:rsidTr="000B1E32">
        <w:trPr>
          <w:cantSplit/>
        </w:trPr>
        <w:tc>
          <w:tcPr>
            <w:tcW w:w="8789" w:type="dxa"/>
            <w:tcBorders>
              <w:bottom w:val="single" w:sz="4" w:space="0" w:color="auto"/>
            </w:tcBorders>
            <w:shd w:val="clear" w:color="auto" w:fill="auto"/>
          </w:tcPr>
          <w:p w14:paraId="693F2BB7" w14:textId="77777777" w:rsidR="00547D02" w:rsidRPr="00155578" w:rsidRDefault="00547D02" w:rsidP="000B1E32">
            <w:pPr>
              <w:pStyle w:val="TableText"/>
            </w:pPr>
            <w:r w:rsidRPr="00155578">
              <w:t>When considering an application to carry out any of the following procedures</w:t>
            </w:r>
            <w:r>
              <w:t>,</w:t>
            </w:r>
            <w:r w:rsidRPr="00155578">
              <w:t xml:space="preserve"> </w:t>
            </w:r>
            <w:r>
              <w:t xml:space="preserve">the </w:t>
            </w:r>
            <w:r>
              <w:rPr>
                <w:rFonts w:eastAsia="Calibri" w:cs="Arial"/>
                <w:szCs w:val="24"/>
              </w:rPr>
              <w:t>Ethics Committee on Assisted Reproductive Technology</w:t>
            </w:r>
            <w:r w:rsidRPr="00155578">
              <w:t xml:space="preserve"> </w:t>
            </w:r>
            <w:r>
              <w:t>(</w:t>
            </w:r>
            <w:r w:rsidRPr="00155578">
              <w:t>ECART</w:t>
            </w:r>
            <w:r>
              <w:t>)</w:t>
            </w:r>
            <w:r w:rsidRPr="00155578">
              <w:t xml:space="preserve"> must be guided by the principles of the HART Act. The principles state:</w:t>
            </w:r>
          </w:p>
          <w:p w14:paraId="377D03D1" w14:textId="77777777" w:rsidR="00547D02" w:rsidRPr="00155578" w:rsidRDefault="00547D02" w:rsidP="000B1E32">
            <w:pPr>
              <w:pStyle w:val="TableText"/>
              <w:ind w:left="284" w:right="284"/>
            </w:pPr>
            <w:r w:rsidRPr="00155578">
              <w:t xml:space="preserve">All persons exercising powers or performing functions under this Act must be guided by each of the following principles that is relevant to the </w:t>
            </w:r>
            <w:proofErr w:type="gramStart"/>
            <w:r w:rsidRPr="00155578">
              <w:t>particular power</w:t>
            </w:r>
            <w:proofErr w:type="gramEnd"/>
            <w:r w:rsidRPr="00155578">
              <w:t xml:space="preserve"> or function:</w:t>
            </w:r>
          </w:p>
          <w:p w14:paraId="520837D3" w14:textId="77777777" w:rsidR="00547D02" w:rsidRPr="00155578" w:rsidRDefault="00547D02" w:rsidP="000B1E32">
            <w:pPr>
              <w:pStyle w:val="TableText"/>
              <w:spacing w:before="90"/>
              <w:ind w:left="709" w:right="284" w:hanging="425"/>
            </w:pPr>
            <w:r w:rsidRPr="00155578">
              <w:t>(a)</w:t>
            </w:r>
            <w:r w:rsidRPr="00155578">
              <w:tab/>
              <w:t>the health and well-being of children born as a result of the performance of an assisted reproductive procedure or an established procedure should be an important consideration in all decisions about that procedure</w:t>
            </w:r>
          </w:p>
          <w:p w14:paraId="20527DC2" w14:textId="77777777" w:rsidR="00547D02" w:rsidRPr="00155578" w:rsidRDefault="00547D02" w:rsidP="000B1E32">
            <w:pPr>
              <w:pStyle w:val="TableText"/>
              <w:spacing w:before="90"/>
              <w:ind w:left="709" w:right="284" w:hanging="425"/>
            </w:pPr>
            <w:r w:rsidRPr="00155578">
              <w:t>(b)</w:t>
            </w:r>
            <w:r w:rsidRPr="00155578">
              <w:tab/>
              <w:t>the human health, safety, and dignity of present and future generations should be preserved and promoted</w:t>
            </w:r>
          </w:p>
          <w:p w14:paraId="17AF48BB" w14:textId="77777777" w:rsidR="00547D02" w:rsidRPr="00155578" w:rsidRDefault="00547D02" w:rsidP="000B1E32">
            <w:pPr>
              <w:pStyle w:val="TableText"/>
              <w:spacing w:before="90"/>
              <w:ind w:left="709" w:right="284" w:hanging="425"/>
            </w:pPr>
            <w:r w:rsidRPr="00155578">
              <w:t>(c)</w:t>
            </w:r>
            <w:r w:rsidRPr="00155578">
              <w:tab/>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3A85EBD3" w14:textId="77777777" w:rsidR="00547D02" w:rsidRDefault="00547D02" w:rsidP="000B1E32">
            <w:pPr>
              <w:pStyle w:val="TableText"/>
              <w:spacing w:before="90"/>
              <w:ind w:left="709" w:right="284" w:hanging="425"/>
            </w:pPr>
            <w:r w:rsidRPr="00155578">
              <w:t>(d)</w:t>
            </w:r>
            <w:r w:rsidRPr="00155578">
              <w:tab/>
              <w:t>no assisted reproductive procedure should be performed on an individual and no human reproductive research should be conducted on an individual unless the individual has made an informed choice and given informed consent</w:t>
            </w:r>
          </w:p>
          <w:p w14:paraId="3EB4D8D7" w14:textId="77777777" w:rsidR="00547D02" w:rsidRPr="00155578" w:rsidRDefault="00547D02" w:rsidP="000B1E32">
            <w:pPr>
              <w:pStyle w:val="TableText"/>
              <w:spacing w:before="90"/>
              <w:ind w:left="709" w:right="284" w:hanging="425"/>
            </w:pPr>
            <w:r w:rsidRPr="00155578">
              <w:t>(e)</w:t>
            </w:r>
            <w:r w:rsidRPr="00155578">
              <w:tab/>
              <w:t>donor offspring should be made aware of their genetic origins and be able to access information about those origins</w:t>
            </w:r>
          </w:p>
          <w:p w14:paraId="3AEF8C1E" w14:textId="77777777" w:rsidR="00547D02" w:rsidRPr="00155578" w:rsidRDefault="00547D02" w:rsidP="000B1E32">
            <w:pPr>
              <w:pStyle w:val="TableText"/>
              <w:spacing w:before="90"/>
              <w:ind w:left="709" w:right="284" w:hanging="425"/>
            </w:pPr>
            <w:r w:rsidRPr="00155578">
              <w:t>(f)</w:t>
            </w:r>
            <w:r w:rsidRPr="00155578">
              <w:tab/>
              <w:t>the needs, values, and beliefs of Māori should be considered and treated with respect</w:t>
            </w:r>
          </w:p>
          <w:p w14:paraId="12DF36D7" w14:textId="77777777" w:rsidR="00547D02" w:rsidRPr="00155578" w:rsidRDefault="00547D02" w:rsidP="000B1E32">
            <w:pPr>
              <w:pStyle w:val="TableText"/>
              <w:spacing w:before="90"/>
              <w:ind w:left="709" w:right="284" w:hanging="425"/>
            </w:pPr>
            <w:r w:rsidRPr="00155578">
              <w:t>(g)</w:t>
            </w:r>
            <w:r w:rsidRPr="00155578">
              <w:tab/>
              <w:t>the different ethical, spiritual, and cultural perspectives in society should be considered and treated with respect.</w:t>
            </w:r>
          </w:p>
        </w:tc>
      </w:tr>
      <w:tr w:rsidR="00547D02" w:rsidRPr="00D46883" w14:paraId="45DCB0F8" w14:textId="77777777" w:rsidTr="000B1E32">
        <w:trPr>
          <w:cantSplit/>
        </w:trPr>
        <w:tc>
          <w:tcPr>
            <w:tcW w:w="8789" w:type="dxa"/>
            <w:tcBorders>
              <w:top w:val="single" w:sz="4" w:space="0" w:color="auto"/>
            </w:tcBorders>
            <w:shd w:val="clear" w:color="auto" w:fill="FFE599"/>
          </w:tcPr>
          <w:p w14:paraId="0ABB1336" w14:textId="77777777" w:rsidR="00547D02" w:rsidRPr="00D46883" w:rsidRDefault="00547D02" w:rsidP="000B1E32">
            <w:pPr>
              <w:pStyle w:val="TableText"/>
              <w:jc w:val="center"/>
              <w:rPr>
                <w:b/>
              </w:rPr>
            </w:pPr>
            <w:r w:rsidRPr="00D46883">
              <w:rPr>
                <w:b/>
              </w:rPr>
              <w:t>Scope of the guidelines</w:t>
            </w:r>
          </w:p>
        </w:tc>
      </w:tr>
      <w:tr w:rsidR="00547D02" w:rsidRPr="00155578" w14:paraId="015FE55D" w14:textId="77777777" w:rsidTr="000B1E32">
        <w:trPr>
          <w:cantSplit/>
        </w:trPr>
        <w:tc>
          <w:tcPr>
            <w:tcW w:w="8789" w:type="dxa"/>
            <w:shd w:val="clear" w:color="auto" w:fill="auto"/>
          </w:tcPr>
          <w:p w14:paraId="3E7DF655" w14:textId="77777777" w:rsidR="00547D02" w:rsidRPr="00155578" w:rsidRDefault="00547D02" w:rsidP="000B1E32">
            <w:pPr>
              <w:pStyle w:val="TableText"/>
            </w:pPr>
            <w:r w:rsidRPr="00155578">
              <w:t>In these guidelines, ACART sets out the requirements for assisted reproductive procedures that require a party other than the intended parents (third party assistance) to contribute to family formation and where a fertility services provider is involved.</w:t>
            </w:r>
          </w:p>
        </w:tc>
      </w:tr>
    </w:tbl>
    <w:p w14:paraId="56EEC307" w14:textId="77777777" w:rsidR="00547D02" w:rsidRPr="00155578" w:rsidRDefault="00547D02" w:rsidP="00547D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7D02" w:rsidRPr="00D46883" w14:paraId="03C89518" w14:textId="77777777" w:rsidTr="000B1E32">
        <w:trPr>
          <w:cantSplit/>
        </w:trPr>
        <w:tc>
          <w:tcPr>
            <w:tcW w:w="8789" w:type="dxa"/>
            <w:shd w:val="clear" w:color="auto" w:fill="C5E0B3"/>
          </w:tcPr>
          <w:p w14:paraId="20BCBDC3" w14:textId="77777777" w:rsidR="00547D02" w:rsidRPr="009D3670" w:rsidRDefault="00547D02" w:rsidP="002D6FC1">
            <w:pPr>
              <w:pStyle w:val="TableText"/>
              <w:keepNext/>
              <w:jc w:val="center"/>
              <w:rPr>
                <w:b/>
              </w:rPr>
            </w:pPr>
            <w:r w:rsidRPr="009D3670">
              <w:rPr>
                <w:b/>
              </w:rPr>
              <w:lastRenderedPageBreak/>
              <w:t>Provisions that apply to all procedures</w:t>
            </w:r>
            <w:r>
              <w:rPr>
                <w:b/>
              </w:rPr>
              <w:t xml:space="preserve"> </w:t>
            </w:r>
            <w:r w:rsidRPr="009D3670">
              <w:rPr>
                <w:b/>
              </w:rPr>
              <w:t>covered in these guidelines</w:t>
            </w:r>
          </w:p>
        </w:tc>
      </w:tr>
      <w:tr w:rsidR="00547D02" w:rsidRPr="00155578" w14:paraId="162A58CD" w14:textId="77777777" w:rsidTr="000B1E32">
        <w:trPr>
          <w:cantSplit/>
        </w:trPr>
        <w:tc>
          <w:tcPr>
            <w:tcW w:w="8789" w:type="dxa"/>
            <w:shd w:val="clear" w:color="auto" w:fill="auto"/>
          </w:tcPr>
          <w:p w14:paraId="410C767C" w14:textId="77777777" w:rsidR="00547D02" w:rsidRPr="009D3670" w:rsidRDefault="00547D02" w:rsidP="002D6FC1">
            <w:pPr>
              <w:pStyle w:val="TableText"/>
              <w:keepNext/>
              <w:rPr>
                <w:b/>
              </w:rPr>
            </w:pPr>
            <w:r w:rsidRPr="009D3670">
              <w:rPr>
                <w:b/>
              </w:rPr>
              <w:t>General requirements</w:t>
            </w:r>
          </w:p>
        </w:tc>
      </w:tr>
      <w:tr w:rsidR="00547D02" w:rsidRPr="00155578" w14:paraId="66F486F9" w14:textId="77777777" w:rsidTr="000B1E32">
        <w:trPr>
          <w:cantSplit/>
        </w:trPr>
        <w:tc>
          <w:tcPr>
            <w:tcW w:w="8789" w:type="dxa"/>
            <w:shd w:val="clear" w:color="auto" w:fill="auto"/>
          </w:tcPr>
          <w:p w14:paraId="719D7D92" w14:textId="77777777" w:rsidR="00547D02" w:rsidRPr="00155578" w:rsidRDefault="00547D02" w:rsidP="000B1E32">
            <w:pPr>
              <w:pStyle w:val="TableText"/>
            </w:pPr>
            <w:r w:rsidRPr="00155578">
              <w:t>ECART must be satisfied that:</w:t>
            </w:r>
          </w:p>
          <w:p w14:paraId="41E746B8" w14:textId="77777777" w:rsidR="00547D02" w:rsidRPr="00E762F4" w:rsidRDefault="00547D02" w:rsidP="00547D02">
            <w:pPr>
              <w:pStyle w:val="TableNumber"/>
              <w:numPr>
                <w:ilvl w:val="0"/>
                <w:numId w:val="42"/>
              </w:numPr>
              <w:spacing w:before="100" w:line="264" w:lineRule="auto"/>
            </w:pPr>
            <w:r w:rsidRPr="0072439C">
              <w:t>all relevant parties have consented to the procedure</w:t>
            </w:r>
          </w:p>
          <w:p w14:paraId="6090E446" w14:textId="77777777" w:rsidR="00547D02" w:rsidRDefault="00547D02" w:rsidP="00547D02">
            <w:pPr>
              <w:pStyle w:val="TableNumber"/>
              <w:numPr>
                <w:ilvl w:val="0"/>
                <w:numId w:val="42"/>
              </w:numPr>
              <w:spacing w:before="100" w:line="264" w:lineRule="auto"/>
            </w:pPr>
            <w:r w:rsidRPr="00E762F4">
              <w:t>the parties have not been subjected to any undue influence</w:t>
            </w:r>
          </w:p>
          <w:p w14:paraId="31922CB2" w14:textId="77777777" w:rsidR="00547D02" w:rsidRPr="00155578" w:rsidRDefault="00547D02" w:rsidP="00547D02">
            <w:pPr>
              <w:pStyle w:val="TableNumber"/>
              <w:numPr>
                <w:ilvl w:val="0"/>
                <w:numId w:val="42"/>
              </w:numPr>
              <w:spacing w:before="100" w:line="264" w:lineRule="auto"/>
            </w:pPr>
            <w:r w:rsidRPr="00155578">
              <w:t>full genetic siblings are produced in no more than two families (this does not preclude a donor from donating sperm or eggs separately to another couple or person)</w:t>
            </w:r>
          </w:p>
          <w:p w14:paraId="4FC96548" w14:textId="77777777" w:rsidR="00547D02" w:rsidRPr="00155578" w:rsidRDefault="00547D02" w:rsidP="00547D02">
            <w:pPr>
              <w:pStyle w:val="TableNumber"/>
              <w:numPr>
                <w:ilvl w:val="0"/>
                <w:numId w:val="42"/>
              </w:numPr>
              <w:spacing w:before="100" w:line="264" w:lineRule="auto"/>
            </w:pPr>
            <w:r w:rsidRPr="00155578">
              <w:t xml:space="preserve">the </w:t>
            </w:r>
            <w:bookmarkStart w:id="11" w:name="_Hlk524983109"/>
            <w:r w:rsidRPr="00155578">
              <w:t>procedure is the best or</w:t>
            </w:r>
            <w:r>
              <w:t xml:space="preserve"> the</w:t>
            </w:r>
            <w:r w:rsidRPr="00155578">
              <w:t xml:space="preserve"> only opportunity for intending parents to have a child</w:t>
            </w:r>
            <w:bookmarkStart w:id="12" w:name="_Hlk524983148"/>
            <w:bookmarkEnd w:id="11"/>
          </w:p>
          <w:p w14:paraId="7C3F52F8" w14:textId="77777777" w:rsidR="00547D02" w:rsidRPr="00155578" w:rsidRDefault="00547D02" w:rsidP="00547D02">
            <w:pPr>
              <w:pStyle w:val="TableNumber"/>
              <w:numPr>
                <w:ilvl w:val="0"/>
                <w:numId w:val="42"/>
              </w:numPr>
              <w:spacing w:before="100" w:line="264" w:lineRule="auto"/>
            </w:pPr>
            <w:r w:rsidRPr="00155578">
              <w:t>the intending parents are not using the procedures for social or financial convenience or gain</w:t>
            </w:r>
            <w:bookmarkEnd w:id="12"/>
          </w:p>
          <w:p w14:paraId="245EEFCD" w14:textId="77777777" w:rsidR="00547D02" w:rsidRPr="00155578" w:rsidRDefault="00547D02" w:rsidP="00547D02">
            <w:pPr>
              <w:pStyle w:val="TableNumber"/>
              <w:numPr>
                <w:ilvl w:val="0"/>
                <w:numId w:val="42"/>
              </w:numPr>
              <w:spacing w:before="100" w:line="264" w:lineRule="auto"/>
            </w:pPr>
            <w:r w:rsidRPr="00155578">
              <w:t>the potential genetic, social, cultural and intergenerational aspects of the proposed arrangement safeguard the wellbeing of all parties and especially any resulting child</w:t>
            </w:r>
            <w:r>
              <w:t>ren</w:t>
            </w:r>
          </w:p>
          <w:p w14:paraId="6922611D" w14:textId="77777777" w:rsidR="00547D02" w:rsidRPr="00155578" w:rsidRDefault="00547D02" w:rsidP="00547D02">
            <w:pPr>
              <w:pStyle w:val="TableNumber"/>
              <w:numPr>
                <w:ilvl w:val="0"/>
                <w:numId w:val="42"/>
              </w:numPr>
              <w:spacing w:before="100" w:line="264" w:lineRule="auto"/>
            </w:pPr>
            <w:r w:rsidRPr="00155578">
              <w:t>any relationships between the parties safeguard the wellbeing of all parties and es</w:t>
            </w:r>
            <w:r>
              <w:t>pecially any resulting children.</w:t>
            </w:r>
          </w:p>
        </w:tc>
      </w:tr>
      <w:tr w:rsidR="00547D02" w:rsidRPr="00B86E69" w14:paraId="4B3E2ACF" w14:textId="77777777" w:rsidTr="000B1E32">
        <w:trPr>
          <w:cantSplit/>
        </w:trPr>
        <w:tc>
          <w:tcPr>
            <w:tcW w:w="8789" w:type="dxa"/>
            <w:shd w:val="clear" w:color="auto" w:fill="auto"/>
          </w:tcPr>
          <w:p w14:paraId="4DEAFECF" w14:textId="77777777" w:rsidR="00547D02" w:rsidRPr="00E51DAD" w:rsidRDefault="00547D02" w:rsidP="000B1E32">
            <w:pPr>
              <w:pStyle w:val="TableText"/>
              <w:rPr>
                <w:b/>
              </w:rPr>
            </w:pPr>
            <w:r w:rsidRPr="00E51DAD">
              <w:rPr>
                <w:b/>
              </w:rPr>
              <w:br w:type="page"/>
              <w:t>Counselling requirements</w:t>
            </w:r>
          </w:p>
        </w:tc>
      </w:tr>
      <w:tr w:rsidR="00547D02" w:rsidRPr="00155578" w14:paraId="6D88E9D4" w14:textId="77777777" w:rsidTr="000B1E32">
        <w:trPr>
          <w:cantSplit/>
        </w:trPr>
        <w:tc>
          <w:tcPr>
            <w:tcW w:w="8789" w:type="dxa"/>
            <w:shd w:val="clear" w:color="auto" w:fill="auto"/>
          </w:tcPr>
          <w:p w14:paraId="2AFD1859" w14:textId="77777777" w:rsidR="00547D02" w:rsidRPr="00155578" w:rsidRDefault="00547D02" w:rsidP="000B1E32">
            <w:pPr>
              <w:pStyle w:val="TableText"/>
            </w:pPr>
            <w:r w:rsidRPr="00155578">
              <w:t>ECART must be satisfied that counselling:</w:t>
            </w:r>
          </w:p>
          <w:p w14:paraId="4A9BDD4E" w14:textId="77777777" w:rsidR="00547D02" w:rsidRPr="00155578" w:rsidRDefault="00547D02" w:rsidP="00547D02">
            <w:pPr>
              <w:pStyle w:val="TableNumber"/>
              <w:numPr>
                <w:ilvl w:val="0"/>
                <w:numId w:val="42"/>
              </w:numPr>
              <w:spacing w:before="100" w:line="264" w:lineRule="auto"/>
            </w:pPr>
            <w:r w:rsidRPr="00155578">
              <w:t>has been received by each party in accordance with the current Fertility Services Standard</w:t>
            </w:r>
          </w:p>
          <w:p w14:paraId="5885E468" w14:textId="77777777" w:rsidR="00547D02" w:rsidRPr="00155578" w:rsidRDefault="00547D02" w:rsidP="00547D02">
            <w:pPr>
              <w:pStyle w:val="TableNumber"/>
              <w:numPr>
                <w:ilvl w:val="0"/>
                <w:numId w:val="42"/>
              </w:numPr>
              <w:spacing w:before="100" w:line="264" w:lineRule="auto"/>
            </w:pPr>
            <w:r w:rsidRPr="00155578">
              <w:t>will be available throughout the donation</w:t>
            </w:r>
            <w:r>
              <w:t xml:space="preserve"> and/or </w:t>
            </w:r>
            <w:r w:rsidRPr="00155578">
              <w:t>treatment process</w:t>
            </w:r>
          </w:p>
          <w:p w14:paraId="23985947" w14:textId="77777777" w:rsidR="00547D02" w:rsidRPr="00155578" w:rsidRDefault="00547D02" w:rsidP="00547D02">
            <w:pPr>
              <w:pStyle w:val="TableNumber"/>
              <w:numPr>
                <w:ilvl w:val="0"/>
                <w:numId w:val="42"/>
              </w:numPr>
              <w:spacing w:before="100" w:line="264" w:lineRule="auto"/>
            </w:pPr>
            <w:r w:rsidRPr="00155578">
              <w:t>is culturally appropriate</w:t>
            </w:r>
          </w:p>
          <w:p w14:paraId="26A5B70F" w14:textId="77777777" w:rsidR="00547D02" w:rsidRPr="00155578" w:rsidRDefault="00547D02" w:rsidP="00547D02">
            <w:pPr>
              <w:pStyle w:val="TableNumber"/>
              <w:numPr>
                <w:ilvl w:val="0"/>
                <w:numId w:val="42"/>
              </w:numPr>
              <w:spacing w:before="100" w:line="264" w:lineRule="auto"/>
            </w:pPr>
            <w:r w:rsidRPr="00155578">
              <w:t xml:space="preserve">has provided for </w:t>
            </w:r>
            <w:proofErr w:type="spellStart"/>
            <w:r w:rsidRPr="00155578">
              <w:t>whānau</w:t>
            </w:r>
            <w:proofErr w:type="spellEnd"/>
            <w:r w:rsidRPr="00155578">
              <w:t xml:space="preserve"> or extended family involvement</w:t>
            </w:r>
          </w:p>
          <w:p w14:paraId="3E6C921E" w14:textId="77777777" w:rsidR="00547D02" w:rsidRPr="00155578" w:rsidRDefault="00547D02" w:rsidP="00547D02">
            <w:pPr>
              <w:pStyle w:val="TableNumber"/>
              <w:numPr>
                <w:ilvl w:val="0"/>
                <w:numId w:val="42"/>
              </w:numPr>
              <w:spacing w:before="100" w:line="264" w:lineRule="auto"/>
            </w:pPr>
            <w:r w:rsidRPr="00155578">
              <w:t>has provided for the inclusion of any existing children of the parties</w:t>
            </w:r>
          </w:p>
          <w:p w14:paraId="662E504E" w14:textId="77777777" w:rsidR="00547D02" w:rsidRPr="00155578" w:rsidRDefault="00547D02" w:rsidP="00547D02">
            <w:pPr>
              <w:pStyle w:val="TableNumber"/>
              <w:numPr>
                <w:ilvl w:val="0"/>
                <w:numId w:val="42"/>
              </w:numPr>
              <w:spacing w:before="100" w:line="264" w:lineRule="auto"/>
            </w:pPr>
            <w:r w:rsidRPr="00155578">
              <w:t>has addressed any matters raised by donation(s) between family members</w:t>
            </w:r>
          </w:p>
          <w:p w14:paraId="19CB9E26" w14:textId="77777777" w:rsidR="00547D02" w:rsidRPr="00155578" w:rsidRDefault="00547D02" w:rsidP="00547D02">
            <w:pPr>
              <w:pStyle w:val="TableNumber"/>
              <w:numPr>
                <w:ilvl w:val="0"/>
                <w:numId w:val="42"/>
              </w:numPr>
              <w:spacing w:before="100" w:line="264" w:lineRule="auto"/>
            </w:pPr>
            <w:r w:rsidRPr="00155578">
              <w:t>has included implications counselling for all parties, and parties have considered and</w:t>
            </w:r>
            <w:r>
              <w:t>,</w:t>
            </w:r>
            <w:r w:rsidRPr="00155578">
              <w:t xml:space="preserve"> in the opinion of the counsellor</w:t>
            </w:r>
            <w:r>
              <w:t>,</w:t>
            </w:r>
            <w:r w:rsidRPr="00155578">
              <w:t xml:space="preserve"> have understood:</w:t>
            </w:r>
          </w:p>
          <w:p w14:paraId="337EDB2B" w14:textId="77777777" w:rsidR="00547D02" w:rsidRPr="002D6FC1" w:rsidRDefault="00547D02" w:rsidP="00547D02">
            <w:pPr>
              <w:pStyle w:val="TableLetter"/>
              <w:numPr>
                <w:ilvl w:val="1"/>
                <w:numId w:val="42"/>
              </w:numPr>
              <w:spacing w:before="60" w:after="60"/>
              <w:rPr>
                <w:szCs w:val="18"/>
              </w:rPr>
            </w:pPr>
            <w:r w:rsidRPr="002D6FC1">
              <w:rPr>
                <w:szCs w:val="18"/>
              </w:rPr>
              <w:t>the rights of offspring, including their rights to obtain identifying information about the donor</w:t>
            </w:r>
          </w:p>
          <w:p w14:paraId="24AABF6A" w14:textId="77777777" w:rsidR="00547D02" w:rsidRPr="002D6FC1" w:rsidRDefault="00547D02" w:rsidP="00547D02">
            <w:pPr>
              <w:pStyle w:val="TableLetter"/>
              <w:numPr>
                <w:ilvl w:val="1"/>
                <w:numId w:val="42"/>
              </w:numPr>
              <w:spacing w:before="60" w:after="60"/>
              <w:rPr>
                <w:szCs w:val="18"/>
              </w:rPr>
            </w:pPr>
            <w:r w:rsidRPr="002D6FC1">
              <w:rPr>
                <w:szCs w:val="18"/>
              </w:rPr>
              <w:t>each other</w:t>
            </w:r>
            <w:r w:rsidR="000A0B49" w:rsidRPr="002D6FC1">
              <w:rPr>
                <w:szCs w:val="18"/>
              </w:rPr>
              <w:t>’</w:t>
            </w:r>
            <w:r w:rsidRPr="002D6FC1">
              <w:rPr>
                <w:szCs w:val="18"/>
              </w:rPr>
              <w:t>s needs and plans for continuing contact and information sharing</w:t>
            </w:r>
          </w:p>
          <w:p w14:paraId="457E013A" w14:textId="77777777" w:rsidR="00547D02" w:rsidRPr="002D6FC1" w:rsidRDefault="00547D02" w:rsidP="00547D02">
            <w:pPr>
              <w:pStyle w:val="TableLetter"/>
              <w:numPr>
                <w:ilvl w:val="1"/>
                <w:numId w:val="42"/>
              </w:numPr>
              <w:spacing w:before="60" w:after="60"/>
              <w:rPr>
                <w:szCs w:val="18"/>
              </w:rPr>
            </w:pPr>
            <w:r w:rsidRPr="002D6FC1">
              <w:rPr>
                <w:szCs w:val="18"/>
              </w:rPr>
              <w:t>any specific issues that might affect the health and wellbeing of all parties and especially the offspring</w:t>
            </w:r>
          </w:p>
          <w:p w14:paraId="0E01DEFF" w14:textId="77777777" w:rsidR="00547D02" w:rsidRPr="002D6FC1" w:rsidRDefault="00547D02" w:rsidP="00547D02">
            <w:pPr>
              <w:pStyle w:val="TableLetter"/>
              <w:numPr>
                <w:ilvl w:val="1"/>
                <w:numId w:val="42"/>
              </w:numPr>
              <w:spacing w:before="60" w:after="60"/>
              <w:rPr>
                <w:szCs w:val="18"/>
              </w:rPr>
            </w:pPr>
            <w:r w:rsidRPr="002D6FC1">
              <w:rPr>
                <w:szCs w:val="18"/>
              </w:rPr>
              <w:t>the implications if offspring have medical conditions, disabilities or genetic disorders</w:t>
            </w:r>
          </w:p>
          <w:p w14:paraId="78D496B4" w14:textId="77777777" w:rsidR="00547D02" w:rsidRPr="002D6FC1" w:rsidRDefault="00547D02" w:rsidP="00547D02">
            <w:pPr>
              <w:pStyle w:val="TableLetter"/>
              <w:numPr>
                <w:ilvl w:val="1"/>
                <w:numId w:val="42"/>
              </w:numPr>
              <w:spacing w:before="60" w:after="60"/>
              <w:rPr>
                <w:szCs w:val="18"/>
              </w:rPr>
            </w:pPr>
            <w:r w:rsidRPr="002D6FC1">
              <w:rPr>
                <w:szCs w:val="18"/>
              </w:rPr>
              <w:t>each other</w:t>
            </w:r>
            <w:r w:rsidR="000A0B49" w:rsidRPr="002D6FC1">
              <w:rPr>
                <w:szCs w:val="18"/>
              </w:rPr>
              <w:t>’</w:t>
            </w:r>
            <w:r w:rsidRPr="002D6FC1">
              <w:rPr>
                <w:szCs w:val="18"/>
              </w:rPr>
              <w:t>s attitudes to openness about donation, especially with the offspring</w:t>
            </w:r>
          </w:p>
          <w:p w14:paraId="0EA66ED4" w14:textId="77777777" w:rsidR="00547D02" w:rsidRPr="002D6FC1" w:rsidRDefault="00547D02" w:rsidP="00547D02">
            <w:pPr>
              <w:pStyle w:val="TableLetter"/>
              <w:numPr>
                <w:ilvl w:val="1"/>
                <w:numId w:val="42"/>
              </w:numPr>
              <w:spacing w:before="60" w:after="60"/>
              <w:rPr>
                <w:szCs w:val="18"/>
              </w:rPr>
            </w:pPr>
            <w:r w:rsidRPr="002D6FC1">
              <w:rPr>
                <w:szCs w:val="18"/>
              </w:rPr>
              <w:t>the possibility that the birth mother (whether she is the intending mother or a surrogate) may terminate the pregnancy</w:t>
            </w:r>
          </w:p>
          <w:p w14:paraId="21F6832C" w14:textId="77777777" w:rsidR="00547D02" w:rsidRPr="002D6FC1" w:rsidRDefault="00547D02" w:rsidP="00547D02">
            <w:pPr>
              <w:pStyle w:val="TableLetter"/>
              <w:numPr>
                <w:ilvl w:val="1"/>
                <w:numId w:val="42"/>
              </w:numPr>
              <w:spacing w:before="60" w:after="60"/>
              <w:rPr>
                <w:szCs w:val="18"/>
              </w:rPr>
            </w:pPr>
            <w:r w:rsidRPr="002D6FC1">
              <w:rPr>
                <w:szCs w:val="18"/>
              </w:rPr>
              <w:t>issues related to the use, storage and disposal of gametes and embryos</w:t>
            </w:r>
          </w:p>
          <w:p w14:paraId="091305C1" w14:textId="77777777" w:rsidR="00547D02" w:rsidRPr="002D6FC1" w:rsidRDefault="00547D02" w:rsidP="00547D02">
            <w:pPr>
              <w:pStyle w:val="TableLetter"/>
              <w:numPr>
                <w:ilvl w:val="1"/>
                <w:numId w:val="42"/>
              </w:numPr>
              <w:spacing w:before="60" w:after="60"/>
              <w:rPr>
                <w:szCs w:val="18"/>
              </w:rPr>
            </w:pPr>
            <w:r w:rsidRPr="002D6FC1">
              <w:rPr>
                <w:szCs w:val="18"/>
              </w:rPr>
              <w:t>requirements for information sharing under the HART Act</w:t>
            </w:r>
          </w:p>
          <w:p w14:paraId="39D07DA1" w14:textId="77777777" w:rsidR="00547D02" w:rsidRPr="002D6FC1" w:rsidRDefault="00547D02" w:rsidP="00547D02">
            <w:pPr>
              <w:pStyle w:val="TableLetter"/>
              <w:numPr>
                <w:ilvl w:val="1"/>
                <w:numId w:val="42"/>
              </w:numPr>
              <w:spacing w:before="60" w:after="60"/>
              <w:rPr>
                <w:szCs w:val="18"/>
              </w:rPr>
            </w:pPr>
            <w:r w:rsidRPr="002D6FC1">
              <w:rPr>
                <w:szCs w:val="18"/>
              </w:rPr>
              <w:t>their reasons for wishing to donate or receive gametes or embryos</w:t>
            </w:r>
          </w:p>
          <w:p w14:paraId="0E704C07" w14:textId="77777777" w:rsidR="00547D02" w:rsidRPr="002D6FC1" w:rsidRDefault="00547D02" w:rsidP="00547D02">
            <w:pPr>
              <w:pStyle w:val="TableLetter"/>
              <w:numPr>
                <w:ilvl w:val="1"/>
                <w:numId w:val="42"/>
              </w:numPr>
              <w:spacing w:before="60" w:after="60"/>
              <w:rPr>
                <w:szCs w:val="18"/>
              </w:rPr>
            </w:pPr>
            <w:r w:rsidRPr="002D6FC1">
              <w:rPr>
                <w:szCs w:val="18"/>
              </w:rPr>
              <w:t>their feelings now and possible feelings in the future about donations</w:t>
            </w:r>
          </w:p>
          <w:p w14:paraId="05216769" w14:textId="77777777" w:rsidR="00547D02" w:rsidRPr="00155578" w:rsidRDefault="00547D02" w:rsidP="00547D02">
            <w:pPr>
              <w:pStyle w:val="TableLetter"/>
              <w:numPr>
                <w:ilvl w:val="1"/>
                <w:numId w:val="42"/>
              </w:numPr>
              <w:spacing w:before="60" w:after="60"/>
            </w:pPr>
            <w:r w:rsidRPr="002D6FC1">
              <w:rPr>
                <w:szCs w:val="18"/>
              </w:rPr>
              <w:t>the possibility of future contact with offspring, for themselves and their families, including any resulting children.</w:t>
            </w:r>
          </w:p>
        </w:tc>
      </w:tr>
      <w:tr w:rsidR="00547D02" w:rsidRPr="00C01B7C" w14:paraId="09268E99" w14:textId="77777777" w:rsidTr="000B1E32">
        <w:trPr>
          <w:cantSplit/>
        </w:trPr>
        <w:tc>
          <w:tcPr>
            <w:tcW w:w="8789" w:type="dxa"/>
            <w:tcBorders>
              <w:bottom w:val="single" w:sz="4" w:space="0" w:color="auto"/>
            </w:tcBorders>
            <w:shd w:val="clear" w:color="auto" w:fill="auto"/>
          </w:tcPr>
          <w:p w14:paraId="387F5D2E" w14:textId="77777777" w:rsidR="00547D02" w:rsidRPr="00C01B7C" w:rsidRDefault="00547D02" w:rsidP="000B1E32">
            <w:pPr>
              <w:pStyle w:val="TableText"/>
              <w:keepNext/>
              <w:rPr>
                <w:b/>
              </w:rPr>
            </w:pPr>
            <w:r w:rsidRPr="00C01B7C">
              <w:rPr>
                <w:b/>
              </w:rPr>
              <w:lastRenderedPageBreak/>
              <w:t>Consent requirements</w:t>
            </w:r>
          </w:p>
        </w:tc>
      </w:tr>
      <w:tr w:rsidR="00547D02" w:rsidRPr="000B3D09" w14:paraId="570E67E9" w14:textId="77777777" w:rsidTr="000B1E32">
        <w:trPr>
          <w:cantSplit/>
        </w:trPr>
        <w:tc>
          <w:tcPr>
            <w:tcW w:w="8789" w:type="dxa"/>
            <w:tcBorders>
              <w:bottom w:val="single" w:sz="4" w:space="0" w:color="auto"/>
            </w:tcBorders>
            <w:shd w:val="clear" w:color="auto" w:fill="auto"/>
          </w:tcPr>
          <w:p w14:paraId="273931BD" w14:textId="77777777" w:rsidR="00547D02" w:rsidRPr="00C01B7C" w:rsidRDefault="00547D02" w:rsidP="000B1E32">
            <w:pPr>
              <w:pStyle w:val="TableText"/>
              <w:rPr>
                <w:b/>
              </w:rPr>
            </w:pPr>
            <w:r w:rsidRPr="00C01B7C">
              <w:rPr>
                <w:b/>
              </w:rPr>
              <w:t>Notes</w:t>
            </w:r>
          </w:p>
          <w:p w14:paraId="5835F54D" w14:textId="77777777" w:rsidR="00547D02" w:rsidRDefault="00547D02" w:rsidP="000B1E32">
            <w:pPr>
              <w:pStyle w:val="TableText"/>
            </w:pPr>
            <w:r>
              <w:t>For the purposes of these guidelines:</w:t>
            </w:r>
          </w:p>
          <w:p w14:paraId="29107C6A" w14:textId="77777777" w:rsidR="00547D02" w:rsidRPr="001E4E24" w:rsidRDefault="00547D02" w:rsidP="00547D02">
            <w:pPr>
              <w:pStyle w:val="TableBullet"/>
              <w:spacing w:line="264" w:lineRule="auto"/>
              <w:ind w:left="284"/>
            </w:pPr>
            <w:r w:rsidRPr="001E4E24">
              <w:t xml:space="preserve">a </w:t>
            </w:r>
            <w:r w:rsidRPr="00C01B7C">
              <w:rPr>
                <w:b/>
              </w:rPr>
              <w:t>donor</w:t>
            </w:r>
            <w:r w:rsidRPr="001E4E24">
              <w:t xml:space="preserve"> is as defined in the</w:t>
            </w:r>
            <w:r>
              <w:t xml:space="preserve"> HART</w:t>
            </w:r>
            <w:r w:rsidRPr="001E4E24">
              <w:t xml:space="preserve"> Act</w:t>
            </w:r>
          </w:p>
          <w:p w14:paraId="7881C87E" w14:textId="77777777" w:rsidR="00547D02" w:rsidRPr="001E4E24" w:rsidRDefault="00547D02" w:rsidP="00547D02">
            <w:pPr>
              <w:pStyle w:val="TableBullet"/>
              <w:spacing w:line="264" w:lineRule="auto"/>
              <w:ind w:left="284"/>
            </w:pPr>
            <w:r w:rsidRPr="001E4E24">
              <w:t xml:space="preserve">a </w:t>
            </w:r>
            <w:r w:rsidRPr="00C01B7C">
              <w:rPr>
                <w:b/>
              </w:rPr>
              <w:t>recipient</w:t>
            </w:r>
            <w:r w:rsidRPr="001E4E24">
              <w:t xml:space="preserve"> is the person or people who receive donated gametes or embryos with </w:t>
            </w:r>
            <w:r>
              <w:t xml:space="preserve">the </w:t>
            </w:r>
            <w:r w:rsidRPr="001E4E24">
              <w:t xml:space="preserve">intention </w:t>
            </w:r>
            <w:r>
              <w:t>of</w:t>
            </w:r>
            <w:r w:rsidRPr="001E4E24">
              <w:t xml:space="preserve"> parent</w:t>
            </w:r>
            <w:r>
              <w:t>ing</w:t>
            </w:r>
            <w:r w:rsidRPr="001E4E24">
              <w:t xml:space="preserve"> the offspring</w:t>
            </w:r>
          </w:p>
          <w:p w14:paraId="25F58FBF" w14:textId="77777777" w:rsidR="00547D02" w:rsidRPr="001E4E24" w:rsidRDefault="00547D02" w:rsidP="00547D02">
            <w:pPr>
              <w:pStyle w:val="TableBullet"/>
              <w:spacing w:line="264" w:lineRule="auto"/>
              <w:ind w:left="284"/>
            </w:pPr>
            <w:r w:rsidRPr="001E4E24">
              <w:t xml:space="preserve">a </w:t>
            </w:r>
            <w:r w:rsidRPr="00C01B7C">
              <w:rPr>
                <w:b/>
              </w:rPr>
              <w:t>patient</w:t>
            </w:r>
            <w:r w:rsidRPr="001E4E24">
              <w:t xml:space="preserve"> is as defined in the</w:t>
            </w:r>
            <w:r>
              <w:t xml:space="preserve"> HART</w:t>
            </w:r>
            <w:r w:rsidRPr="001E4E24">
              <w:t xml:space="preserve"> Order</w:t>
            </w:r>
          </w:p>
          <w:p w14:paraId="58986388" w14:textId="77777777" w:rsidR="00547D02" w:rsidRPr="001E4E24" w:rsidRDefault="00547D02" w:rsidP="00547D02">
            <w:pPr>
              <w:pStyle w:val="TableBullet"/>
              <w:spacing w:line="264" w:lineRule="auto"/>
              <w:ind w:left="284"/>
            </w:pPr>
            <w:r w:rsidRPr="001E4E24">
              <w:t xml:space="preserve">an </w:t>
            </w:r>
            <w:r w:rsidRPr="00C01B7C">
              <w:rPr>
                <w:b/>
              </w:rPr>
              <w:t>original intending parent</w:t>
            </w:r>
            <w:r w:rsidRPr="001E4E24">
              <w:t xml:space="preserve"> is the person</w:t>
            </w:r>
            <w:r>
              <w:t xml:space="preserve"> or people</w:t>
            </w:r>
            <w:r w:rsidRPr="001E4E24">
              <w:t xml:space="preserve"> who originally intended to parent the </w:t>
            </w:r>
            <w:r>
              <w:t>offspring</w:t>
            </w:r>
            <w:r w:rsidRPr="001E4E24">
              <w:t xml:space="preserve"> that would be born from the use of the gametes or embryos.</w:t>
            </w:r>
          </w:p>
          <w:p w14:paraId="692F4DBE" w14:textId="77777777" w:rsidR="00547D02" w:rsidRDefault="00547D02" w:rsidP="000B1E32">
            <w:pPr>
              <w:pStyle w:val="TableText"/>
              <w:rPr>
                <w:rFonts w:cs="Arial"/>
              </w:rPr>
            </w:pPr>
            <w:r w:rsidRPr="00A62908">
              <w:t>When</w:t>
            </w:r>
            <w:r w:rsidRPr="008167FA">
              <w:rPr>
                <w:rFonts w:cs="Arial"/>
              </w:rPr>
              <w:t xml:space="preserve"> a person or </w:t>
            </w:r>
            <w:r>
              <w:rPr>
                <w:rFonts w:cs="Arial"/>
              </w:rPr>
              <w:t>people</w:t>
            </w:r>
            <w:r w:rsidRPr="008167FA">
              <w:rPr>
                <w:rFonts w:cs="Arial"/>
              </w:rPr>
              <w:t xml:space="preserve"> donated gametes or embryos before these guidelines were issued</w:t>
            </w:r>
            <w:r>
              <w:rPr>
                <w:rFonts w:cs="Arial"/>
              </w:rPr>
              <w:t>,</w:t>
            </w:r>
            <w:r w:rsidRPr="008167FA">
              <w:rPr>
                <w:rFonts w:cs="Arial"/>
              </w:rPr>
              <w:t xml:space="preserve"> and a procedure is now intended that had not been possible under the previous guidelines</w:t>
            </w:r>
            <w:r>
              <w:rPr>
                <w:rFonts w:cs="Arial"/>
              </w:rPr>
              <w:t>,</w:t>
            </w:r>
            <w:r w:rsidRPr="008167FA">
              <w:rPr>
                <w:rFonts w:cs="Arial"/>
              </w:rPr>
              <w:t xml:space="preserve"> the donors must give new consent.</w:t>
            </w:r>
          </w:p>
          <w:p w14:paraId="56C65D18" w14:textId="77777777" w:rsidR="00547D02" w:rsidRPr="00E47BA8" w:rsidRDefault="00547D02" w:rsidP="002D6FC1">
            <w:pPr>
              <w:pStyle w:val="TableText"/>
              <w:spacing w:before="180"/>
              <w:rPr>
                <w:b/>
              </w:rPr>
            </w:pPr>
            <w:r>
              <w:rPr>
                <w:b/>
              </w:rPr>
              <w:t>Consent requirements</w:t>
            </w:r>
          </w:p>
          <w:p w14:paraId="12EE5137" w14:textId="77777777" w:rsidR="00547D02" w:rsidRPr="00155578" w:rsidRDefault="00547D02" w:rsidP="000B1E32">
            <w:pPr>
              <w:pStyle w:val="TableText"/>
            </w:pPr>
            <w:r w:rsidRPr="00155578">
              <w:t>ECART must be satisfied that:</w:t>
            </w:r>
          </w:p>
          <w:p w14:paraId="5BAE693F" w14:textId="77777777" w:rsidR="00547D02" w:rsidRPr="00B4201C" w:rsidRDefault="00547D02" w:rsidP="00547D02">
            <w:pPr>
              <w:pStyle w:val="TableNumber"/>
              <w:numPr>
                <w:ilvl w:val="0"/>
                <w:numId w:val="42"/>
              </w:numPr>
              <w:spacing w:before="100" w:line="264" w:lineRule="auto"/>
            </w:pPr>
            <w:r w:rsidRPr="00B4201C">
              <w:t xml:space="preserve">where a procedure will involve the use of an embryo created from donated eggs and/or sperm, the gamete donor(s) consented to the </w:t>
            </w:r>
            <w:r w:rsidRPr="0072439C">
              <w:t>specific</w:t>
            </w:r>
            <w:r w:rsidRPr="00051891">
              <w:rPr>
                <w:color w:val="FF0000"/>
              </w:rPr>
              <w:t xml:space="preserve"> </w:t>
            </w:r>
            <w:r w:rsidRPr="00B4201C">
              <w:t>use of their gametes at the time of donation</w:t>
            </w:r>
            <w:r>
              <w:t xml:space="preserve"> </w:t>
            </w:r>
            <w:r w:rsidRPr="008C4D6B">
              <w:t>or subsequently</w:t>
            </w:r>
          </w:p>
          <w:p w14:paraId="4D086D8D" w14:textId="77777777" w:rsidR="00547D02" w:rsidRPr="00B4201C" w:rsidRDefault="00547D02" w:rsidP="00547D02">
            <w:pPr>
              <w:pStyle w:val="TableNumber"/>
              <w:numPr>
                <w:ilvl w:val="0"/>
                <w:numId w:val="42"/>
              </w:numPr>
              <w:spacing w:before="100" w:line="264" w:lineRule="auto"/>
            </w:pPr>
            <w:r w:rsidRPr="00B4201C">
              <w:t>implications counselling about the potential use of gametes was provided before the gamete donor consented</w:t>
            </w:r>
          </w:p>
          <w:p w14:paraId="575FA7FE" w14:textId="77777777" w:rsidR="00547D02" w:rsidRPr="00B4201C" w:rsidRDefault="00547D02" w:rsidP="00547D02">
            <w:pPr>
              <w:pStyle w:val="TableNumber"/>
              <w:numPr>
                <w:ilvl w:val="0"/>
                <w:numId w:val="42"/>
              </w:numPr>
              <w:spacing w:before="100" w:line="264" w:lineRule="auto"/>
            </w:pPr>
            <w:r w:rsidRPr="00B4201C">
              <w:t>all parties understand that the gamete donor can vary or withdraw consent only up until an embryo is created (in cases where consent is given before the embryo is created)</w:t>
            </w:r>
          </w:p>
          <w:p w14:paraId="0BBC9916" w14:textId="77777777" w:rsidR="00547D02" w:rsidRPr="00B4201C" w:rsidRDefault="00547D02" w:rsidP="00547D02">
            <w:pPr>
              <w:pStyle w:val="TableNumber"/>
              <w:numPr>
                <w:ilvl w:val="0"/>
                <w:numId w:val="42"/>
              </w:numPr>
              <w:spacing w:before="100" w:line="264" w:lineRule="auto"/>
            </w:pPr>
            <w:r w:rsidRPr="00B4201C">
              <w:t>where a procedure will involve the use of a donated embryo, the</w:t>
            </w:r>
            <w:r>
              <w:t xml:space="preserve"> original intending parents</w:t>
            </w:r>
            <w:r w:rsidRPr="00B4201C">
              <w:t xml:space="preserve"> </w:t>
            </w:r>
            <w:r>
              <w:t>(</w:t>
            </w:r>
            <w:proofErr w:type="spellStart"/>
            <w:r>
              <w:t>ie</w:t>
            </w:r>
            <w:proofErr w:type="spellEnd"/>
            <w:r>
              <w:t>, the people</w:t>
            </w:r>
            <w:r w:rsidRPr="00B4201C">
              <w:t xml:space="preserve"> who originally had the embryo created for themselves</w:t>
            </w:r>
            <w:r>
              <w:t xml:space="preserve">) must </w:t>
            </w:r>
            <w:r w:rsidRPr="00B4201C">
              <w:t xml:space="preserve">consent to the </w:t>
            </w:r>
            <w:r w:rsidRPr="0072439C">
              <w:t>specific</w:t>
            </w:r>
            <w:r>
              <w:t xml:space="preserve"> </w:t>
            </w:r>
            <w:r w:rsidRPr="00B4201C">
              <w:t>use of that embryo</w:t>
            </w:r>
            <w:r>
              <w:t>:</w:t>
            </w:r>
          </w:p>
          <w:p w14:paraId="5D49A45A" w14:textId="77777777" w:rsidR="00547D02" w:rsidRPr="002D6FC1" w:rsidRDefault="00547D02" w:rsidP="00547D02">
            <w:pPr>
              <w:pStyle w:val="TableLetter"/>
              <w:numPr>
                <w:ilvl w:val="1"/>
                <w:numId w:val="42"/>
              </w:numPr>
              <w:spacing w:before="60" w:after="60"/>
              <w:rPr>
                <w:szCs w:val="18"/>
              </w:rPr>
            </w:pPr>
            <w:r w:rsidRPr="002D6FC1">
              <w:rPr>
                <w:szCs w:val="18"/>
              </w:rPr>
              <w:t>at the time of donation, or</w:t>
            </w:r>
          </w:p>
          <w:p w14:paraId="6D32F5D9" w14:textId="77777777" w:rsidR="00547D02" w:rsidRPr="000B3D09" w:rsidRDefault="00547D02" w:rsidP="002D6FC1">
            <w:pPr>
              <w:pStyle w:val="TableLetter"/>
              <w:numPr>
                <w:ilvl w:val="1"/>
                <w:numId w:val="42"/>
              </w:numPr>
              <w:spacing w:before="60" w:after="60"/>
            </w:pPr>
            <w:r w:rsidRPr="002D6FC1">
              <w:rPr>
                <w:szCs w:val="18"/>
              </w:rPr>
              <w:t>if consent was not obtained at the time of the donation, when a procedure using such a donated embryo is contemplated</w:t>
            </w:r>
            <w:r w:rsidRPr="002D6FC1">
              <w:rPr>
                <w:rStyle w:val="FootnoteReference"/>
                <w:rFonts w:eastAsia="Calibri"/>
                <w:szCs w:val="18"/>
              </w:rPr>
              <w:footnoteReference w:id="2"/>
            </w:r>
          </w:p>
        </w:tc>
      </w:tr>
    </w:tbl>
    <w:p w14:paraId="5EB54D01" w14:textId="77777777" w:rsidR="00547D02" w:rsidRDefault="00547D02" w:rsidP="00547D02">
      <w:bookmarkStart w:id="13" w:name="_Hlk5322950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7D02" w:rsidRPr="00155578" w14:paraId="0DA33E8E" w14:textId="77777777" w:rsidTr="000B1E32">
        <w:trPr>
          <w:cantSplit/>
        </w:trPr>
        <w:tc>
          <w:tcPr>
            <w:tcW w:w="8789" w:type="dxa"/>
            <w:shd w:val="clear" w:color="auto" w:fill="auto"/>
          </w:tcPr>
          <w:p w14:paraId="6C5806C3" w14:textId="77777777" w:rsidR="00547D02" w:rsidRPr="00E47BA8" w:rsidRDefault="00547D02" w:rsidP="000B1E32">
            <w:pPr>
              <w:pStyle w:val="TableText"/>
            </w:pPr>
            <w:r w:rsidRPr="00E47BA8">
              <w:rPr>
                <w:b/>
              </w:rPr>
              <w:lastRenderedPageBreak/>
              <w:t>Consent requirements</w:t>
            </w:r>
            <w:r>
              <w:t xml:space="preserve"> (continued)</w:t>
            </w:r>
          </w:p>
          <w:p w14:paraId="08085A29" w14:textId="77777777" w:rsidR="00547D02" w:rsidRPr="00E47BA8" w:rsidRDefault="00547D02" w:rsidP="00547D02">
            <w:pPr>
              <w:pStyle w:val="TableNumber"/>
              <w:numPr>
                <w:ilvl w:val="0"/>
                <w:numId w:val="42"/>
              </w:numPr>
              <w:spacing w:before="100" w:line="264" w:lineRule="auto"/>
            </w:pPr>
            <w:r w:rsidRPr="00E47BA8">
              <w:t>where a procedure will involve the use of a re-donated embryo:</w:t>
            </w:r>
          </w:p>
          <w:p w14:paraId="437778FD" w14:textId="77777777" w:rsidR="00547D02" w:rsidRPr="00E47BA8" w:rsidRDefault="00547D02" w:rsidP="00547D02">
            <w:pPr>
              <w:pStyle w:val="TableLetter"/>
              <w:numPr>
                <w:ilvl w:val="1"/>
                <w:numId w:val="42"/>
              </w:numPr>
              <w:spacing w:before="60" w:after="60"/>
            </w:pPr>
            <w:r w:rsidRPr="00E47BA8">
              <w:t>consent to the specific use of the embryo is needed from both the:</w:t>
            </w:r>
          </w:p>
          <w:p w14:paraId="59694E30" w14:textId="77777777" w:rsidR="00547D02" w:rsidRPr="00E47BA8" w:rsidRDefault="00547D02" w:rsidP="00547D02">
            <w:pPr>
              <w:pStyle w:val="TableBullet"/>
              <w:spacing w:line="264" w:lineRule="auto"/>
              <w:ind w:left="1134"/>
            </w:pPr>
            <w:r w:rsidRPr="00E47BA8">
              <w:t xml:space="preserve">original intending parents </w:t>
            </w:r>
            <w:proofErr w:type="gramStart"/>
            <w:r w:rsidRPr="00E47BA8">
              <w:t>whether or not</w:t>
            </w:r>
            <w:proofErr w:type="gramEnd"/>
            <w:r w:rsidRPr="00E47BA8">
              <w:t xml:space="preserve"> they have had a child that would be a full genetic sibling to a child that would be born from the embryos that are now being donated, and</w:t>
            </w:r>
          </w:p>
          <w:p w14:paraId="37E95DD5" w14:textId="77777777" w:rsidR="00547D02" w:rsidRPr="00E47BA8" w:rsidRDefault="00547D02" w:rsidP="00547D02">
            <w:pPr>
              <w:pStyle w:val="TableBullet"/>
              <w:spacing w:line="264" w:lineRule="auto"/>
              <w:ind w:left="1134"/>
            </w:pPr>
            <w:r w:rsidRPr="00E47BA8">
              <w:t>recipient(s) of the donated embryos if they have already had offspring that would be a full genetic sibling to a child that would be born from the embryos that are now being donated</w:t>
            </w:r>
          </w:p>
          <w:p w14:paraId="0EC1786B" w14:textId="77777777" w:rsidR="00547D02" w:rsidRPr="00E47BA8" w:rsidRDefault="00547D02" w:rsidP="00547D02">
            <w:pPr>
              <w:pStyle w:val="TableLetter"/>
              <w:numPr>
                <w:ilvl w:val="1"/>
                <w:numId w:val="42"/>
              </w:numPr>
              <w:spacing w:before="60" w:after="60"/>
            </w:pPr>
            <w:r w:rsidRPr="00E47BA8">
              <w:t>that consent must be given:</w:t>
            </w:r>
          </w:p>
          <w:p w14:paraId="2F3551A7" w14:textId="77777777" w:rsidR="00547D02" w:rsidRPr="00E47BA8" w:rsidRDefault="00547D02" w:rsidP="00547D02">
            <w:pPr>
              <w:pStyle w:val="TableBullet"/>
              <w:spacing w:line="264" w:lineRule="auto"/>
              <w:ind w:left="1134"/>
            </w:pPr>
            <w:r w:rsidRPr="00E47BA8">
              <w:t>at the time of donation, or</w:t>
            </w:r>
          </w:p>
          <w:p w14:paraId="2B8A30A9" w14:textId="77777777" w:rsidR="00547D02" w:rsidRPr="00E47BA8" w:rsidRDefault="00547D02" w:rsidP="00547D02">
            <w:pPr>
              <w:pStyle w:val="TableBullet"/>
              <w:spacing w:line="264" w:lineRule="auto"/>
              <w:ind w:left="1134"/>
            </w:pPr>
            <w:r w:rsidRPr="00E47BA8">
              <w:t>if consent was not obtained at the time of the donation, when a procedure using such a donated embryo is contemplated</w:t>
            </w:r>
          </w:p>
          <w:p w14:paraId="6F7997B0" w14:textId="77777777" w:rsidR="00547D02" w:rsidRPr="002D6FC1" w:rsidRDefault="00547D02" w:rsidP="00547D02">
            <w:pPr>
              <w:pStyle w:val="TableLetter"/>
              <w:numPr>
                <w:ilvl w:val="1"/>
                <w:numId w:val="42"/>
              </w:numPr>
              <w:spacing w:before="60" w:after="60"/>
              <w:rPr>
                <w:szCs w:val="18"/>
              </w:rPr>
            </w:pPr>
            <w:r w:rsidRPr="002D6FC1">
              <w:rPr>
                <w:szCs w:val="18"/>
              </w:rPr>
              <w:t>a re-donation can only be made if either the original intending parent(s) or the recipients have not had offspring that would be a full genetic sibling to a child that would be born from the embryos (</w:t>
            </w:r>
            <w:proofErr w:type="spellStart"/>
            <w:r w:rsidRPr="002D6FC1">
              <w:rPr>
                <w:szCs w:val="18"/>
              </w:rPr>
              <w:t>ie</w:t>
            </w:r>
            <w:proofErr w:type="spellEnd"/>
            <w:r w:rsidRPr="002D6FC1">
              <w:rPr>
                <w:szCs w:val="18"/>
              </w:rPr>
              <w:t>, the limit of two families that can have full genetic siblings applies)</w:t>
            </w:r>
          </w:p>
          <w:p w14:paraId="26BD220A" w14:textId="77777777" w:rsidR="00547D02" w:rsidRPr="00E47BA8" w:rsidRDefault="00547D02" w:rsidP="00547D02">
            <w:pPr>
              <w:pStyle w:val="TableNumber"/>
              <w:numPr>
                <w:ilvl w:val="0"/>
                <w:numId w:val="42"/>
              </w:numPr>
              <w:spacing w:before="100" w:line="264" w:lineRule="auto"/>
            </w:pPr>
            <w:r w:rsidRPr="00E47BA8">
              <w:t xml:space="preserve">all parties understand that, once an embryo is created, the original intending parents have the authority to vary or withdraw consent up to the time the embryo is transferred to the uterus. The recipients have the authority to consent to the embryo donation if </w:t>
            </w:r>
            <w:proofErr w:type="gramStart"/>
            <w:r w:rsidRPr="00E47BA8">
              <w:t>all of</w:t>
            </w:r>
            <w:proofErr w:type="gramEnd"/>
            <w:r w:rsidRPr="00E47BA8">
              <w:t xml:space="preserve"> the following conditions apply:</w:t>
            </w:r>
          </w:p>
          <w:p w14:paraId="40CFB113" w14:textId="77777777" w:rsidR="00547D02" w:rsidRPr="00E47BA8" w:rsidRDefault="00547D02" w:rsidP="00547D02">
            <w:pPr>
              <w:pStyle w:val="TableBullet"/>
              <w:spacing w:line="264" w:lineRule="auto"/>
            </w:pPr>
            <w:r w:rsidRPr="00E47BA8">
              <w:t>the original intending parents did not have a child that would be a full genetic sibling to a child born from the donated embryo</w:t>
            </w:r>
          </w:p>
          <w:p w14:paraId="7AC8FEC4" w14:textId="77777777" w:rsidR="00547D02" w:rsidRPr="00E47BA8" w:rsidRDefault="00547D02" w:rsidP="00547D02">
            <w:pPr>
              <w:pStyle w:val="TableBullet"/>
              <w:spacing w:line="264" w:lineRule="auto"/>
            </w:pPr>
            <w:r w:rsidRPr="00E47BA8">
              <w:t>the original intending parents did not have any gametes in the embryos</w:t>
            </w:r>
          </w:p>
          <w:p w14:paraId="0BE28F61" w14:textId="77777777" w:rsidR="00547D02" w:rsidRPr="00E47BA8" w:rsidRDefault="00547D02" w:rsidP="00547D02">
            <w:pPr>
              <w:pStyle w:val="TableBullet"/>
              <w:spacing w:line="264" w:lineRule="auto"/>
            </w:pPr>
            <w:r w:rsidRPr="00E47BA8">
              <w:t>the recipients who will now donate did have a child that would be so related.</w:t>
            </w:r>
          </w:p>
        </w:tc>
      </w:tr>
      <w:bookmarkEnd w:id="13"/>
      <w:tr w:rsidR="00547D02" w:rsidRPr="000B3D09" w14:paraId="7C2E04E8" w14:textId="77777777" w:rsidTr="000B1E32">
        <w:trPr>
          <w:cantSplit/>
        </w:trPr>
        <w:tc>
          <w:tcPr>
            <w:tcW w:w="8789" w:type="dxa"/>
            <w:shd w:val="clear" w:color="auto" w:fill="auto"/>
          </w:tcPr>
          <w:p w14:paraId="4AA3778C" w14:textId="77777777" w:rsidR="00547D02" w:rsidRPr="00E47BA8" w:rsidRDefault="00547D02" w:rsidP="000B1E32">
            <w:pPr>
              <w:pStyle w:val="TableText"/>
              <w:rPr>
                <w:b/>
              </w:rPr>
            </w:pPr>
            <w:r w:rsidRPr="00E47BA8">
              <w:rPr>
                <w:b/>
              </w:rPr>
              <w:t>Legal advice requirements</w:t>
            </w:r>
          </w:p>
        </w:tc>
      </w:tr>
      <w:tr w:rsidR="00547D02" w:rsidRPr="00155578" w14:paraId="1344EF9A" w14:textId="77777777" w:rsidTr="000B1E32">
        <w:trPr>
          <w:cantSplit/>
        </w:trPr>
        <w:tc>
          <w:tcPr>
            <w:tcW w:w="8789" w:type="dxa"/>
            <w:shd w:val="clear" w:color="auto" w:fill="auto"/>
          </w:tcPr>
          <w:p w14:paraId="0C7F2A53" w14:textId="77777777" w:rsidR="00547D02" w:rsidRPr="00155578" w:rsidRDefault="00547D02" w:rsidP="000B1E32">
            <w:pPr>
              <w:pStyle w:val="TableText"/>
            </w:pPr>
            <w:r w:rsidRPr="00155578">
              <w:t>ECART must be satisfied that:</w:t>
            </w:r>
          </w:p>
          <w:p w14:paraId="05877751" w14:textId="77777777" w:rsidR="00547D02" w:rsidRPr="002F1793" w:rsidRDefault="00547D02" w:rsidP="00547D02">
            <w:pPr>
              <w:pStyle w:val="TableNumber"/>
              <w:numPr>
                <w:ilvl w:val="0"/>
                <w:numId w:val="42"/>
              </w:numPr>
              <w:spacing w:before="100" w:line="264" w:lineRule="auto"/>
            </w:pPr>
            <w:r w:rsidRPr="00155578">
              <w:t xml:space="preserve">where </w:t>
            </w:r>
            <w:r w:rsidRPr="002F1793">
              <w:t>an application includes a surrogacy arrangement, each party has received independent legal advice</w:t>
            </w:r>
          </w:p>
          <w:p w14:paraId="38F904A4" w14:textId="77777777" w:rsidR="00547D02" w:rsidRPr="002F1793" w:rsidRDefault="00547D02" w:rsidP="00547D02">
            <w:pPr>
              <w:pStyle w:val="TableNumber"/>
              <w:numPr>
                <w:ilvl w:val="0"/>
                <w:numId w:val="42"/>
              </w:numPr>
              <w:spacing w:before="100" w:line="264" w:lineRule="auto"/>
            </w:pPr>
            <w:r w:rsidRPr="002F1793">
              <w:t>where an application does not include a surrogacy arrangement, each party has considered the option of seeking independent legal advice</w:t>
            </w:r>
          </w:p>
          <w:p w14:paraId="4433D37B" w14:textId="77777777" w:rsidR="00547D02" w:rsidRPr="00155578" w:rsidRDefault="00547D02" w:rsidP="00547D02">
            <w:pPr>
              <w:pStyle w:val="TableNumber"/>
              <w:numPr>
                <w:ilvl w:val="0"/>
                <w:numId w:val="42"/>
              </w:numPr>
              <w:spacing w:before="100" w:line="264" w:lineRule="auto"/>
            </w:pPr>
            <w:r w:rsidRPr="002F1793">
              <w:t>any legal reports</w:t>
            </w:r>
            <w:r w:rsidRPr="00155578">
              <w:t xml:space="preserve"> show that parties understand the legal implications of the procedure(s).</w:t>
            </w:r>
          </w:p>
        </w:tc>
      </w:tr>
      <w:tr w:rsidR="00547D02" w:rsidRPr="00D27387" w14:paraId="1D0AF4FA" w14:textId="77777777" w:rsidTr="000B1E32">
        <w:trPr>
          <w:cantSplit/>
        </w:trPr>
        <w:tc>
          <w:tcPr>
            <w:tcW w:w="8789" w:type="dxa"/>
            <w:shd w:val="clear" w:color="auto" w:fill="auto"/>
          </w:tcPr>
          <w:p w14:paraId="56A89939" w14:textId="77777777" w:rsidR="00547D02" w:rsidRPr="00E47BA8" w:rsidRDefault="00547D02" w:rsidP="000B1E32">
            <w:pPr>
              <w:pStyle w:val="TableText"/>
              <w:rPr>
                <w:b/>
              </w:rPr>
            </w:pPr>
            <w:r w:rsidRPr="00E47BA8">
              <w:rPr>
                <w:b/>
              </w:rPr>
              <w:t>Health advice requirements</w:t>
            </w:r>
          </w:p>
        </w:tc>
      </w:tr>
      <w:tr w:rsidR="00547D02" w:rsidRPr="00155578" w14:paraId="43DE0C7C" w14:textId="77777777" w:rsidTr="000B1E32">
        <w:trPr>
          <w:cantSplit/>
        </w:trPr>
        <w:tc>
          <w:tcPr>
            <w:tcW w:w="8789" w:type="dxa"/>
            <w:shd w:val="clear" w:color="auto" w:fill="auto"/>
          </w:tcPr>
          <w:p w14:paraId="4864E96B" w14:textId="77777777" w:rsidR="00547D02" w:rsidRPr="00155578" w:rsidRDefault="00547D02" w:rsidP="000B1E32">
            <w:pPr>
              <w:pStyle w:val="TableText"/>
            </w:pPr>
            <w:r w:rsidRPr="00155578">
              <w:t>ECART must be satisfied that:</w:t>
            </w:r>
          </w:p>
          <w:p w14:paraId="625B9C77" w14:textId="77777777" w:rsidR="00547D02" w:rsidRPr="00155578" w:rsidRDefault="00547D02" w:rsidP="00547D02">
            <w:pPr>
              <w:pStyle w:val="TableNumber"/>
              <w:numPr>
                <w:ilvl w:val="0"/>
                <w:numId w:val="42"/>
              </w:numPr>
              <w:spacing w:before="100" w:line="264" w:lineRule="auto"/>
            </w:pPr>
            <w:r w:rsidRPr="00155578">
              <w:t>all parties have received independent medical advice</w:t>
            </w:r>
          </w:p>
          <w:p w14:paraId="6F8E5EF7" w14:textId="77777777" w:rsidR="00547D02" w:rsidRPr="00155578" w:rsidRDefault="00547D02" w:rsidP="00547D02">
            <w:pPr>
              <w:pStyle w:val="TableNumber"/>
              <w:numPr>
                <w:ilvl w:val="0"/>
                <w:numId w:val="42"/>
              </w:numPr>
              <w:spacing w:before="100" w:line="264" w:lineRule="auto"/>
            </w:pPr>
            <w:r w:rsidRPr="00155578">
              <w:t>health reports show the parties understand the health implications of the procedure(s).</w:t>
            </w:r>
          </w:p>
        </w:tc>
      </w:tr>
    </w:tbl>
    <w:p w14:paraId="3891DA79" w14:textId="77777777" w:rsidR="00547D02" w:rsidRDefault="00547D02" w:rsidP="00547D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47D02" w:rsidRPr="00D27387" w14:paraId="4AA9795D" w14:textId="77777777" w:rsidTr="000B1E32">
        <w:trPr>
          <w:cantSplit/>
        </w:trPr>
        <w:tc>
          <w:tcPr>
            <w:tcW w:w="8789" w:type="dxa"/>
            <w:tcBorders>
              <w:bottom w:val="single" w:sz="4" w:space="0" w:color="auto"/>
            </w:tcBorders>
            <w:shd w:val="clear" w:color="auto" w:fill="C5E0B3"/>
          </w:tcPr>
          <w:p w14:paraId="4E771D3D" w14:textId="77777777" w:rsidR="00547D02" w:rsidRPr="0072436F" w:rsidRDefault="00547D02" w:rsidP="000B1E32">
            <w:pPr>
              <w:pStyle w:val="TableText"/>
              <w:keepNext/>
              <w:jc w:val="center"/>
              <w:rPr>
                <w:b/>
              </w:rPr>
            </w:pPr>
            <w:r w:rsidRPr="0072436F">
              <w:rPr>
                <w:b/>
              </w:rPr>
              <w:lastRenderedPageBreak/>
              <w:br w:type="page"/>
              <w:t>Additional provisions that apply to specific procedures</w:t>
            </w:r>
          </w:p>
        </w:tc>
      </w:tr>
      <w:tr w:rsidR="00547D02" w:rsidRPr="00D27387" w14:paraId="708B43C5" w14:textId="77777777" w:rsidTr="000B1E32">
        <w:trPr>
          <w:cantSplit/>
        </w:trPr>
        <w:tc>
          <w:tcPr>
            <w:tcW w:w="8789" w:type="dxa"/>
            <w:shd w:val="clear" w:color="auto" w:fill="DEEAF6"/>
          </w:tcPr>
          <w:p w14:paraId="62A1B435" w14:textId="77777777" w:rsidR="00547D02" w:rsidRPr="0072436F" w:rsidRDefault="00547D02" w:rsidP="000B1E32">
            <w:pPr>
              <w:pStyle w:val="TableText"/>
              <w:keepNext/>
              <w:rPr>
                <w:b/>
              </w:rPr>
            </w:pPr>
            <w:r w:rsidRPr="0072436F">
              <w:rPr>
                <w:b/>
              </w:rPr>
              <w:t>Use of gametes donated between certain family members</w:t>
            </w:r>
          </w:p>
        </w:tc>
      </w:tr>
      <w:tr w:rsidR="00547D02" w:rsidRPr="00155578" w14:paraId="683DAD15" w14:textId="77777777" w:rsidTr="000B1E32">
        <w:trPr>
          <w:cantSplit/>
        </w:trPr>
        <w:tc>
          <w:tcPr>
            <w:tcW w:w="8789" w:type="dxa"/>
            <w:shd w:val="clear" w:color="auto" w:fill="auto"/>
          </w:tcPr>
          <w:p w14:paraId="29B3D9B3" w14:textId="77777777" w:rsidR="00547D02" w:rsidRPr="00B4201C" w:rsidRDefault="00547D02" w:rsidP="000B1E32">
            <w:pPr>
              <w:pStyle w:val="TableText"/>
            </w:pPr>
            <w:r w:rsidRPr="00C96673">
              <w:rPr>
                <w:b/>
              </w:rPr>
              <w:t>ECART must not approve</w:t>
            </w:r>
            <w:r>
              <w:t xml:space="preserve"> </w:t>
            </w:r>
            <w:r w:rsidRPr="00386E8E">
              <w:t>an application for donation where any resulting child would be formed by eggs and sperm respectively donated from</w:t>
            </w:r>
            <w:r w:rsidRPr="00B4201C">
              <w:t xml:space="preserve"> close relatives who are genetically related. These relatives are:</w:t>
            </w:r>
          </w:p>
          <w:p w14:paraId="73B368B0" w14:textId="77777777" w:rsidR="00547D02" w:rsidRPr="00B4201C" w:rsidRDefault="00547D02" w:rsidP="00547D02">
            <w:pPr>
              <w:pStyle w:val="TableBullet"/>
              <w:spacing w:line="264" w:lineRule="auto"/>
              <w:ind w:left="284"/>
            </w:pPr>
            <w:r w:rsidRPr="00B4201C">
              <w:t>father and daughter</w:t>
            </w:r>
          </w:p>
          <w:p w14:paraId="44C41EC6" w14:textId="77777777" w:rsidR="00547D02" w:rsidRPr="00B4201C" w:rsidRDefault="00547D02" w:rsidP="00547D02">
            <w:pPr>
              <w:pStyle w:val="TableBullet"/>
              <w:spacing w:line="264" w:lineRule="auto"/>
              <w:ind w:left="284"/>
            </w:pPr>
            <w:r w:rsidRPr="00B4201C">
              <w:t>mother and son</w:t>
            </w:r>
          </w:p>
          <w:p w14:paraId="32DD6F11" w14:textId="77777777" w:rsidR="00547D02" w:rsidRPr="00B4201C" w:rsidRDefault="00547D02" w:rsidP="00547D02">
            <w:pPr>
              <w:pStyle w:val="TableBullet"/>
              <w:spacing w:line="264" w:lineRule="auto"/>
              <w:ind w:left="284"/>
            </w:pPr>
            <w:r w:rsidRPr="00B4201C">
              <w:t>brother and sister</w:t>
            </w:r>
          </w:p>
          <w:p w14:paraId="73FAB08C" w14:textId="77777777" w:rsidR="00547D02" w:rsidRPr="00B4201C" w:rsidRDefault="00547D02" w:rsidP="00547D02">
            <w:pPr>
              <w:pStyle w:val="TableBullet"/>
              <w:spacing w:line="264" w:lineRule="auto"/>
              <w:ind w:left="284"/>
            </w:pPr>
            <w:r w:rsidRPr="00B4201C">
              <w:t>grandfather and granddaughter</w:t>
            </w:r>
          </w:p>
          <w:p w14:paraId="7353CEBC" w14:textId="77777777" w:rsidR="00547D02" w:rsidRPr="00B4201C" w:rsidRDefault="00547D02" w:rsidP="00547D02">
            <w:pPr>
              <w:pStyle w:val="TableBullet"/>
              <w:spacing w:line="264" w:lineRule="auto"/>
              <w:ind w:left="284"/>
            </w:pPr>
            <w:r w:rsidRPr="00B4201C">
              <w:t>grandmother and grandson</w:t>
            </w:r>
          </w:p>
          <w:p w14:paraId="712F0771" w14:textId="77777777" w:rsidR="00547D02" w:rsidRPr="00B4201C" w:rsidRDefault="00547D02" w:rsidP="00547D02">
            <w:pPr>
              <w:pStyle w:val="TableBullet"/>
              <w:spacing w:line="264" w:lineRule="auto"/>
              <w:ind w:left="284"/>
            </w:pPr>
            <w:r w:rsidRPr="00B4201C">
              <w:t>half-brother and half-sister</w:t>
            </w:r>
          </w:p>
          <w:p w14:paraId="343D71B6" w14:textId="77777777" w:rsidR="00547D02" w:rsidRPr="00B4201C" w:rsidRDefault="00547D02" w:rsidP="00547D02">
            <w:pPr>
              <w:pStyle w:val="TableBullet"/>
              <w:spacing w:line="264" w:lineRule="auto"/>
              <w:ind w:left="284"/>
            </w:pPr>
            <w:r w:rsidRPr="00B4201C">
              <w:t>uncle and niece</w:t>
            </w:r>
          </w:p>
          <w:p w14:paraId="3440301B" w14:textId="77777777" w:rsidR="00547D02" w:rsidRPr="00B4201C" w:rsidRDefault="00547D02" w:rsidP="00547D02">
            <w:pPr>
              <w:pStyle w:val="TableBullet"/>
              <w:spacing w:line="264" w:lineRule="auto"/>
              <w:ind w:left="284"/>
            </w:pPr>
            <w:r w:rsidRPr="00B4201C">
              <w:t>aunt and nephew</w:t>
            </w:r>
          </w:p>
          <w:p w14:paraId="1D823F3F" w14:textId="77777777" w:rsidR="00547D02" w:rsidRPr="00B4201C" w:rsidRDefault="00547D02" w:rsidP="00547D02">
            <w:pPr>
              <w:pStyle w:val="TableBullet"/>
              <w:spacing w:line="264" w:lineRule="auto"/>
              <w:ind w:left="284"/>
            </w:pPr>
            <w:r w:rsidRPr="00B4201C">
              <w:t>uncle and half-niece</w:t>
            </w:r>
          </w:p>
          <w:p w14:paraId="28C119A6" w14:textId="77777777" w:rsidR="00547D02" w:rsidRPr="00B4201C" w:rsidRDefault="00547D02" w:rsidP="00547D02">
            <w:pPr>
              <w:pStyle w:val="TableBullet"/>
              <w:spacing w:line="264" w:lineRule="auto"/>
              <w:ind w:left="284"/>
            </w:pPr>
            <w:r w:rsidRPr="00B4201C">
              <w:t>aunt and half-nephew.</w:t>
            </w:r>
          </w:p>
          <w:p w14:paraId="1301ACE8" w14:textId="77777777" w:rsidR="00547D02" w:rsidRPr="00C96673" w:rsidRDefault="00547D02" w:rsidP="000B1E32">
            <w:pPr>
              <w:pStyle w:val="TableText"/>
              <w:spacing w:before="240"/>
              <w:rPr>
                <w:b/>
                <w:strike/>
              </w:rPr>
            </w:pPr>
            <w:r w:rsidRPr="00C96673">
              <w:rPr>
                <w:b/>
              </w:rPr>
              <w:t>Requirements</w:t>
            </w:r>
          </w:p>
          <w:p w14:paraId="4252EB37" w14:textId="77777777" w:rsidR="00547D02" w:rsidRPr="00B4201C" w:rsidRDefault="00547D02" w:rsidP="000B1E32">
            <w:pPr>
              <w:pStyle w:val="TableText"/>
            </w:pPr>
            <w:r w:rsidRPr="00D27EC5">
              <w:t>ECART</w:t>
            </w:r>
            <w:r w:rsidRPr="00B4201C">
              <w:t xml:space="preserve"> must be satisfied that</w:t>
            </w:r>
            <w:r>
              <w:t>:</w:t>
            </w:r>
          </w:p>
          <w:p w14:paraId="021679E5" w14:textId="77777777" w:rsidR="00547D02" w:rsidRDefault="00547D02" w:rsidP="00547D02">
            <w:pPr>
              <w:pStyle w:val="TableNumber"/>
              <w:numPr>
                <w:ilvl w:val="0"/>
                <w:numId w:val="42"/>
              </w:numPr>
              <w:spacing w:before="100" w:line="264" w:lineRule="auto"/>
            </w:pPr>
            <w:r w:rsidRPr="00B4201C">
              <w:t>the parties to the donation are not subject to undue influence</w:t>
            </w:r>
          </w:p>
          <w:p w14:paraId="334F02A9" w14:textId="77777777" w:rsidR="00547D02" w:rsidRPr="00B4201C" w:rsidRDefault="00547D02" w:rsidP="00547D02">
            <w:pPr>
              <w:pStyle w:val="TableNumber"/>
              <w:numPr>
                <w:ilvl w:val="0"/>
                <w:numId w:val="42"/>
              </w:numPr>
              <w:spacing w:before="100" w:line="264" w:lineRule="auto"/>
            </w:pPr>
            <w:r w:rsidRPr="00B4201C">
              <w:t>the health and wellbeing of the offspring and any other parties to the donation are not compromised by the procedure, including, for example, by intergenerational complexities</w:t>
            </w:r>
          </w:p>
          <w:p w14:paraId="7925D746" w14:textId="77777777" w:rsidR="00547D02" w:rsidRDefault="00547D02" w:rsidP="00547D02">
            <w:pPr>
              <w:pStyle w:val="TableNumber"/>
              <w:numPr>
                <w:ilvl w:val="0"/>
                <w:numId w:val="42"/>
              </w:numPr>
              <w:spacing w:before="100" w:line="264" w:lineRule="auto"/>
            </w:pPr>
            <w:r w:rsidRPr="00B4201C">
              <w:t>affected parties have received joint counselling</w:t>
            </w:r>
          </w:p>
          <w:p w14:paraId="3BC08D05" w14:textId="77777777" w:rsidR="00547D02" w:rsidRPr="00B4201C" w:rsidRDefault="00547D02" w:rsidP="00547D02">
            <w:pPr>
              <w:pStyle w:val="TableNumber"/>
              <w:numPr>
                <w:ilvl w:val="0"/>
                <w:numId w:val="42"/>
              </w:numPr>
              <w:spacing w:before="100" w:line="264" w:lineRule="auto"/>
            </w:pPr>
            <w:bookmarkStart w:id="14" w:name="_Ref14124300"/>
            <w:r w:rsidRPr="00B4201C">
              <w:t xml:space="preserve">the relationship between the intending parent(s) and the other family members safeguards the wellbeing of all parties and especially </w:t>
            </w:r>
            <w:r>
              <w:t xml:space="preserve">of </w:t>
            </w:r>
            <w:r w:rsidRPr="00B4201C">
              <w:t>any resulting offspring.</w:t>
            </w:r>
            <w:bookmarkEnd w:id="14"/>
          </w:p>
          <w:p w14:paraId="64EEC491" w14:textId="77777777" w:rsidR="00547D02" w:rsidRPr="00C96673" w:rsidRDefault="00547D02" w:rsidP="000B1E32">
            <w:pPr>
              <w:pStyle w:val="TableText"/>
              <w:spacing w:before="240"/>
              <w:rPr>
                <w:b/>
              </w:rPr>
            </w:pPr>
            <w:r w:rsidRPr="00C96673">
              <w:rPr>
                <w:b/>
              </w:rPr>
              <w:t>Notes</w:t>
            </w:r>
          </w:p>
          <w:p w14:paraId="36F7E104" w14:textId="77777777" w:rsidR="00547D02" w:rsidRPr="00B4201C" w:rsidRDefault="00547D02" w:rsidP="000B1E32">
            <w:pPr>
              <w:pStyle w:val="TableText"/>
            </w:pPr>
            <w:r w:rsidRPr="00B4201C">
              <w:t>Ethical approval is not required for family donations</w:t>
            </w:r>
            <w:r>
              <w:t xml:space="preserve"> where:</w:t>
            </w:r>
          </w:p>
          <w:p w14:paraId="5E803755" w14:textId="77777777" w:rsidR="00547D02" w:rsidRPr="00155578" w:rsidRDefault="00547D02" w:rsidP="00547D02">
            <w:pPr>
              <w:pStyle w:val="TableBullet"/>
              <w:spacing w:line="264" w:lineRule="auto"/>
              <w:ind w:left="284"/>
            </w:pPr>
            <w:r>
              <w:t>for</w:t>
            </w:r>
            <w:r w:rsidRPr="00155578">
              <w:t xml:space="preserve"> donated eggs, the donor is a sister or cousin of the recipient woman (where both are </w:t>
            </w:r>
            <w:r>
              <w:t xml:space="preserve">aged </w:t>
            </w:r>
            <w:r w:rsidRPr="00155578">
              <w:t>20</w:t>
            </w:r>
            <w:r>
              <w:t> </w:t>
            </w:r>
            <w:r w:rsidRPr="00155578">
              <w:t>years or older)</w:t>
            </w:r>
          </w:p>
          <w:p w14:paraId="77D7B2C2" w14:textId="77777777" w:rsidR="00547D02" w:rsidRPr="00155578" w:rsidRDefault="00547D02" w:rsidP="00547D02">
            <w:pPr>
              <w:pStyle w:val="TableBullet"/>
              <w:spacing w:line="264" w:lineRule="auto"/>
              <w:ind w:left="284"/>
            </w:pPr>
            <w:r>
              <w:t xml:space="preserve">for </w:t>
            </w:r>
            <w:r w:rsidRPr="00155578">
              <w:t>donated sperm, the donor is a brother or cousin of the recipient woman</w:t>
            </w:r>
            <w:r w:rsidR="000A0B49">
              <w:t>’</w:t>
            </w:r>
            <w:r w:rsidRPr="00155578">
              <w:t xml:space="preserve">s spouse or partner (where both are </w:t>
            </w:r>
            <w:r>
              <w:t xml:space="preserve">aged </w:t>
            </w:r>
            <w:r w:rsidRPr="00155578">
              <w:t>20 years or older)</w:t>
            </w:r>
          </w:p>
          <w:p w14:paraId="28F1B87C" w14:textId="77777777" w:rsidR="00547D02" w:rsidRPr="00155578" w:rsidRDefault="00547D02" w:rsidP="00547D02">
            <w:pPr>
              <w:pStyle w:val="TableBullet"/>
              <w:spacing w:line="264" w:lineRule="auto"/>
              <w:ind w:left="284"/>
            </w:pPr>
            <w:r>
              <w:t>for</w:t>
            </w:r>
            <w:r w:rsidRPr="00155578">
              <w:t xml:space="preserve"> a procedure that involves the use of the eggs of the recipient woman</w:t>
            </w:r>
            <w:r w:rsidR="000A0B49">
              <w:t>’</w:t>
            </w:r>
            <w:r>
              <w:t>s</w:t>
            </w:r>
            <w:r w:rsidRPr="00155578">
              <w:t xml:space="preserve"> female partner and donated sperm, the sperm donor is a brother or cousin of the recipient woman (where both are </w:t>
            </w:r>
            <w:r>
              <w:t xml:space="preserve">aged </w:t>
            </w:r>
            <w:r w:rsidRPr="00155578">
              <w:t>20 years or older).</w:t>
            </w:r>
          </w:p>
          <w:p w14:paraId="5C3F3833" w14:textId="77777777" w:rsidR="00547D02" w:rsidRPr="00B4201C" w:rsidRDefault="00547D02" w:rsidP="000B1E32">
            <w:pPr>
              <w:pStyle w:val="TableText"/>
            </w:pPr>
            <w:r w:rsidRPr="00B4201C">
              <w:t xml:space="preserve">If </w:t>
            </w:r>
            <w:r>
              <w:t xml:space="preserve">a </w:t>
            </w:r>
            <w:r w:rsidRPr="00B4201C">
              <w:t>clinic</w:t>
            </w:r>
            <w:r>
              <w:t xml:space="preserve"> is</w:t>
            </w:r>
            <w:r w:rsidRPr="00B4201C">
              <w:t xml:space="preserve"> unsure</w:t>
            </w:r>
            <w:r>
              <w:t xml:space="preserve"> about a case, it can request an ethical review</w:t>
            </w:r>
            <w:r w:rsidRPr="00B4201C">
              <w:t xml:space="preserve"> from ECART.</w:t>
            </w:r>
          </w:p>
          <w:p w14:paraId="005BDD7D" w14:textId="77777777" w:rsidR="00547D02" w:rsidRPr="00385E47" w:rsidRDefault="00547D02" w:rsidP="000B1E32">
            <w:pPr>
              <w:pStyle w:val="TableText"/>
              <w:spacing w:before="240"/>
            </w:pPr>
            <w:r w:rsidRPr="00C96673">
              <w:rPr>
                <w:b/>
              </w:rPr>
              <w:t>The HART Order defines a family member, for the purposes of donation, as</w:t>
            </w:r>
            <w:r w:rsidRPr="00155578">
              <w:t xml:space="preserve"> any other person who</w:t>
            </w:r>
            <w:r w:rsidRPr="00284EAC">
              <w:t>:</w:t>
            </w:r>
          </w:p>
          <w:p w14:paraId="5F4CB988" w14:textId="77777777" w:rsidR="00547D02" w:rsidRPr="00155578" w:rsidRDefault="00547D02" w:rsidP="00547D02">
            <w:pPr>
              <w:pStyle w:val="TableBullet"/>
              <w:spacing w:line="264" w:lineRule="auto"/>
              <w:ind w:left="284"/>
            </w:pPr>
            <w:r w:rsidRPr="00155578">
              <w:t>is or has been related to the person by blood, marriage, civil union, de facto relationship or adoption</w:t>
            </w:r>
          </w:p>
          <w:p w14:paraId="1D768E4C" w14:textId="77777777" w:rsidR="00547D02" w:rsidRPr="00155578" w:rsidRDefault="00547D02" w:rsidP="00547D02">
            <w:pPr>
              <w:pStyle w:val="TableBullet"/>
              <w:spacing w:line="264" w:lineRule="auto"/>
              <w:ind w:left="284"/>
            </w:pPr>
            <w:r w:rsidRPr="00155578">
              <w:t>is a member of the person</w:t>
            </w:r>
            <w:r w:rsidR="000A0B49">
              <w:t>’</w:t>
            </w:r>
            <w:r w:rsidRPr="00155578">
              <w:t xml:space="preserve">s </w:t>
            </w:r>
            <w:proofErr w:type="spellStart"/>
            <w:r w:rsidRPr="00155578">
              <w:t>whānau</w:t>
            </w:r>
            <w:proofErr w:type="spellEnd"/>
            <w:r w:rsidRPr="00155578">
              <w:t xml:space="preserve"> or other culturally recognised family group.</w:t>
            </w:r>
          </w:p>
        </w:tc>
      </w:tr>
      <w:tr w:rsidR="00547D02" w:rsidRPr="0072436F" w14:paraId="4874B126" w14:textId="77777777" w:rsidTr="000B1E32">
        <w:trPr>
          <w:cantSplit/>
        </w:trPr>
        <w:tc>
          <w:tcPr>
            <w:tcW w:w="8789" w:type="dxa"/>
            <w:tcBorders>
              <w:bottom w:val="single" w:sz="4" w:space="0" w:color="auto"/>
            </w:tcBorders>
            <w:shd w:val="clear" w:color="auto" w:fill="DEEAF6"/>
          </w:tcPr>
          <w:p w14:paraId="2125F6AB" w14:textId="77777777" w:rsidR="00547D02" w:rsidRPr="0072436F" w:rsidRDefault="00547D02" w:rsidP="000B1E32">
            <w:pPr>
              <w:pStyle w:val="TableText"/>
              <w:keepNext/>
              <w:rPr>
                <w:b/>
              </w:rPr>
            </w:pPr>
            <w:r w:rsidRPr="0072436F">
              <w:rPr>
                <w:b/>
              </w:rPr>
              <w:lastRenderedPageBreak/>
              <w:t>Embryo donation and use</w:t>
            </w:r>
          </w:p>
        </w:tc>
      </w:tr>
      <w:tr w:rsidR="00547D02" w:rsidRPr="00155578" w14:paraId="6171D530" w14:textId="77777777" w:rsidTr="000B1E32">
        <w:trPr>
          <w:cantSplit/>
        </w:trPr>
        <w:tc>
          <w:tcPr>
            <w:tcW w:w="8789" w:type="dxa"/>
            <w:tcBorders>
              <w:top w:val="single" w:sz="4" w:space="0" w:color="auto"/>
              <w:left w:val="single" w:sz="4" w:space="0" w:color="auto"/>
              <w:bottom w:val="nil"/>
              <w:right w:val="single" w:sz="4" w:space="0" w:color="auto"/>
            </w:tcBorders>
            <w:shd w:val="clear" w:color="auto" w:fill="auto"/>
          </w:tcPr>
          <w:p w14:paraId="3FBCCD08" w14:textId="77777777" w:rsidR="00547D02" w:rsidRPr="005D4693" w:rsidRDefault="00547D02" w:rsidP="000B1E32">
            <w:pPr>
              <w:pStyle w:val="TableText"/>
              <w:rPr>
                <w:b/>
              </w:rPr>
            </w:pPr>
            <w:r w:rsidRPr="005D4693">
              <w:rPr>
                <w:b/>
              </w:rPr>
              <w:t>Notes</w:t>
            </w:r>
          </w:p>
          <w:p w14:paraId="491277A9" w14:textId="77777777" w:rsidR="00547D02" w:rsidRPr="005D4693" w:rsidRDefault="00547D02" w:rsidP="000B1E32">
            <w:pPr>
              <w:pStyle w:val="TableText"/>
            </w:pPr>
            <w:r w:rsidRPr="005D4693">
              <w:t>(a)</w:t>
            </w:r>
            <w:r w:rsidRPr="005D4693">
              <w:tab/>
              <w:t xml:space="preserve">Embryo </w:t>
            </w:r>
            <w:r w:rsidRPr="005D4693">
              <w:rPr>
                <w:b/>
              </w:rPr>
              <w:t>donation</w:t>
            </w:r>
            <w:r w:rsidRPr="005D4693">
              <w:t xml:space="preserve"> includes the:</w:t>
            </w:r>
          </w:p>
          <w:p w14:paraId="64855A5F" w14:textId="77777777" w:rsidR="00547D02" w:rsidRPr="005D4693" w:rsidRDefault="00547D02" w:rsidP="00547D02">
            <w:pPr>
              <w:pStyle w:val="TableBullet"/>
              <w:spacing w:line="264" w:lineRule="auto"/>
              <w:ind w:left="851"/>
            </w:pPr>
            <w:r w:rsidRPr="005D4693">
              <w:t>agreement to donate a stated number of surplus embryos</w:t>
            </w:r>
          </w:p>
          <w:p w14:paraId="6AE8CF64" w14:textId="77777777" w:rsidR="00547D02" w:rsidRPr="005D4693" w:rsidRDefault="00547D02" w:rsidP="00547D02">
            <w:pPr>
              <w:pStyle w:val="TableBullet"/>
              <w:spacing w:line="264" w:lineRule="auto"/>
              <w:ind w:left="851"/>
            </w:pPr>
            <w:r w:rsidRPr="005D4693">
              <w:t>transfer of an embryo into the uterus of the gestating woman (intending parent or surrogate).</w:t>
            </w:r>
          </w:p>
          <w:p w14:paraId="00692A37" w14:textId="77777777" w:rsidR="00547D02" w:rsidRPr="005D4693" w:rsidRDefault="00547D02" w:rsidP="000B1E32">
            <w:pPr>
              <w:pStyle w:val="TableText"/>
            </w:pPr>
            <w:r w:rsidRPr="005D4693">
              <w:t>(b)</w:t>
            </w:r>
            <w:r w:rsidRPr="005D4693">
              <w:tab/>
              <w:t xml:space="preserve">Embryo </w:t>
            </w:r>
            <w:r w:rsidRPr="005D4693">
              <w:rPr>
                <w:b/>
              </w:rPr>
              <w:t>re</w:t>
            </w:r>
            <w:r w:rsidRPr="005D4693">
              <w:t>-donation is:</w:t>
            </w:r>
          </w:p>
          <w:p w14:paraId="5D852F42" w14:textId="77777777" w:rsidR="00547D02" w:rsidRPr="005D4693" w:rsidRDefault="00547D02" w:rsidP="00547D02">
            <w:pPr>
              <w:pStyle w:val="TableBullet"/>
              <w:spacing w:line="264" w:lineRule="auto"/>
              <w:ind w:left="851"/>
            </w:pPr>
            <w:r w:rsidRPr="005D4693">
              <w:t>the donation of embryos by the original intending parents to new recipient(s).</w:t>
            </w:r>
          </w:p>
          <w:p w14:paraId="5972E86B" w14:textId="77777777" w:rsidR="00547D02" w:rsidRPr="005D4693" w:rsidRDefault="00547D02" w:rsidP="000B1E32">
            <w:pPr>
              <w:pStyle w:val="TableText"/>
            </w:pPr>
            <w:r w:rsidRPr="005D4693">
              <w:t>(c)</w:t>
            </w:r>
            <w:r w:rsidRPr="005D4693">
              <w:tab/>
              <w:t xml:space="preserve">Embryo </w:t>
            </w:r>
            <w:r w:rsidRPr="005D4693">
              <w:rPr>
                <w:b/>
              </w:rPr>
              <w:t>on</w:t>
            </w:r>
            <w:r w:rsidRPr="005D4693">
              <w:t>-donation is:</w:t>
            </w:r>
          </w:p>
          <w:p w14:paraId="284B393F" w14:textId="77777777" w:rsidR="00547D02" w:rsidRPr="005D4693" w:rsidRDefault="00547D02" w:rsidP="00547D02">
            <w:pPr>
              <w:pStyle w:val="TableBullet"/>
              <w:spacing w:line="264" w:lineRule="auto"/>
              <w:ind w:left="851"/>
            </w:pPr>
            <w:r w:rsidRPr="005D4693">
              <w:t>the donation of embryos by the recipient(s) of donated embryos.</w:t>
            </w:r>
          </w:p>
          <w:p w14:paraId="68E000B3" w14:textId="77777777" w:rsidR="00547D02" w:rsidRPr="005D4693" w:rsidRDefault="00547D02" w:rsidP="000B1E32">
            <w:pPr>
              <w:pStyle w:val="TableText"/>
            </w:pPr>
            <w:r w:rsidRPr="005D4693">
              <w:t>(d)</w:t>
            </w:r>
            <w:r w:rsidRPr="005D4693">
              <w:tab/>
              <w:t xml:space="preserve">Donated embryos may be </w:t>
            </w:r>
            <w:r w:rsidRPr="005D4693">
              <w:rPr>
                <w:b/>
              </w:rPr>
              <w:t>re</w:t>
            </w:r>
            <w:r w:rsidRPr="005D4693">
              <w:t>-donated by the original intending parents if:</w:t>
            </w:r>
          </w:p>
          <w:p w14:paraId="7487B28F" w14:textId="77777777" w:rsidR="00547D02" w:rsidRPr="005D4693" w:rsidRDefault="00547D02" w:rsidP="00547D02">
            <w:pPr>
              <w:pStyle w:val="TableBullet"/>
              <w:spacing w:line="264" w:lineRule="auto"/>
              <w:ind w:left="851"/>
            </w:pPr>
            <w:bookmarkStart w:id="15" w:name="_Ref14124229"/>
            <w:r w:rsidRPr="005D4693">
              <w:t xml:space="preserve">they have not had a child that would be a full genetic sibling to a child that would be born from the embryos that are now being donated, </w:t>
            </w:r>
            <w:r w:rsidRPr="005D4693">
              <w:rPr>
                <w:b/>
              </w:rPr>
              <w:t>and</w:t>
            </w:r>
            <w:r w:rsidRPr="005D4693">
              <w:t xml:space="preserve"> the prior recipient(s) of the donated embryos have had offspring that would be full genetic sibling(s) to a child that would be born from the embryos, </w:t>
            </w:r>
            <w:r w:rsidRPr="005D4693">
              <w:rPr>
                <w:b/>
              </w:rPr>
              <w:t>or</w:t>
            </w:r>
            <w:bookmarkEnd w:id="15"/>
          </w:p>
          <w:p w14:paraId="14DA087F" w14:textId="77777777" w:rsidR="00547D02" w:rsidRPr="005D4693" w:rsidRDefault="00547D02" w:rsidP="00547D02">
            <w:pPr>
              <w:pStyle w:val="TableBullet"/>
              <w:spacing w:line="264" w:lineRule="auto"/>
              <w:ind w:left="851"/>
            </w:pPr>
            <w:r w:rsidRPr="005D4693">
              <w:t xml:space="preserve">they have had a child that would be a full genetic sibling to a child that would be born from the embryos that are now being donated, </w:t>
            </w:r>
            <w:r w:rsidRPr="005D4693">
              <w:rPr>
                <w:b/>
              </w:rPr>
              <w:t>and</w:t>
            </w:r>
            <w:r w:rsidRPr="005D4693">
              <w:t xml:space="preserve"> the prior recipient(s) of the donated embryos have not had offspring that would be full genetic sibling(s) to a child that would be born from the embryos, </w:t>
            </w:r>
            <w:r w:rsidRPr="005D4693">
              <w:rPr>
                <w:b/>
              </w:rPr>
              <w:t>or</w:t>
            </w:r>
          </w:p>
          <w:p w14:paraId="0B849D06" w14:textId="77777777" w:rsidR="00547D02" w:rsidRPr="005D4693" w:rsidRDefault="00547D02" w:rsidP="00547D02">
            <w:pPr>
              <w:pStyle w:val="TableBullet"/>
              <w:spacing w:line="264" w:lineRule="auto"/>
              <w:ind w:left="851"/>
            </w:pPr>
            <w:r w:rsidRPr="005D4693">
              <w:t>neither they nor the prior recipients have had offspring that would be full genetic sibling(s) to a child that would be born from the embryos.</w:t>
            </w:r>
          </w:p>
          <w:p w14:paraId="79889B16" w14:textId="77777777" w:rsidR="00547D02" w:rsidRPr="005D4693" w:rsidRDefault="00547D02" w:rsidP="000B1E32">
            <w:pPr>
              <w:pStyle w:val="TableText"/>
            </w:pPr>
            <w:r w:rsidRPr="005D4693">
              <w:t>(e)</w:t>
            </w:r>
            <w:r w:rsidRPr="005D4693">
              <w:tab/>
              <w:t xml:space="preserve">Donated embryos may be </w:t>
            </w:r>
            <w:r w:rsidRPr="005D4693">
              <w:rPr>
                <w:b/>
              </w:rPr>
              <w:t>on</w:t>
            </w:r>
            <w:r w:rsidRPr="005D4693">
              <w:t>-donated by the recipients only if the:</w:t>
            </w:r>
          </w:p>
          <w:p w14:paraId="08B285C5" w14:textId="77777777" w:rsidR="00547D02" w:rsidRPr="005D4693" w:rsidRDefault="00547D02" w:rsidP="00547D02">
            <w:pPr>
              <w:pStyle w:val="TableBullet"/>
              <w:spacing w:line="264" w:lineRule="auto"/>
              <w:ind w:left="851"/>
            </w:pPr>
            <w:r w:rsidRPr="005D4693">
              <w:t xml:space="preserve">original intending parents have no gametes in the embryos </w:t>
            </w:r>
            <w:r w:rsidRPr="005D4693">
              <w:rPr>
                <w:b/>
              </w:rPr>
              <w:t>and</w:t>
            </w:r>
          </w:p>
          <w:p w14:paraId="43C283E6" w14:textId="77777777" w:rsidR="00547D02" w:rsidRPr="005D4693" w:rsidRDefault="00547D02" w:rsidP="00547D02">
            <w:pPr>
              <w:pStyle w:val="TableBullet"/>
              <w:spacing w:line="264" w:lineRule="auto"/>
              <w:ind w:left="851"/>
            </w:pPr>
            <w:r w:rsidRPr="005D4693">
              <w:t xml:space="preserve">original intending parents did not have offspring using embryos that would be full siblings to those that would be born from the embryos being donated </w:t>
            </w:r>
            <w:r w:rsidRPr="005D4693">
              <w:rPr>
                <w:b/>
              </w:rPr>
              <w:t>and</w:t>
            </w:r>
          </w:p>
          <w:p w14:paraId="184AE447" w14:textId="77777777" w:rsidR="00547D02" w:rsidRPr="005D4693" w:rsidRDefault="00547D02" w:rsidP="00547D02">
            <w:pPr>
              <w:pStyle w:val="TableBullet"/>
              <w:spacing w:line="264" w:lineRule="auto"/>
              <w:ind w:left="851"/>
            </w:pPr>
            <w:bookmarkStart w:id="16" w:name="_Ref14124280"/>
            <w:r w:rsidRPr="005D4693">
              <w:t>recipients have had offspring using embryos that would be full siblings to offspring that would be born from the embryos being donated.</w:t>
            </w:r>
            <w:bookmarkEnd w:id="16"/>
          </w:p>
          <w:p w14:paraId="0C24237B" w14:textId="77777777" w:rsidR="00547D02" w:rsidRPr="005D4693" w:rsidRDefault="00547D02" w:rsidP="000B1E32">
            <w:pPr>
              <w:pStyle w:val="TableText"/>
            </w:pPr>
            <w:r w:rsidRPr="005D4693">
              <w:t>(f)</w:t>
            </w:r>
            <w:r w:rsidRPr="005D4693">
              <w:tab/>
              <w:t>Any donation, re-donation or on-donation requires an application to ECART.</w:t>
            </w:r>
          </w:p>
        </w:tc>
      </w:tr>
      <w:tr w:rsidR="00547D02" w:rsidRPr="00155578" w14:paraId="051D9B77" w14:textId="77777777" w:rsidTr="000B1E32">
        <w:trPr>
          <w:cantSplit/>
        </w:trPr>
        <w:tc>
          <w:tcPr>
            <w:tcW w:w="8789" w:type="dxa"/>
            <w:tcBorders>
              <w:top w:val="nil"/>
              <w:bottom w:val="single" w:sz="4" w:space="0" w:color="auto"/>
            </w:tcBorders>
            <w:shd w:val="clear" w:color="auto" w:fill="auto"/>
          </w:tcPr>
          <w:p w14:paraId="670C726B" w14:textId="77777777" w:rsidR="00547D02" w:rsidRPr="005D4693" w:rsidRDefault="00547D02" w:rsidP="000B1E32">
            <w:pPr>
              <w:pStyle w:val="TableText"/>
              <w:spacing w:before="240"/>
              <w:rPr>
                <w:b/>
              </w:rPr>
            </w:pPr>
            <w:r w:rsidRPr="005D4693">
              <w:rPr>
                <w:b/>
              </w:rPr>
              <w:t>Requirements</w:t>
            </w:r>
          </w:p>
          <w:p w14:paraId="638E66DC" w14:textId="77777777" w:rsidR="00547D02" w:rsidRDefault="00547D02" w:rsidP="000B1E32">
            <w:pPr>
              <w:pStyle w:val="TableText"/>
            </w:pPr>
            <w:r w:rsidRPr="00385E47">
              <w:t>ECART must be satisfied that:</w:t>
            </w:r>
          </w:p>
          <w:p w14:paraId="690CE6A7" w14:textId="77777777" w:rsidR="00547D02" w:rsidRPr="00385E47" w:rsidRDefault="00547D02" w:rsidP="00547D02">
            <w:pPr>
              <w:pStyle w:val="TableNumber"/>
              <w:numPr>
                <w:ilvl w:val="0"/>
                <w:numId w:val="42"/>
              </w:numPr>
              <w:spacing w:before="100" w:line="264" w:lineRule="auto"/>
            </w:pPr>
            <w:r w:rsidRPr="00385E47">
              <w:t xml:space="preserve">all affected parties understand that embryo donors can withdraw or vary consent up to the point of placing the embryo in the gestating </w:t>
            </w:r>
            <w:r>
              <w:t>woman</w:t>
            </w:r>
            <w:r w:rsidR="000A0B49">
              <w:t>’</w:t>
            </w:r>
            <w:r>
              <w:t>s</w:t>
            </w:r>
            <w:r w:rsidRPr="00385E47">
              <w:t xml:space="preserve"> uterus</w:t>
            </w:r>
          </w:p>
          <w:p w14:paraId="2EF9819D" w14:textId="77777777" w:rsidR="00547D02" w:rsidRPr="00385E47" w:rsidRDefault="00547D02" w:rsidP="00547D02">
            <w:pPr>
              <w:pStyle w:val="TableNumber"/>
              <w:numPr>
                <w:ilvl w:val="0"/>
                <w:numId w:val="42"/>
              </w:numPr>
              <w:spacing w:before="100" w:line="264" w:lineRule="auto"/>
            </w:pPr>
            <w:r w:rsidRPr="00385E47">
              <w:t>the embryo donors and recipients have received joint counselling relating to the implications of embryo donation</w:t>
            </w:r>
          </w:p>
          <w:p w14:paraId="34EE41EC" w14:textId="77777777" w:rsidR="00547D02" w:rsidRDefault="00547D02" w:rsidP="00547D02">
            <w:pPr>
              <w:pStyle w:val="TableNumber"/>
              <w:numPr>
                <w:ilvl w:val="0"/>
                <w:numId w:val="42"/>
              </w:numPr>
              <w:spacing w:before="100" w:line="264" w:lineRule="auto"/>
            </w:pPr>
            <w:r w:rsidRPr="00385E47">
              <w:t xml:space="preserve">all affected parties </w:t>
            </w:r>
            <w:r>
              <w:t xml:space="preserve">have </w:t>
            </w:r>
            <w:r w:rsidRPr="00385E47">
              <w:t>discuss</w:t>
            </w:r>
            <w:r>
              <w:t>ed</w:t>
            </w:r>
            <w:r w:rsidRPr="00385E47">
              <w:t>, underst</w:t>
            </w:r>
            <w:r>
              <w:t>ood</w:t>
            </w:r>
            <w:r w:rsidRPr="00385E47">
              <w:t xml:space="preserve"> and agree</w:t>
            </w:r>
            <w:r>
              <w:t>d</w:t>
            </w:r>
            <w:r w:rsidRPr="00385E47">
              <w:t xml:space="preserve"> between </w:t>
            </w:r>
            <w:r>
              <w:t xml:space="preserve">themselves </w:t>
            </w:r>
            <w:r w:rsidRPr="00385E47">
              <w:t>on matters relating to the use and storage of embryos and</w:t>
            </w:r>
            <w:r>
              <w:t xml:space="preserve"> disposal of any unused embryos</w:t>
            </w:r>
          </w:p>
          <w:p w14:paraId="3363C510" w14:textId="77777777" w:rsidR="00547D02" w:rsidRPr="00B4201C" w:rsidRDefault="00547D02" w:rsidP="00547D02">
            <w:pPr>
              <w:pStyle w:val="TableNumber"/>
              <w:numPr>
                <w:ilvl w:val="0"/>
                <w:numId w:val="42"/>
              </w:numPr>
              <w:spacing w:before="100" w:line="264" w:lineRule="auto"/>
            </w:pPr>
            <w:r w:rsidRPr="00B4201C">
              <w:t>if the original intending parents</w:t>
            </w:r>
            <w:r>
              <w:t xml:space="preserve"> are donating the </w:t>
            </w:r>
            <w:r w:rsidRPr="00B4201C">
              <w:t>embryos for the first time</w:t>
            </w:r>
            <w:r>
              <w:t>,</w:t>
            </w:r>
            <w:r w:rsidRPr="00B4201C">
              <w:t xml:space="preserve"> th</w:t>
            </w:r>
            <w:r>
              <w:t>ose embryos</w:t>
            </w:r>
            <w:r w:rsidRPr="00B4201C">
              <w:t>:</w:t>
            </w:r>
          </w:p>
          <w:p w14:paraId="158BD7D9" w14:textId="77777777" w:rsidR="00547D02" w:rsidRPr="00B4201C" w:rsidRDefault="00547D02" w:rsidP="00547D02">
            <w:pPr>
              <w:pStyle w:val="TableBullet"/>
              <w:spacing w:line="264" w:lineRule="auto"/>
            </w:pPr>
            <w:r w:rsidRPr="00B4201C">
              <w:t xml:space="preserve">have been created for </w:t>
            </w:r>
            <w:r>
              <w:t>the</w:t>
            </w:r>
            <w:r w:rsidRPr="00B4201C">
              <w:t xml:space="preserve"> fertility treatment</w:t>
            </w:r>
            <w:r>
              <w:t xml:space="preserve"> of the donor(s)</w:t>
            </w:r>
          </w:p>
          <w:p w14:paraId="30E45BED" w14:textId="77777777" w:rsidR="00547D02" w:rsidRPr="00B4201C" w:rsidRDefault="00547D02" w:rsidP="00547D02">
            <w:pPr>
              <w:pStyle w:val="TableBullet"/>
              <w:spacing w:line="264" w:lineRule="auto"/>
            </w:pPr>
            <w:r w:rsidRPr="00B4201C">
              <w:t>are surplus to the needs of the donor(s); that is, the</w:t>
            </w:r>
            <w:r>
              <w:t>y</w:t>
            </w:r>
            <w:r w:rsidRPr="00B4201C">
              <w:t xml:space="preserve"> have completed their family or no longer intend to have children</w:t>
            </w:r>
          </w:p>
          <w:p w14:paraId="43A76080" w14:textId="77777777" w:rsidR="00547D02" w:rsidRDefault="00547D02" w:rsidP="00547D02">
            <w:pPr>
              <w:pStyle w:val="TableNumber"/>
              <w:numPr>
                <w:ilvl w:val="0"/>
                <w:numId w:val="42"/>
              </w:numPr>
              <w:spacing w:before="100" w:line="264" w:lineRule="auto"/>
            </w:pPr>
            <w:r w:rsidRPr="00B4201C">
              <w:t>if embryos are being re-donated</w:t>
            </w:r>
            <w:r>
              <w:t>,</w:t>
            </w:r>
            <w:r w:rsidRPr="00B4201C">
              <w:t xml:space="preserve"> they </w:t>
            </w:r>
            <w:r>
              <w:t>fit</w:t>
            </w:r>
            <w:r w:rsidRPr="00B4201C">
              <w:t xml:space="preserve"> the circums</w:t>
            </w:r>
            <w:r>
              <w:t xml:space="preserve">tances specified in Notes 29(d) and (e) </w:t>
            </w:r>
            <w:r w:rsidRPr="00B4201C">
              <w:t>above</w:t>
            </w:r>
          </w:p>
          <w:p w14:paraId="072DDA55" w14:textId="77777777" w:rsidR="00547D02" w:rsidRPr="00385E47" w:rsidRDefault="00547D02" w:rsidP="00547D02">
            <w:pPr>
              <w:pStyle w:val="TableNumber"/>
              <w:numPr>
                <w:ilvl w:val="0"/>
                <w:numId w:val="42"/>
              </w:numPr>
              <w:spacing w:before="100" w:line="264" w:lineRule="auto"/>
            </w:pPr>
            <w:r w:rsidRPr="00155578">
              <w:t>recipients have been vetted by the Police.</w:t>
            </w:r>
          </w:p>
        </w:tc>
      </w:tr>
      <w:tr w:rsidR="00547D02" w:rsidRPr="0072436F" w14:paraId="028D2763" w14:textId="77777777" w:rsidTr="000B1E32">
        <w:trPr>
          <w:cantSplit/>
        </w:trPr>
        <w:tc>
          <w:tcPr>
            <w:tcW w:w="8789" w:type="dxa"/>
            <w:tcBorders>
              <w:top w:val="single" w:sz="4" w:space="0" w:color="auto"/>
              <w:left w:val="single" w:sz="4" w:space="0" w:color="auto"/>
              <w:bottom w:val="single" w:sz="4" w:space="0" w:color="auto"/>
              <w:right w:val="single" w:sz="4" w:space="0" w:color="auto"/>
            </w:tcBorders>
            <w:shd w:val="clear" w:color="auto" w:fill="DEEAF6"/>
          </w:tcPr>
          <w:p w14:paraId="5BE1DAA1" w14:textId="77777777" w:rsidR="00547D02" w:rsidRPr="0072436F" w:rsidRDefault="00547D02" w:rsidP="000B1E32">
            <w:pPr>
              <w:pStyle w:val="TableText"/>
              <w:keepNext/>
              <w:rPr>
                <w:b/>
              </w:rPr>
            </w:pPr>
            <w:r w:rsidRPr="0072436F">
              <w:rPr>
                <w:b/>
              </w:rPr>
              <w:t>Use of embryos created from donated eggs in conjunction with donated sperm</w:t>
            </w:r>
          </w:p>
        </w:tc>
      </w:tr>
      <w:tr w:rsidR="00547D02" w:rsidRPr="00155578" w14:paraId="4D2022DC" w14:textId="77777777" w:rsidTr="000B1E32">
        <w:trPr>
          <w:cantSplit/>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7C2CACB8" w14:textId="77777777" w:rsidR="00547D02" w:rsidRPr="005D4693" w:rsidRDefault="00547D02" w:rsidP="000B1E32">
            <w:pPr>
              <w:pStyle w:val="TableText"/>
              <w:rPr>
                <w:b/>
              </w:rPr>
            </w:pPr>
            <w:r w:rsidRPr="005D4693">
              <w:rPr>
                <w:b/>
              </w:rPr>
              <w:t>Note</w:t>
            </w:r>
          </w:p>
          <w:p w14:paraId="58EB120B" w14:textId="77777777" w:rsidR="00547D02" w:rsidRPr="00A709BD" w:rsidRDefault="00547D02" w:rsidP="000B1E32">
            <w:pPr>
              <w:pStyle w:val="TableText"/>
            </w:pPr>
            <w:r w:rsidRPr="00A709BD">
              <w:t>Although donated eggs and donated sperm from the same two people may be used together to produce full genetic siblings in up to two families, neither donor is precluded from separately donating sperm or eggs to another couple or person.</w:t>
            </w:r>
          </w:p>
        </w:tc>
      </w:tr>
      <w:tr w:rsidR="00547D02" w:rsidRPr="005D4693" w14:paraId="6FC76B60" w14:textId="77777777" w:rsidTr="000B1E32">
        <w:trPr>
          <w:cantSplit/>
        </w:trPr>
        <w:tc>
          <w:tcPr>
            <w:tcW w:w="8789" w:type="dxa"/>
            <w:tcBorders>
              <w:bottom w:val="single" w:sz="4" w:space="0" w:color="auto"/>
            </w:tcBorders>
            <w:shd w:val="clear" w:color="auto" w:fill="DEEAF6"/>
          </w:tcPr>
          <w:p w14:paraId="64E63D38" w14:textId="77777777" w:rsidR="00547D02" w:rsidRPr="005D4693" w:rsidRDefault="00547D02" w:rsidP="002D6FC1">
            <w:pPr>
              <w:pStyle w:val="TableText"/>
              <w:keepNext/>
              <w:rPr>
                <w:b/>
              </w:rPr>
            </w:pPr>
            <w:r w:rsidRPr="005D4693">
              <w:rPr>
                <w:b/>
              </w:rPr>
              <w:lastRenderedPageBreak/>
              <w:t>Clinic assisted surrogacy</w:t>
            </w:r>
          </w:p>
        </w:tc>
      </w:tr>
      <w:tr w:rsidR="00547D02" w:rsidRPr="00155578" w14:paraId="5F38B318" w14:textId="77777777" w:rsidTr="000B1E32">
        <w:trPr>
          <w:cantSplit/>
        </w:trPr>
        <w:tc>
          <w:tcPr>
            <w:tcW w:w="8789" w:type="dxa"/>
            <w:tcBorders>
              <w:bottom w:val="nil"/>
            </w:tcBorders>
            <w:shd w:val="clear" w:color="auto" w:fill="auto"/>
          </w:tcPr>
          <w:p w14:paraId="506F4081" w14:textId="77777777" w:rsidR="00547D02" w:rsidRPr="005D4693" w:rsidRDefault="00547D02" w:rsidP="000B1E32">
            <w:pPr>
              <w:pStyle w:val="TableText"/>
              <w:rPr>
                <w:b/>
              </w:rPr>
            </w:pPr>
            <w:r w:rsidRPr="005D4693">
              <w:rPr>
                <w:b/>
              </w:rPr>
              <w:t>Notes</w:t>
            </w:r>
          </w:p>
          <w:p w14:paraId="570A6DCD" w14:textId="77777777" w:rsidR="00547D02" w:rsidRPr="00155578" w:rsidRDefault="00547D02" w:rsidP="000B1E32">
            <w:pPr>
              <w:pStyle w:val="TableText"/>
            </w:pPr>
            <w:r w:rsidRPr="00155578">
              <w:t>For the purpose of these guidelines:</w:t>
            </w:r>
          </w:p>
          <w:p w14:paraId="4623429D" w14:textId="77777777" w:rsidR="00547D02" w:rsidRPr="00155578" w:rsidRDefault="00547D02" w:rsidP="00547D02">
            <w:pPr>
              <w:pStyle w:val="TableBullet"/>
              <w:spacing w:line="264" w:lineRule="auto"/>
              <w:ind w:left="284"/>
            </w:pPr>
            <w:r w:rsidRPr="005D4693">
              <w:rPr>
                <w:b/>
              </w:rPr>
              <w:t>surrogacy</w:t>
            </w:r>
            <w:r w:rsidRPr="00155578">
              <w:t xml:space="preserve"> describes a procedure facilitated by a New Zealand fertility clinic where a woman gestates an embryo for </w:t>
            </w:r>
            <w:r>
              <w:t xml:space="preserve">one or more </w:t>
            </w:r>
            <w:r w:rsidRPr="00155578">
              <w:t>intending parents</w:t>
            </w:r>
          </w:p>
          <w:p w14:paraId="51BF6583" w14:textId="77777777" w:rsidR="00547D02" w:rsidRPr="00155578" w:rsidRDefault="00547D02" w:rsidP="00547D02">
            <w:pPr>
              <w:pStyle w:val="TableBullet"/>
              <w:spacing w:line="264" w:lineRule="auto"/>
              <w:ind w:left="284"/>
            </w:pPr>
            <w:r w:rsidRPr="00155578">
              <w:t xml:space="preserve">a </w:t>
            </w:r>
            <w:r w:rsidRPr="005D4693">
              <w:rPr>
                <w:b/>
              </w:rPr>
              <w:t>surrogate</w:t>
            </w:r>
            <w:r w:rsidRPr="00155578">
              <w:t xml:space="preserve"> is a woman who becomes </w:t>
            </w:r>
            <w:proofErr w:type="gramStart"/>
            <w:r w:rsidRPr="00155578">
              <w:t xml:space="preserve">pregnant, </w:t>
            </w:r>
            <w:r w:rsidRPr="0072439C">
              <w:t>and</w:t>
            </w:r>
            <w:proofErr w:type="gramEnd"/>
            <w:r w:rsidRPr="0072439C">
              <w:t xml:space="preserve"> </w:t>
            </w:r>
            <w:r w:rsidRPr="00155578">
              <w:t xml:space="preserve">carries and delivers a child on behalf of </w:t>
            </w:r>
            <w:r>
              <w:t xml:space="preserve">one or more </w:t>
            </w:r>
            <w:r w:rsidRPr="00155578">
              <w:t xml:space="preserve">other </w:t>
            </w:r>
            <w:r>
              <w:t>intending</w:t>
            </w:r>
            <w:r w:rsidRPr="00155578">
              <w:t xml:space="preserve"> parents.</w:t>
            </w:r>
          </w:p>
          <w:p w14:paraId="36A642AF" w14:textId="77777777" w:rsidR="00547D02" w:rsidRPr="00155578" w:rsidRDefault="00547D02" w:rsidP="000B1E32">
            <w:pPr>
              <w:pStyle w:val="TableText"/>
            </w:pPr>
            <w:r w:rsidRPr="00155578">
              <w:t>Commercial surrogacy is prohibited under the HART Act.</w:t>
            </w:r>
          </w:p>
          <w:p w14:paraId="2359033A" w14:textId="77777777" w:rsidR="00547D02" w:rsidRDefault="00547D02" w:rsidP="000B1E32">
            <w:pPr>
              <w:pStyle w:val="TableText"/>
            </w:pPr>
            <w:r w:rsidRPr="00155578">
              <w:t>A surrogacy arrangement is not enforceable by or against any person.</w:t>
            </w:r>
          </w:p>
          <w:p w14:paraId="28DD7EC5" w14:textId="77777777" w:rsidR="00547D02" w:rsidRDefault="00547D02" w:rsidP="000B1E32">
            <w:pPr>
              <w:pStyle w:val="TableText"/>
            </w:pPr>
            <w:r>
              <w:t>A</w:t>
            </w:r>
            <w:r w:rsidRPr="00376295">
              <w:t>ny</w:t>
            </w:r>
            <w:r w:rsidRPr="00390D5A">
              <w:t xml:space="preserve"> </w:t>
            </w:r>
            <w:r w:rsidRPr="0072439C">
              <w:t>surrogacy that involves an assisted reproductive procedure requires an application to ECART.</w:t>
            </w:r>
          </w:p>
          <w:p w14:paraId="545515F8" w14:textId="77777777" w:rsidR="00547D02" w:rsidRPr="00155578" w:rsidRDefault="00547D02" w:rsidP="000B1E32">
            <w:pPr>
              <w:pStyle w:val="TableText"/>
            </w:pPr>
            <w:r w:rsidRPr="0072439C">
              <w:t>Where</w:t>
            </w:r>
            <w:r>
              <w:t xml:space="preserve"> a</w:t>
            </w:r>
            <w:r w:rsidRPr="0072439C">
              <w:t xml:space="preserve"> case involve</w:t>
            </w:r>
            <w:r>
              <w:t>s</w:t>
            </w:r>
            <w:r w:rsidRPr="0072439C">
              <w:t xml:space="preserve"> established procedures</w:t>
            </w:r>
            <w:r>
              <w:t>,</w:t>
            </w:r>
            <w:r w:rsidRPr="0072439C">
              <w:t xml:space="preserve"> </w:t>
            </w:r>
            <w:r>
              <w:t xml:space="preserve">a </w:t>
            </w:r>
            <w:r w:rsidRPr="0072439C">
              <w:t xml:space="preserve">clinic can </w:t>
            </w:r>
            <w:r w:rsidRPr="00DE0FF6">
              <w:t xml:space="preserve">still </w:t>
            </w:r>
            <w:r w:rsidRPr="0072439C">
              <w:t>request an ethical review from ECART.</w:t>
            </w:r>
          </w:p>
        </w:tc>
      </w:tr>
      <w:tr w:rsidR="00547D02" w:rsidRPr="00155578" w14:paraId="738D6B67" w14:textId="77777777" w:rsidTr="000B1E32">
        <w:trPr>
          <w:cantSplit/>
        </w:trPr>
        <w:tc>
          <w:tcPr>
            <w:tcW w:w="8789" w:type="dxa"/>
            <w:tcBorders>
              <w:top w:val="nil"/>
            </w:tcBorders>
            <w:shd w:val="clear" w:color="auto" w:fill="auto"/>
          </w:tcPr>
          <w:p w14:paraId="1D3B7E0E" w14:textId="77777777" w:rsidR="00547D02" w:rsidRPr="002C2345" w:rsidRDefault="00547D02" w:rsidP="000B1E32">
            <w:pPr>
              <w:pStyle w:val="TableText"/>
              <w:rPr>
                <w:b/>
              </w:rPr>
            </w:pPr>
            <w:r w:rsidRPr="002C2345">
              <w:rPr>
                <w:b/>
              </w:rPr>
              <w:t>Requirements</w:t>
            </w:r>
          </w:p>
          <w:p w14:paraId="0E5FACDD" w14:textId="77777777" w:rsidR="00547D02" w:rsidRPr="00155578" w:rsidRDefault="00547D02" w:rsidP="000B1E32">
            <w:pPr>
              <w:pStyle w:val="TableText"/>
            </w:pPr>
            <w:r w:rsidRPr="00155578">
              <w:t>ECART must be satisfied that:</w:t>
            </w:r>
          </w:p>
          <w:p w14:paraId="07776298" w14:textId="77777777" w:rsidR="00547D02" w:rsidRPr="00155578" w:rsidRDefault="00547D02" w:rsidP="00547D02">
            <w:pPr>
              <w:pStyle w:val="TableNumber"/>
              <w:numPr>
                <w:ilvl w:val="0"/>
                <w:numId w:val="42"/>
              </w:numPr>
              <w:spacing w:before="100" w:line="264" w:lineRule="auto"/>
            </w:pPr>
            <w:r w:rsidRPr="00155578">
              <w:t xml:space="preserve">affected parties </w:t>
            </w:r>
            <w:r>
              <w:t xml:space="preserve">have </w:t>
            </w:r>
            <w:r w:rsidRPr="00155578">
              <w:t>discuss</w:t>
            </w:r>
            <w:r>
              <w:t>ed</w:t>
            </w:r>
            <w:r w:rsidRPr="00155578">
              <w:t>, underst</w:t>
            </w:r>
            <w:r>
              <w:t>ood</w:t>
            </w:r>
            <w:r w:rsidRPr="00155578">
              <w:t xml:space="preserve"> and declared intentions between the</w:t>
            </w:r>
            <w:r>
              <w:t>mselves</w:t>
            </w:r>
            <w:r w:rsidRPr="00155578">
              <w:t xml:space="preserve"> about the day-to-day care, guardianship and adoption of any resulting child and any ongoing contact</w:t>
            </w:r>
          </w:p>
          <w:p w14:paraId="0A0E1F90" w14:textId="77777777" w:rsidR="00547D02" w:rsidRPr="00155578" w:rsidRDefault="00547D02" w:rsidP="00547D02">
            <w:pPr>
              <w:pStyle w:val="TableNumber"/>
              <w:numPr>
                <w:ilvl w:val="0"/>
                <w:numId w:val="42"/>
              </w:numPr>
              <w:spacing w:before="100" w:line="264" w:lineRule="auto"/>
            </w:pPr>
            <w:r w:rsidRPr="00155578">
              <w:t xml:space="preserve">the risks associated with a surrogacy for the adult parties and any resulting child are justified in the proposal. These risks </w:t>
            </w:r>
            <w:r>
              <w:t>include</w:t>
            </w:r>
            <w:r w:rsidRPr="00155578">
              <w:t xml:space="preserve"> risks to the health and wellbeing of:</w:t>
            </w:r>
          </w:p>
          <w:p w14:paraId="5ADD8F95" w14:textId="77777777" w:rsidR="00547D02" w:rsidRPr="00155578" w:rsidRDefault="00547D02" w:rsidP="00547D02">
            <w:pPr>
              <w:pStyle w:val="TableLetter"/>
              <w:numPr>
                <w:ilvl w:val="1"/>
                <w:numId w:val="42"/>
              </w:numPr>
              <w:spacing w:before="60" w:after="60"/>
            </w:pPr>
            <w:r w:rsidRPr="00155578">
              <w:t>the intending surrogate, including</w:t>
            </w:r>
            <w:r>
              <w:t xml:space="preserve"> risks</w:t>
            </w:r>
            <w:r w:rsidRPr="00155578">
              <w:t>:</w:t>
            </w:r>
          </w:p>
          <w:p w14:paraId="00DA30C8" w14:textId="77777777" w:rsidR="00547D02" w:rsidRPr="00155578" w:rsidRDefault="00547D02" w:rsidP="00547D02">
            <w:pPr>
              <w:pStyle w:val="TableBullet"/>
              <w:spacing w:line="264" w:lineRule="auto"/>
              <w:ind w:left="1134"/>
            </w:pPr>
            <w:r w:rsidRPr="00155578">
              <w:t>associated with pregnancy, childbirth and relinquishment of a resulting child to the intending parent(s)</w:t>
            </w:r>
          </w:p>
          <w:p w14:paraId="4D8E207A" w14:textId="77777777" w:rsidR="00547D02" w:rsidRPr="00155578" w:rsidRDefault="00547D02" w:rsidP="00547D02">
            <w:pPr>
              <w:pStyle w:val="TableBullet"/>
              <w:spacing w:line="264" w:lineRule="auto"/>
              <w:ind w:left="1134"/>
            </w:pPr>
            <w:r w:rsidRPr="00155578">
              <w:t>that the intending parent(s) may change their mind about parenting a resulting child</w:t>
            </w:r>
          </w:p>
          <w:p w14:paraId="6080CE86" w14:textId="77777777" w:rsidR="00547D02" w:rsidRPr="00B4201C" w:rsidRDefault="00547D02" w:rsidP="00547D02">
            <w:pPr>
              <w:pStyle w:val="TableBullet"/>
              <w:spacing w:line="264" w:lineRule="auto"/>
              <w:ind w:left="1134"/>
            </w:pPr>
            <w:r w:rsidRPr="00B4201C">
              <w:t>to the surrogate</w:t>
            </w:r>
            <w:r w:rsidR="000A0B49">
              <w:t>’</w:t>
            </w:r>
            <w:r>
              <w:t>s</w:t>
            </w:r>
            <w:r w:rsidRPr="00B4201C">
              <w:t xml:space="preserve"> reproductive capacity </w:t>
            </w:r>
            <w:r>
              <w:t>in</w:t>
            </w:r>
            <w:r w:rsidRPr="00B4201C">
              <w:t xml:space="preserve"> the </w:t>
            </w:r>
            <w:r>
              <w:t>future</w:t>
            </w:r>
          </w:p>
          <w:p w14:paraId="487FC6B1" w14:textId="77777777" w:rsidR="00547D02" w:rsidRPr="00B4201C" w:rsidRDefault="00547D02" w:rsidP="00547D02">
            <w:pPr>
              <w:pStyle w:val="TableLetter"/>
              <w:numPr>
                <w:ilvl w:val="1"/>
                <w:numId w:val="42"/>
              </w:numPr>
              <w:spacing w:before="60" w:after="60"/>
            </w:pPr>
            <w:r w:rsidRPr="00B4201C">
              <w:t>the intending parent(s) (and embryo donor if applicable)</w:t>
            </w:r>
            <w:r>
              <w:t>,</w:t>
            </w:r>
            <w:r w:rsidRPr="00B4201C">
              <w:t xml:space="preserve"> including </w:t>
            </w:r>
            <w:r>
              <w:t xml:space="preserve">risks that </w:t>
            </w:r>
            <w:r w:rsidRPr="00B4201C">
              <w:t>the surrogate change</w:t>
            </w:r>
            <w:r>
              <w:t>s</w:t>
            </w:r>
            <w:r w:rsidRPr="00B4201C">
              <w:t xml:space="preserve"> her mind about relinquishing a resulting child</w:t>
            </w:r>
          </w:p>
          <w:p w14:paraId="68F6503C" w14:textId="77777777" w:rsidR="00547D02" w:rsidRPr="00B4201C" w:rsidRDefault="00547D02" w:rsidP="00547D02">
            <w:pPr>
              <w:pStyle w:val="TableLetter"/>
              <w:numPr>
                <w:ilvl w:val="1"/>
                <w:numId w:val="42"/>
              </w:numPr>
              <w:spacing w:before="60" w:after="60"/>
            </w:pPr>
            <w:r w:rsidRPr="00B4201C">
              <w:t>a resulting child, including</w:t>
            </w:r>
            <w:r>
              <w:t xml:space="preserve"> risks that arise where that child</w:t>
            </w:r>
            <w:r w:rsidRPr="00B4201C">
              <w:t xml:space="preserve"> becom</w:t>
            </w:r>
            <w:r>
              <w:t>es</w:t>
            </w:r>
            <w:r w:rsidRPr="00B4201C">
              <w:t xml:space="preserve"> the subject of a dispute if the relationship between the surrogate and intending parents breaks down</w:t>
            </w:r>
          </w:p>
          <w:p w14:paraId="4C710921" w14:textId="77777777" w:rsidR="00547D02" w:rsidRPr="00B4201C" w:rsidRDefault="00547D02" w:rsidP="00547D02">
            <w:pPr>
              <w:pStyle w:val="TableNumber"/>
              <w:numPr>
                <w:ilvl w:val="0"/>
                <w:numId w:val="42"/>
              </w:numPr>
              <w:spacing w:before="100" w:line="264" w:lineRule="auto"/>
            </w:pPr>
            <w:r w:rsidRPr="00B4201C">
              <w:t>the residency status and plans of the surrogate and intending parent(s) safeguard the health and wellbeing of the child, particularly in relation to being born in New Zealand</w:t>
            </w:r>
          </w:p>
          <w:p w14:paraId="27781014" w14:textId="77777777" w:rsidR="00547D02" w:rsidRPr="00155578" w:rsidRDefault="00547D02" w:rsidP="00547D02">
            <w:pPr>
              <w:pStyle w:val="TableNumber"/>
              <w:numPr>
                <w:ilvl w:val="0"/>
                <w:numId w:val="42"/>
              </w:numPr>
              <w:spacing w:before="100" w:line="264" w:lineRule="auto"/>
            </w:pPr>
            <w:r w:rsidRPr="00155578">
              <w:t xml:space="preserve">all affected parties have received joint </w:t>
            </w:r>
            <w:r w:rsidRPr="0072439C">
              <w:t>and individual</w:t>
            </w:r>
            <w:r w:rsidRPr="00093189">
              <w:rPr>
                <w:color w:val="FF0000"/>
              </w:rPr>
              <w:t xml:space="preserve"> </w:t>
            </w:r>
            <w:r w:rsidRPr="00155578">
              <w:t>counselling</w:t>
            </w:r>
          </w:p>
          <w:p w14:paraId="440DA7FB" w14:textId="77777777" w:rsidR="00547D02" w:rsidRDefault="00547D02" w:rsidP="00547D02">
            <w:pPr>
              <w:pStyle w:val="TableNumber"/>
              <w:numPr>
                <w:ilvl w:val="0"/>
                <w:numId w:val="42"/>
              </w:numPr>
              <w:spacing w:before="100" w:line="264" w:lineRule="auto"/>
            </w:pPr>
            <w:r w:rsidRPr="00155578">
              <w:t xml:space="preserve">counselling will be made available to all parties before </w:t>
            </w:r>
            <w:r>
              <w:t>and after pregnancy is achieved</w:t>
            </w:r>
          </w:p>
          <w:p w14:paraId="5AF2246B" w14:textId="77777777" w:rsidR="00547D02" w:rsidRPr="00155578" w:rsidRDefault="00547D02" w:rsidP="00547D02">
            <w:pPr>
              <w:pStyle w:val="TableNumber"/>
              <w:numPr>
                <w:ilvl w:val="0"/>
                <w:numId w:val="42"/>
              </w:numPr>
              <w:spacing w:before="100" w:line="264" w:lineRule="auto"/>
            </w:pPr>
            <w:r w:rsidRPr="00155578">
              <w:t>in the opinion of the counsellor</w:t>
            </w:r>
            <w:r>
              <w:t>,</w:t>
            </w:r>
            <w:r w:rsidRPr="00155578">
              <w:t xml:space="preserve"> the health and wellbeing of the intending surrogate and any resulting offspring </w:t>
            </w:r>
            <w:r>
              <w:t>are</w:t>
            </w:r>
            <w:r w:rsidRPr="00155578">
              <w:t xml:space="preserve"> </w:t>
            </w:r>
            <w:r>
              <w:t xml:space="preserve">adequately </w:t>
            </w:r>
            <w:r w:rsidRPr="00155578">
              <w:t>safeguarded</w:t>
            </w:r>
          </w:p>
          <w:p w14:paraId="166C0DB7" w14:textId="77777777" w:rsidR="00547D02" w:rsidRPr="00155578" w:rsidRDefault="00547D02" w:rsidP="00547D02">
            <w:pPr>
              <w:pStyle w:val="TableNumber"/>
              <w:numPr>
                <w:ilvl w:val="0"/>
                <w:numId w:val="42"/>
              </w:numPr>
              <w:spacing w:before="100" w:line="264" w:lineRule="auto"/>
            </w:pPr>
            <w:r w:rsidRPr="00155578">
              <w:t>all affected parties have considered and</w:t>
            </w:r>
            <w:r>
              <w:t>,</w:t>
            </w:r>
            <w:r w:rsidRPr="00155578">
              <w:t xml:space="preserve"> in the opinion of the counsellor, have understood:</w:t>
            </w:r>
          </w:p>
          <w:p w14:paraId="4A56EE16" w14:textId="77777777" w:rsidR="00547D02" w:rsidRPr="00155578" w:rsidRDefault="00547D02" w:rsidP="00547D02">
            <w:pPr>
              <w:pStyle w:val="TableLetter"/>
              <w:numPr>
                <w:ilvl w:val="1"/>
                <w:numId w:val="42"/>
              </w:numPr>
              <w:spacing w:before="60" w:after="60"/>
            </w:pPr>
            <w:r w:rsidRPr="00155578">
              <w:t>each other</w:t>
            </w:r>
            <w:r w:rsidR="000A0B49">
              <w:t>’</w:t>
            </w:r>
            <w:r w:rsidRPr="00155578">
              <w:t>s needs and plans for continuing contact</w:t>
            </w:r>
          </w:p>
          <w:p w14:paraId="03F89C36" w14:textId="77777777" w:rsidR="00547D02" w:rsidRPr="00155578" w:rsidRDefault="00547D02" w:rsidP="00547D02">
            <w:pPr>
              <w:pStyle w:val="TableLetter"/>
              <w:numPr>
                <w:ilvl w:val="1"/>
                <w:numId w:val="42"/>
              </w:numPr>
              <w:spacing w:before="60" w:after="60"/>
            </w:pPr>
            <w:r w:rsidRPr="00155578">
              <w:t>specific issues that might affect the health and wellbeing of all affected parties</w:t>
            </w:r>
            <w:r>
              <w:t>.</w:t>
            </w:r>
          </w:p>
        </w:tc>
      </w:tr>
    </w:tbl>
    <w:p w14:paraId="135E3992" w14:textId="77777777" w:rsidR="00547D02" w:rsidRDefault="00547D02" w:rsidP="00547D02"/>
    <w:p w14:paraId="20D33FED" w14:textId="77777777" w:rsidR="00547D02" w:rsidRPr="00155578" w:rsidRDefault="00547D02" w:rsidP="006E2BBA"/>
    <w:p w14:paraId="63482F2D" w14:textId="77777777" w:rsidR="00970803" w:rsidRPr="00155578" w:rsidRDefault="00970803" w:rsidP="00970803">
      <w:pPr>
        <w:pStyle w:val="Heading1"/>
        <w:sectPr w:rsidR="00970803" w:rsidRPr="00155578" w:rsidSect="00440DC2">
          <w:headerReference w:type="default" r:id="rId25"/>
          <w:footerReference w:type="even" r:id="rId26"/>
          <w:footerReference w:type="default" r:id="rId27"/>
          <w:headerReference w:type="first" r:id="rId28"/>
          <w:footerReference w:type="first" r:id="rId29"/>
          <w:pgSz w:w="11907" w:h="16834" w:code="9"/>
          <w:pgMar w:top="1701" w:right="1418" w:bottom="1701" w:left="1701" w:header="0" w:footer="425" w:gutter="0"/>
          <w:cols w:space="720"/>
          <w:titlePg/>
        </w:sectPr>
      </w:pPr>
    </w:p>
    <w:p w14:paraId="6346C782" w14:textId="77777777" w:rsidR="00C303B7" w:rsidRDefault="00547D02" w:rsidP="00002EFF">
      <w:pPr>
        <w:pStyle w:val="Heading1"/>
      </w:pPr>
      <w:bookmarkStart w:id="17" w:name="_Toc73459699"/>
      <w:r>
        <w:lastRenderedPageBreak/>
        <w:t>Purpose of this report</w:t>
      </w:r>
      <w:bookmarkEnd w:id="10"/>
      <w:bookmarkEnd w:id="17"/>
    </w:p>
    <w:p w14:paraId="2D60B13A" w14:textId="77777777" w:rsidR="00547D02" w:rsidRDefault="00547D02" w:rsidP="002D6FC1">
      <w:pPr>
        <w:pStyle w:val="Number"/>
        <w:rPr>
          <w:rFonts w:eastAsia="Calibri"/>
        </w:rPr>
      </w:pPr>
      <w:r w:rsidRPr="00100A82">
        <w:rPr>
          <w:rFonts w:eastAsia="Calibri"/>
        </w:rPr>
        <w:t xml:space="preserve">This report </w:t>
      </w:r>
      <w:r>
        <w:rPr>
          <w:rFonts w:eastAsia="Calibri"/>
        </w:rPr>
        <w:t>consults you, under section 41(2) of the HART Act, on proposed guidelines</w:t>
      </w:r>
      <w:r w:rsidRPr="00100A82">
        <w:rPr>
          <w:rFonts w:eastAsia="Calibri"/>
        </w:rPr>
        <w:t xml:space="preserve"> that </w:t>
      </w:r>
      <w:r>
        <w:rPr>
          <w:rFonts w:eastAsia="Calibri"/>
        </w:rPr>
        <w:t>ACART is about to issue to ECART. The new guidelines amend and combine four previous sets of guidelines for the donation of eggs, sperm and embryos and for surrogacy.</w:t>
      </w:r>
    </w:p>
    <w:p w14:paraId="717BC03B" w14:textId="77777777" w:rsidR="00547D02" w:rsidRDefault="00547D02" w:rsidP="002D6FC1">
      <w:pPr>
        <w:pStyle w:val="Number"/>
        <w:rPr>
          <w:rFonts w:eastAsia="Calibri"/>
        </w:rPr>
      </w:pPr>
      <w:r>
        <w:rPr>
          <w:rFonts w:eastAsia="Calibri"/>
        </w:rPr>
        <w:t>ACART recommends that you ask Cabinet to change the HART Order to:</w:t>
      </w:r>
    </w:p>
    <w:p w14:paraId="338A802F" w14:textId="77777777" w:rsidR="00547D02" w:rsidRDefault="00547D02" w:rsidP="00547D02">
      <w:pPr>
        <w:pStyle w:val="Bullet"/>
      </w:pPr>
      <w:r>
        <w:t xml:space="preserve">require </w:t>
      </w:r>
      <w:r w:rsidRPr="00B0348C">
        <w:t xml:space="preserve">all clinic assisted surrogacies to be considered by ECART </w:t>
      </w:r>
      <w:r>
        <w:t>(with</w:t>
      </w:r>
      <w:r w:rsidRPr="00B0348C">
        <w:t xml:space="preserve"> ACART issu</w:t>
      </w:r>
      <w:r>
        <w:t>ing</w:t>
      </w:r>
      <w:r w:rsidRPr="00B0348C">
        <w:t xml:space="preserve"> a final set of guidelines</w:t>
      </w:r>
      <w:r>
        <w:t xml:space="preserve"> after this change is made)</w:t>
      </w:r>
    </w:p>
    <w:p w14:paraId="63646284" w14:textId="77777777" w:rsidR="00547D02" w:rsidRPr="00B545A8" w:rsidRDefault="00547D02" w:rsidP="00547D02">
      <w:pPr>
        <w:pStyle w:val="Bullet"/>
      </w:pPr>
      <w:r>
        <w:t>state that</w:t>
      </w:r>
      <w:r w:rsidRPr="00583C22">
        <w:t xml:space="preserve"> </w:t>
      </w:r>
      <w:r w:rsidRPr="00B545A8">
        <w:t>ECART</w:t>
      </w:r>
      <w:r>
        <w:t xml:space="preserve"> must</w:t>
      </w:r>
      <w:r w:rsidRPr="00B545A8">
        <w:t xml:space="preserve"> </w:t>
      </w:r>
      <w:r>
        <w:t>consider</w:t>
      </w:r>
      <w:r w:rsidRPr="00B545A8">
        <w:t xml:space="preserve"> all embryo donations </w:t>
      </w:r>
      <w:r>
        <w:t>(with one exception)</w:t>
      </w:r>
      <w:r w:rsidRPr="00B545A8">
        <w:t>.</w:t>
      </w:r>
    </w:p>
    <w:p w14:paraId="1D243AD2" w14:textId="77777777" w:rsidR="00547D02" w:rsidRDefault="00547D02" w:rsidP="002D6FC1">
      <w:pPr>
        <w:pStyle w:val="Number"/>
        <w:rPr>
          <w:rFonts w:eastAsia="Calibri"/>
        </w:rPr>
      </w:pPr>
      <w:r w:rsidRPr="00EF729D">
        <w:rPr>
          <w:rFonts w:eastAsia="Calibri"/>
        </w:rPr>
        <w:t>ACART</w:t>
      </w:r>
      <w:r w:rsidR="000A0B49">
        <w:rPr>
          <w:rFonts w:eastAsia="Calibri"/>
        </w:rPr>
        <w:t>’</w:t>
      </w:r>
      <w:r w:rsidRPr="00EF729D">
        <w:rPr>
          <w:rFonts w:eastAsia="Calibri"/>
        </w:rPr>
        <w:t>s advice explains why</w:t>
      </w:r>
      <w:r>
        <w:rPr>
          <w:rFonts w:eastAsia="Calibri"/>
        </w:rPr>
        <w:t xml:space="preserve"> it has</w:t>
      </w:r>
      <w:r w:rsidRPr="00EF729D">
        <w:rPr>
          <w:rFonts w:eastAsia="Calibri"/>
        </w:rPr>
        <w:t xml:space="preserve"> reviewed and revised the guidelines, how </w:t>
      </w:r>
      <w:r>
        <w:rPr>
          <w:rFonts w:eastAsia="Calibri"/>
        </w:rPr>
        <w:t xml:space="preserve">it consulted </w:t>
      </w:r>
      <w:r w:rsidRPr="00EF729D">
        <w:rPr>
          <w:rFonts w:eastAsia="Calibri"/>
        </w:rPr>
        <w:t xml:space="preserve">stakeholders and </w:t>
      </w:r>
      <w:r>
        <w:rPr>
          <w:rFonts w:eastAsia="Calibri"/>
        </w:rPr>
        <w:t xml:space="preserve">took </w:t>
      </w:r>
      <w:r w:rsidRPr="00EF729D">
        <w:rPr>
          <w:rFonts w:eastAsia="Calibri"/>
        </w:rPr>
        <w:t>their views into ac</w:t>
      </w:r>
      <w:r>
        <w:rPr>
          <w:rFonts w:eastAsia="Calibri"/>
        </w:rPr>
        <w:t>count, and what the implication</w:t>
      </w:r>
      <w:r w:rsidRPr="00EF729D">
        <w:rPr>
          <w:rFonts w:eastAsia="Calibri"/>
        </w:rPr>
        <w:t>s</w:t>
      </w:r>
      <w:r>
        <w:rPr>
          <w:rFonts w:eastAsia="Calibri"/>
        </w:rPr>
        <w:t xml:space="preserve"> </w:t>
      </w:r>
      <w:r w:rsidRPr="00EF729D">
        <w:rPr>
          <w:rFonts w:eastAsia="Calibri"/>
        </w:rPr>
        <w:t>of the changes will be.</w:t>
      </w:r>
    </w:p>
    <w:p w14:paraId="11F14E1A" w14:textId="77777777" w:rsidR="00461C31" w:rsidRPr="00155578" w:rsidRDefault="00461C31" w:rsidP="008F0EE4"/>
    <w:p w14:paraId="714DFDAE" w14:textId="77777777" w:rsidR="00440DC2" w:rsidRPr="00155578" w:rsidRDefault="00440DC2" w:rsidP="001E4A64">
      <w:pPr>
        <w:pStyle w:val="Heading1"/>
        <w:sectPr w:rsidR="00440DC2" w:rsidRPr="00155578" w:rsidSect="00440DC2">
          <w:headerReference w:type="default" r:id="rId30"/>
          <w:footerReference w:type="even" r:id="rId31"/>
          <w:footerReference w:type="default" r:id="rId32"/>
          <w:headerReference w:type="first" r:id="rId33"/>
          <w:footerReference w:type="first" r:id="rId34"/>
          <w:pgSz w:w="11907" w:h="16834" w:code="9"/>
          <w:pgMar w:top="1701" w:right="1418" w:bottom="1701" w:left="1701" w:header="0" w:footer="425" w:gutter="0"/>
          <w:cols w:space="720"/>
          <w:titlePg/>
        </w:sectPr>
      </w:pPr>
      <w:bookmarkStart w:id="18" w:name="_Toc489257953"/>
    </w:p>
    <w:p w14:paraId="5809EBEE" w14:textId="77777777" w:rsidR="004A744F" w:rsidRPr="00155578" w:rsidRDefault="00547D02" w:rsidP="00002EFF">
      <w:pPr>
        <w:pStyle w:val="Heading1"/>
      </w:pPr>
      <w:bookmarkStart w:id="19" w:name="_Ref491763662"/>
      <w:bookmarkStart w:id="20" w:name="_Ref491763663"/>
      <w:bookmarkStart w:id="21" w:name="_Toc73459700"/>
      <w:r>
        <w:lastRenderedPageBreak/>
        <w:t>Structure of this report</w:t>
      </w:r>
      <w:bookmarkEnd w:id="18"/>
      <w:bookmarkEnd w:id="19"/>
      <w:bookmarkEnd w:id="20"/>
      <w:bookmarkEnd w:id="21"/>
    </w:p>
    <w:p w14:paraId="0FACDCB6" w14:textId="77777777" w:rsidR="00547D02" w:rsidRDefault="00547D02" w:rsidP="002D6FC1">
      <w:pPr>
        <w:pStyle w:val="Number"/>
        <w:rPr>
          <w:rFonts w:eastAsia="Calibri"/>
        </w:rPr>
      </w:pPr>
      <w:bookmarkStart w:id="22" w:name="_Toc489257954"/>
      <w:bookmarkEnd w:id="22"/>
      <w:r w:rsidRPr="004474E4">
        <w:rPr>
          <w:rFonts w:eastAsia="Calibri"/>
        </w:rPr>
        <w:t>This report discusses:</w:t>
      </w:r>
    </w:p>
    <w:p w14:paraId="759BDE06" w14:textId="77777777" w:rsidR="00547D02" w:rsidRDefault="00547D02" w:rsidP="00547D02">
      <w:pPr>
        <w:pStyle w:val="Bullet"/>
      </w:pPr>
      <w:r w:rsidRPr="002F475C">
        <w:t xml:space="preserve">the scope of this advice </w:t>
      </w:r>
      <w:r>
        <w:t>and of the guidelines</w:t>
      </w:r>
    </w:p>
    <w:p w14:paraId="77A176F3" w14:textId="77777777" w:rsidR="00547D02" w:rsidRDefault="00547D02" w:rsidP="00547D02">
      <w:pPr>
        <w:pStyle w:val="Bullet"/>
      </w:pPr>
      <w:r>
        <w:t>how New Zealand regulates assisted reproduction</w:t>
      </w:r>
    </w:p>
    <w:p w14:paraId="085D4257" w14:textId="77777777" w:rsidR="00547D02" w:rsidRDefault="00547D02" w:rsidP="00547D02">
      <w:pPr>
        <w:pStyle w:val="Bullet"/>
      </w:pPr>
      <w:r>
        <w:t>why ACART has amended the guidelines</w:t>
      </w:r>
    </w:p>
    <w:p w14:paraId="7CC6B308" w14:textId="77777777" w:rsidR="00547D02" w:rsidRDefault="00547D02" w:rsidP="00547D02">
      <w:pPr>
        <w:pStyle w:val="Bullet"/>
      </w:pPr>
      <w:r>
        <w:t xml:space="preserve">matters ACART has </w:t>
      </w:r>
      <w:proofErr w:type="gramStart"/>
      <w:r>
        <w:t>taken into account</w:t>
      </w:r>
      <w:proofErr w:type="gramEnd"/>
    </w:p>
    <w:p w14:paraId="6DCF3948" w14:textId="77777777" w:rsidR="00547D02" w:rsidRDefault="00547D02" w:rsidP="00547D02">
      <w:pPr>
        <w:pStyle w:val="Bullet"/>
      </w:pPr>
      <w:r>
        <w:t xml:space="preserve">the consultation </w:t>
      </w:r>
      <w:proofErr w:type="gramStart"/>
      <w:r>
        <w:t>process</w:t>
      </w:r>
      <w:proofErr w:type="gramEnd"/>
    </w:p>
    <w:p w14:paraId="41D57744" w14:textId="77777777" w:rsidR="00547D02" w:rsidRDefault="00547D02" w:rsidP="00547D02">
      <w:pPr>
        <w:pStyle w:val="Bullet"/>
      </w:pPr>
      <w:r>
        <w:t>the changes in the revised guidelines and how ACART decided to make those changes</w:t>
      </w:r>
    </w:p>
    <w:p w14:paraId="354D4C23" w14:textId="77777777" w:rsidR="00547D02" w:rsidRDefault="00547D02" w:rsidP="00547D02">
      <w:pPr>
        <w:pStyle w:val="Bullet"/>
      </w:pPr>
      <w:r>
        <w:t>next steps.</w:t>
      </w:r>
    </w:p>
    <w:p w14:paraId="716EABC9" w14:textId="77777777" w:rsidR="00002EFF" w:rsidRDefault="00002EFF" w:rsidP="00547D02"/>
    <w:p w14:paraId="3DC12C64" w14:textId="77777777" w:rsidR="00547D02" w:rsidRPr="00002EFF" w:rsidRDefault="00547D02" w:rsidP="00547D02"/>
    <w:p w14:paraId="36D0C13C" w14:textId="77777777" w:rsidR="00FB5614" w:rsidRDefault="00FB5614" w:rsidP="000E692E">
      <w:pPr>
        <w:sectPr w:rsidR="00FB5614" w:rsidSect="00201AC4">
          <w:headerReference w:type="even" r:id="rId35"/>
          <w:footerReference w:type="even" r:id="rId36"/>
          <w:footerReference w:type="default" r:id="rId37"/>
          <w:headerReference w:type="first" r:id="rId38"/>
          <w:footerReference w:type="first" r:id="rId39"/>
          <w:pgSz w:w="11907" w:h="16834" w:code="9"/>
          <w:pgMar w:top="1701" w:right="1418" w:bottom="1701" w:left="1701" w:header="0" w:footer="425" w:gutter="0"/>
          <w:cols w:space="720"/>
          <w:titlePg/>
        </w:sectPr>
      </w:pPr>
    </w:p>
    <w:p w14:paraId="0191EA86" w14:textId="77777777" w:rsidR="00FB5614" w:rsidRPr="00155578" w:rsidRDefault="00547D02" w:rsidP="00002EFF">
      <w:pPr>
        <w:pStyle w:val="Heading1"/>
      </w:pPr>
      <w:bookmarkStart w:id="23" w:name="_Ref61532436"/>
      <w:bookmarkStart w:id="24" w:name="_Toc73459701"/>
      <w:r>
        <w:lastRenderedPageBreak/>
        <w:t>The scope of this advice and the guidelines</w:t>
      </w:r>
      <w:bookmarkEnd w:id="23"/>
      <w:bookmarkEnd w:id="24"/>
    </w:p>
    <w:p w14:paraId="55DED458" w14:textId="77777777" w:rsidR="00547D02" w:rsidRPr="003404AF" w:rsidRDefault="00547D02" w:rsidP="00547D02">
      <w:pPr>
        <w:pStyle w:val="Heading2"/>
        <w:rPr>
          <w:rFonts w:eastAsia="Calibri"/>
        </w:rPr>
      </w:pPr>
      <w:bookmarkStart w:id="25" w:name="_Toc17118560"/>
      <w:bookmarkStart w:id="26" w:name="_Toc73459702"/>
      <w:r w:rsidRPr="003404AF">
        <w:rPr>
          <w:rFonts w:eastAsia="Calibri"/>
        </w:rPr>
        <w:t>In scope</w:t>
      </w:r>
      <w:bookmarkEnd w:id="25"/>
      <w:bookmarkEnd w:id="26"/>
    </w:p>
    <w:p w14:paraId="6085209D" w14:textId="77777777" w:rsidR="00547D02" w:rsidRDefault="00547D02" w:rsidP="002D6FC1">
      <w:pPr>
        <w:pStyle w:val="Number"/>
        <w:rPr>
          <w:rFonts w:eastAsia="Calibri"/>
        </w:rPr>
      </w:pPr>
      <w:r>
        <w:rPr>
          <w:rFonts w:eastAsia="Calibri"/>
        </w:rPr>
        <w:t>This</w:t>
      </w:r>
      <w:r w:rsidRPr="001634C0">
        <w:rPr>
          <w:rFonts w:eastAsia="Calibri"/>
        </w:rPr>
        <w:t xml:space="preserve"> advice recommends changes to the HART Order and </w:t>
      </w:r>
      <w:r>
        <w:rPr>
          <w:rFonts w:eastAsia="Calibri"/>
        </w:rPr>
        <w:t>explains the reasons for those recommendations</w:t>
      </w:r>
      <w:r w:rsidRPr="001634C0">
        <w:rPr>
          <w:rFonts w:eastAsia="Calibri"/>
        </w:rPr>
        <w:t xml:space="preserve">. </w:t>
      </w:r>
      <w:r>
        <w:rPr>
          <w:rFonts w:eastAsia="Calibri"/>
        </w:rPr>
        <w:t xml:space="preserve">It also </w:t>
      </w:r>
      <w:r w:rsidRPr="001634C0">
        <w:rPr>
          <w:rFonts w:eastAsia="Calibri"/>
        </w:rPr>
        <w:t xml:space="preserve">presents amended guidelines for donations and surrogacy that will be published </w:t>
      </w:r>
      <w:proofErr w:type="gramStart"/>
      <w:r w:rsidRPr="001634C0">
        <w:rPr>
          <w:rFonts w:eastAsia="Calibri"/>
        </w:rPr>
        <w:t>in the near future</w:t>
      </w:r>
      <w:proofErr w:type="gramEnd"/>
      <w:r>
        <w:rPr>
          <w:rFonts w:eastAsia="Calibri"/>
        </w:rPr>
        <w:t>. The</w:t>
      </w:r>
      <w:r w:rsidRPr="001634C0">
        <w:rPr>
          <w:rFonts w:eastAsia="Calibri"/>
        </w:rPr>
        <w:t xml:space="preserve"> advice explains the reasons for, and likely implications of, the amended guidelines</w:t>
      </w:r>
      <w:r>
        <w:rPr>
          <w:rFonts w:eastAsia="Calibri"/>
        </w:rPr>
        <w:t>.</w:t>
      </w:r>
    </w:p>
    <w:p w14:paraId="6E411ADF" w14:textId="77777777" w:rsidR="00547D02" w:rsidRDefault="00547D02" w:rsidP="002D6FC1">
      <w:pPr>
        <w:pStyle w:val="Number"/>
        <w:rPr>
          <w:rFonts w:eastAsia="Calibri"/>
        </w:rPr>
      </w:pPr>
      <w:r w:rsidRPr="0059799A">
        <w:rPr>
          <w:rFonts w:eastAsia="Calibri"/>
        </w:rPr>
        <w:t xml:space="preserve">The </w:t>
      </w:r>
      <w:r>
        <w:rPr>
          <w:rFonts w:eastAsia="Calibri"/>
        </w:rPr>
        <w:t xml:space="preserve">first </w:t>
      </w:r>
      <w:r w:rsidRPr="0059799A">
        <w:rPr>
          <w:rFonts w:eastAsia="Calibri"/>
        </w:rPr>
        <w:t xml:space="preserve">recommended change to the HART Order </w:t>
      </w:r>
      <w:r>
        <w:rPr>
          <w:rFonts w:eastAsia="Calibri"/>
        </w:rPr>
        <w:t>is to make</w:t>
      </w:r>
      <w:r w:rsidRPr="001634C0">
        <w:rPr>
          <w:rFonts w:eastAsia="Calibri"/>
        </w:rPr>
        <w:t xml:space="preserve"> all surrogacies </w:t>
      </w:r>
      <w:r>
        <w:rPr>
          <w:rFonts w:eastAsia="Calibri"/>
        </w:rPr>
        <w:t xml:space="preserve">that </w:t>
      </w:r>
      <w:r w:rsidRPr="001634C0">
        <w:rPr>
          <w:rFonts w:eastAsia="Calibri"/>
        </w:rPr>
        <w:t>clinics perform subject to ECART consideration.</w:t>
      </w:r>
      <w:r>
        <w:rPr>
          <w:rFonts w:eastAsia="Calibri"/>
        </w:rPr>
        <w:t xml:space="preserve"> The other significant recommended change is to clarify</w:t>
      </w:r>
      <w:r w:rsidRPr="0059799A">
        <w:rPr>
          <w:rFonts w:eastAsia="Calibri"/>
        </w:rPr>
        <w:t xml:space="preserve"> the regulatory status of the donation of embryos. </w:t>
      </w:r>
      <w:r w:rsidRPr="006D6EB8">
        <w:t xml:space="preserve">On the basis of </w:t>
      </w:r>
      <w:proofErr w:type="gramStart"/>
      <w:r w:rsidRPr="006D6EB8">
        <w:t>advice</w:t>
      </w:r>
      <w:proofErr w:type="gramEnd"/>
      <w:r w:rsidRPr="006D6EB8">
        <w:t xml:space="preserve"> </w:t>
      </w:r>
      <w:r>
        <w:t xml:space="preserve">it has </w:t>
      </w:r>
      <w:r w:rsidRPr="006D6EB8">
        <w:t xml:space="preserve">received, </w:t>
      </w:r>
      <w:r>
        <w:t>ACART</w:t>
      </w:r>
      <w:r w:rsidRPr="0059799A">
        <w:t xml:space="preserve"> believe</w:t>
      </w:r>
      <w:r>
        <w:t>s that</w:t>
      </w:r>
      <w:r w:rsidRPr="0059799A">
        <w:t xml:space="preserve"> ECART approval is required </w:t>
      </w:r>
      <w:r>
        <w:t xml:space="preserve">under current legislation </w:t>
      </w:r>
      <w:r w:rsidRPr="0059799A">
        <w:t>but</w:t>
      </w:r>
      <w:r>
        <w:t>,</w:t>
      </w:r>
      <w:r w:rsidRPr="0059799A">
        <w:t xml:space="preserve"> to remove any ambiguity, ACART is recommending the </w:t>
      </w:r>
      <w:r>
        <w:t xml:space="preserve">change to the </w:t>
      </w:r>
      <w:r w:rsidRPr="0059799A">
        <w:t>HART Order</w:t>
      </w:r>
      <w:r>
        <w:t>.</w:t>
      </w:r>
      <w:r w:rsidRPr="001634C0" w:rsidDel="0059799A">
        <w:rPr>
          <w:rFonts w:eastAsia="Calibri"/>
        </w:rPr>
        <w:t xml:space="preserve"> </w:t>
      </w:r>
      <w:r w:rsidRPr="001634C0">
        <w:rPr>
          <w:rFonts w:eastAsia="Calibri"/>
        </w:rPr>
        <w:t xml:space="preserve">The recommendations also </w:t>
      </w:r>
      <w:r>
        <w:rPr>
          <w:rFonts w:eastAsia="Calibri"/>
        </w:rPr>
        <w:t>propose</w:t>
      </w:r>
      <w:r w:rsidRPr="001634C0">
        <w:rPr>
          <w:rFonts w:eastAsia="Calibri"/>
        </w:rPr>
        <w:t xml:space="preserve"> one </w:t>
      </w:r>
      <w:r>
        <w:rPr>
          <w:rFonts w:eastAsia="Calibri"/>
        </w:rPr>
        <w:t xml:space="preserve">exception </w:t>
      </w:r>
      <w:r w:rsidRPr="001634C0">
        <w:rPr>
          <w:rFonts w:eastAsia="Calibri"/>
        </w:rPr>
        <w:t xml:space="preserve">in which </w:t>
      </w:r>
      <w:r>
        <w:rPr>
          <w:rFonts w:eastAsia="Calibri"/>
        </w:rPr>
        <w:t>an embryo donation should be</w:t>
      </w:r>
      <w:r w:rsidRPr="001634C0">
        <w:rPr>
          <w:rFonts w:eastAsia="Calibri"/>
        </w:rPr>
        <w:t xml:space="preserve"> exempt from ECART consideration</w:t>
      </w:r>
      <w:r>
        <w:rPr>
          <w:rFonts w:eastAsia="Calibri"/>
        </w:rPr>
        <w:t xml:space="preserve"> by becoming an </w:t>
      </w:r>
      <w:r w:rsidR="000A0B49">
        <w:rPr>
          <w:rFonts w:eastAsia="Calibri"/>
        </w:rPr>
        <w:t>‘</w:t>
      </w:r>
      <w:r>
        <w:rPr>
          <w:rFonts w:eastAsia="Calibri"/>
        </w:rPr>
        <w:t>established procedure</w:t>
      </w:r>
      <w:r w:rsidR="000A0B49">
        <w:rPr>
          <w:rFonts w:eastAsia="Calibri"/>
        </w:rPr>
        <w:t>’</w:t>
      </w:r>
      <w:r w:rsidRPr="001634C0">
        <w:rPr>
          <w:rFonts w:eastAsia="Calibri"/>
        </w:rPr>
        <w:t>.</w:t>
      </w:r>
    </w:p>
    <w:p w14:paraId="52B0D62C" w14:textId="77777777" w:rsidR="00547D02" w:rsidRDefault="00547D02" w:rsidP="002D6FC1">
      <w:pPr>
        <w:pStyle w:val="Number"/>
        <w:rPr>
          <w:rFonts w:eastAsia="Calibri"/>
        </w:rPr>
      </w:pPr>
      <w:r w:rsidRPr="001634C0">
        <w:rPr>
          <w:rFonts w:eastAsia="Calibri"/>
        </w:rPr>
        <w:t>The guidelines have been amended to:</w:t>
      </w:r>
    </w:p>
    <w:p w14:paraId="651524E2" w14:textId="77777777" w:rsidR="00547D02" w:rsidRPr="00FA4A59" w:rsidRDefault="00547D02" w:rsidP="002D6FC1">
      <w:pPr>
        <w:pStyle w:val="Bullet"/>
      </w:pPr>
      <w:r w:rsidRPr="00FA4A59">
        <w:t>remove a potentially discriminatory provision</w:t>
      </w:r>
    </w:p>
    <w:p w14:paraId="7734D634" w14:textId="77777777" w:rsidR="00547D02" w:rsidRDefault="00547D02" w:rsidP="002D6FC1">
      <w:pPr>
        <w:pStyle w:val="Bullet"/>
      </w:pPr>
      <w:r w:rsidRPr="00FA4A59">
        <w:t>enable gametes and embryos to be donated in a greater range of situations</w:t>
      </w:r>
    </w:p>
    <w:p w14:paraId="410A7C81" w14:textId="77777777" w:rsidR="00547D02" w:rsidRPr="00FA4A59" w:rsidRDefault="00547D02" w:rsidP="002D6FC1">
      <w:pPr>
        <w:pStyle w:val="Bullet"/>
      </w:pPr>
      <w:r w:rsidRPr="00FA4A59">
        <w:t xml:space="preserve">clearly state </w:t>
      </w:r>
      <w:r>
        <w:t>the circumstances in which</w:t>
      </w:r>
      <w:r w:rsidRPr="00FA4A59">
        <w:t xml:space="preserve"> embryos can and cannot be donated</w:t>
      </w:r>
    </w:p>
    <w:p w14:paraId="4A574531" w14:textId="77777777" w:rsidR="00547D02" w:rsidRPr="00FA4A59" w:rsidRDefault="00547D02" w:rsidP="002D6FC1">
      <w:pPr>
        <w:pStyle w:val="Bullet"/>
      </w:pPr>
      <w:r w:rsidRPr="00FA4A59">
        <w:t>state who can and must consent to activities now that the mandatory biological link has been removed and new donation options are available</w:t>
      </w:r>
    </w:p>
    <w:p w14:paraId="11064AF6" w14:textId="77777777" w:rsidR="00547D02" w:rsidRPr="00FA4A59" w:rsidRDefault="00547D02" w:rsidP="002D6FC1">
      <w:pPr>
        <w:pStyle w:val="Bullet"/>
      </w:pPr>
      <w:r>
        <w:t xml:space="preserve">clarify the issues parties must consider </w:t>
      </w:r>
      <w:r w:rsidRPr="00FA4A59">
        <w:t xml:space="preserve">if </w:t>
      </w:r>
      <w:r>
        <w:t xml:space="preserve">they are </w:t>
      </w:r>
      <w:r w:rsidRPr="00FA4A59">
        <w:t>taking part in a surrogacy arrangement</w:t>
      </w:r>
    </w:p>
    <w:p w14:paraId="397670E5" w14:textId="77777777" w:rsidR="00547D02" w:rsidRPr="00FA4A59" w:rsidRDefault="00547D02" w:rsidP="002D6FC1">
      <w:pPr>
        <w:pStyle w:val="Bullet"/>
      </w:pPr>
      <w:r>
        <w:t xml:space="preserve">clarify </w:t>
      </w:r>
      <w:r w:rsidRPr="00FA4A59">
        <w:t xml:space="preserve">the requirement for ECART to check for intergenerational </w:t>
      </w:r>
      <w:r>
        <w:t>risks</w:t>
      </w:r>
      <w:r w:rsidRPr="00FA4A59">
        <w:t xml:space="preserve"> and undue influence</w:t>
      </w:r>
    </w:p>
    <w:p w14:paraId="0FD5DD82" w14:textId="77777777" w:rsidR="00547D02" w:rsidRPr="00FA4A59" w:rsidRDefault="00547D02" w:rsidP="002D6FC1">
      <w:pPr>
        <w:pStyle w:val="Bullet"/>
      </w:pPr>
      <w:r w:rsidRPr="00FA4A59">
        <w:t>rationalise the requirements for obtaining legal advice.</w:t>
      </w:r>
    </w:p>
    <w:p w14:paraId="1A9F6F50" w14:textId="77777777" w:rsidR="00547D02" w:rsidRPr="003404AF" w:rsidRDefault="00547D02" w:rsidP="00547D02">
      <w:pPr>
        <w:pStyle w:val="Heading2"/>
        <w:rPr>
          <w:rFonts w:eastAsia="Calibri"/>
        </w:rPr>
      </w:pPr>
      <w:bookmarkStart w:id="27" w:name="_Toc17118561"/>
      <w:bookmarkStart w:id="28" w:name="_Toc73459703"/>
      <w:r w:rsidRPr="003404AF">
        <w:rPr>
          <w:rFonts w:eastAsia="Calibri"/>
        </w:rPr>
        <w:t>Out of scope</w:t>
      </w:r>
      <w:bookmarkEnd w:id="27"/>
      <w:bookmarkEnd w:id="28"/>
    </w:p>
    <w:p w14:paraId="717E148B" w14:textId="77777777" w:rsidR="00547D02" w:rsidRDefault="00547D02" w:rsidP="002D6FC1">
      <w:pPr>
        <w:pStyle w:val="Number"/>
        <w:rPr>
          <w:rFonts w:eastAsia="Calibri"/>
        </w:rPr>
      </w:pPr>
      <w:r w:rsidRPr="001634C0">
        <w:rPr>
          <w:rFonts w:eastAsia="Calibri"/>
        </w:rPr>
        <w:t>Neither the amended guidelines nor this advice address</w:t>
      </w:r>
      <w:r>
        <w:rPr>
          <w:rFonts w:eastAsia="Calibri"/>
        </w:rPr>
        <w:t xml:space="preserve"> donations relating to</w:t>
      </w:r>
      <w:r w:rsidRPr="001634C0">
        <w:rPr>
          <w:rFonts w:eastAsia="Calibri"/>
        </w:rPr>
        <w:t xml:space="preserve"> human reproductive research. The </w:t>
      </w:r>
      <w:r>
        <w:rPr>
          <w:rFonts w:eastAsia="Calibri"/>
        </w:rPr>
        <w:t xml:space="preserve">Human Assisted Reproductive Technology Act 2004 </w:t>
      </w:r>
      <w:r w:rsidRPr="001634C0">
        <w:rPr>
          <w:rFonts w:eastAsia="Calibri"/>
        </w:rPr>
        <w:t xml:space="preserve">requires ACART to give you advice </w:t>
      </w:r>
      <w:r>
        <w:rPr>
          <w:rFonts w:eastAsia="Calibri"/>
        </w:rPr>
        <w:t xml:space="preserve">on this subject </w:t>
      </w:r>
      <w:r w:rsidRPr="001634C0">
        <w:rPr>
          <w:rFonts w:eastAsia="Calibri"/>
        </w:rPr>
        <w:t>(s</w:t>
      </w:r>
      <w:r>
        <w:rPr>
          <w:rFonts w:eastAsia="Calibri"/>
        </w:rPr>
        <w:t xml:space="preserve"> </w:t>
      </w:r>
      <w:r w:rsidRPr="001634C0">
        <w:rPr>
          <w:rFonts w:eastAsia="Calibri"/>
        </w:rPr>
        <w:t>37(1)) and ACART plans to address that requirement when it reviews the guidelines on human reproductive research.</w:t>
      </w:r>
    </w:p>
    <w:p w14:paraId="0CE71973" w14:textId="77777777" w:rsidR="006E2BBA" w:rsidRDefault="006E2BBA" w:rsidP="00D001FB"/>
    <w:p w14:paraId="18C81B7C" w14:textId="77777777" w:rsidR="00547D02" w:rsidRPr="00A22C89" w:rsidRDefault="00547D02" w:rsidP="00D001FB"/>
    <w:p w14:paraId="4FD31B32" w14:textId="77777777" w:rsidR="006E2BBA" w:rsidRDefault="006E2BBA" w:rsidP="000E692E">
      <w:pPr>
        <w:sectPr w:rsidR="006E2BBA" w:rsidSect="00201AC4">
          <w:headerReference w:type="even" r:id="rId40"/>
          <w:footerReference w:type="even" r:id="rId41"/>
          <w:footerReference w:type="default" r:id="rId42"/>
          <w:headerReference w:type="first" r:id="rId43"/>
          <w:footerReference w:type="first" r:id="rId44"/>
          <w:pgSz w:w="11907" w:h="16834" w:code="9"/>
          <w:pgMar w:top="1701" w:right="1418" w:bottom="1701" w:left="1701" w:header="0" w:footer="425" w:gutter="0"/>
          <w:cols w:space="720"/>
          <w:titlePg/>
        </w:sectPr>
      </w:pPr>
    </w:p>
    <w:p w14:paraId="70C71B03" w14:textId="77777777" w:rsidR="00FB5614" w:rsidRDefault="00547D02" w:rsidP="00547D02">
      <w:pPr>
        <w:pStyle w:val="Heading1"/>
      </w:pPr>
      <w:bookmarkStart w:id="29" w:name="_Toc73459704"/>
      <w:r>
        <w:lastRenderedPageBreak/>
        <w:t>How New Zealand regulates assisted reproduction</w:t>
      </w:r>
      <w:bookmarkEnd w:id="29"/>
    </w:p>
    <w:p w14:paraId="216437BB" w14:textId="77777777" w:rsidR="00547D02" w:rsidRPr="00954D70" w:rsidRDefault="00547D02" w:rsidP="006251FF">
      <w:pPr>
        <w:pStyle w:val="Number"/>
        <w:rPr>
          <w:rFonts w:eastAsia="Calibri"/>
        </w:rPr>
      </w:pPr>
      <w:r w:rsidRPr="00954D70">
        <w:rPr>
          <w:rFonts w:eastAsia="Calibri"/>
        </w:rPr>
        <w:t>New Zealand</w:t>
      </w:r>
      <w:r w:rsidR="000A0B49">
        <w:rPr>
          <w:rFonts w:eastAsia="Calibri"/>
        </w:rPr>
        <w:t>’</w:t>
      </w:r>
      <w:r>
        <w:rPr>
          <w:rFonts w:eastAsia="Calibri"/>
        </w:rPr>
        <w:t>s</w:t>
      </w:r>
      <w:r w:rsidRPr="00954D70">
        <w:rPr>
          <w:rFonts w:eastAsia="Calibri"/>
        </w:rPr>
        <w:t xml:space="preserve"> requirements for assisted reproduction are set out in:</w:t>
      </w:r>
    </w:p>
    <w:p w14:paraId="1CBABB4E" w14:textId="77777777" w:rsidR="00547D02" w:rsidRPr="00FA4A59" w:rsidRDefault="00547D02" w:rsidP="006251FF">
      <w:pPr>
        <w:pStyle w:val="Bullet"/>
      </w:pPr>
      <w:r w:rsidRPr="00FA4A59">
        <w:t>the HART Act and the HART Order</w:t>
      </w:r>
    </w:p>
    <w:p w14:paraId="42B065EB" w14:textId="77777777" w:rsidR="00547D02" w:rsidRPr="00FA4A59" w:rsidRDefault="00547D02" w:rsidP="006251FF">
      <w:pPr>
        <w:pStyle w:val="Bullet"/>
      </w:pPr>
      <w:r w:rsidRPr="00FA4A59">
        <w:t>the Code of Health and Disability Services Consumers</w:t>
      </w:r>
      <w:r w:rsidR="000A0B49">
        <w:t>’</w:t>
      </w:r>
      <w:r w:rsidRPr="00FA4A59">
        <w:t xml:space="preserve"> Rights (the Code)</w:t>
      </w:r>
    </w:p>
    <w:p w14:paraId="0442C643" w14:textId="77777777" w:rsidR="00547D02" w:rsidRPr="00FA4A59" w:rsidRDefault="00547D02" w:rsidP="006251FF">
      <w:pPr>
        <w:pStyle w:val="Bullet"/>
      </w:pPr>
      <w:r w:rsidRPr="00FA4A59">
        <w:t>guidelines issued by ACART to ECART</w:t>
      </w:r>
    </w:p>
    <w:p w14:paraId="10BC9C4F" w14:textId="77777777" w:rsidR="00547D02" w:rsidRDefault="00547D02" w:rsidP="006251FF">
      <w:pPr>
        <w:pStyle w:val="Bullet"/>
      </w:pPr>
      <w:r w:rsidRPr="00FA4A59">
        <w:t>the Fertility Services Standard.</w:t>
      </w:r>
    </w:p>
    <w:p w14:paraId="2EC53D5F" w14:textId="77777777" w:rsidR="00547D02" w:rsidRPr="00FA4A59" w:rsidRDefault="00547D02" w:rsidP="006251FF"/>
    <w:p w14:paraId="5FD0219A" w14:textId="77777777" w:rsidR="00547D02" w:rsidRDefault="00547D02" w:rsidP="006251FF">
      <w:pPr>
        <w:pStyle w:val="Heading2"/>
      </w:pPr>
      <w:bookmarkStart w:id="30" w:name="_Toc17118563"/>
      <w:bookmarkStart w:id="31" w:name="_Toc73459705"/>
      <w:r w:rsidRPr="00580CF2">
        <w:t>The HART Act</w:t>
      </w:r>
      <w:bookmarkEnd w:id="30"/>
      <w:bookmarkEnd w:id="31"/>
    </w:p>
    <w:p w14:paraId="4EA604B5" w14:textId="77777777" w:rsidR="00547D02" w:rsidRDefault="00547D02" w:rsidP="006251FF">
      <w:pPr>
        <w:pStyle w:val="Number"/>
        <w:rPr>
          <w:rFonts w:eastAsia="Calibri"/>
        </w:rPr>
      </w:pPr>
      <w:r w:rsidRPr="005F0D28">
        <w:rPr>
          <w:rFonts w:eastAsia="Calibri"/>
        </w:rPr>
        <w:t xml:space="preserve">The HART Act is the principal law regulating human assisted reproductive technology and human reproductive research in New Zealand. </w:t>
      </w:r>
      <w:r w:rsidRPr="00C9762A">
        <w:rPr>
          <w:rFonts w:eastAsia="Calibri"/>
        </w:rPr>
        <w:t xml:space="preserve">The HART Act requires ACART to </w:t>
      </w:r>
      <w:r>
        <w:rPr>
          <w:rFonts w:eastAsia="Calibri"/>
        </w:rPr>
        <w:t>advise</w:t>
      </w:r>
      <w:r w:rsidRPr="00C9762A">
        <w:rPr>
          <w:rFonts w:eastAsia="Calibri"/>
        </w:rPr>
        <w:t xml:space="preserve"> the Minister of Health on </w:t>
      </w:r>
      <w:r>
        <w:rPr>
          <w:rFonts w:eastAsia="Calibri"/>
        </w:rPr>
        <w:t>specific</w:t>
      </w:r>
      <w:r w:rsidRPr="00C9762A">
        <w:rPr>
          <w:rFonts w:eastAsia="Calibri"/>
        </w:rPr>
        <w:t xml:space="preserve"> matters related to assisted reproduction. This advice must not be inconsistent with the Code.</w:t>
      </w:r>
    </w:p>
    <w:p w14:paraId="520F85F2" w14:textId="77777777" w:rsidR="00547D02" w:rsidRDefault="00547D02" w:rsidP="00547D02">
      <w:pPr>
        <w:rPr>
          <w:rFonts w:eastAsia="Calibri"/>
        </w:rPr>
      </w:pPr>
    </w:p>
    <w:p w14:paraId="389267DC" w14:textId="77777777" w:rsidR="00547D02" w:rsidRPr="00580CF2" w:rsidRDefault="00547D02" w:rsidP="00547D02">
      <w:pPr>
        <w:pStyle w:val="Heading2"/>
      </w:pPr>
      <w:bookmarkStart w:id="32" w:name="_Toc17118564"/>
      <w:bookmarkStart w:id="33" w:name="_Toc73459706"/>
      <w:r w:rsidRPr="00580CF2">
        <w:t>The HART Order</w:t>
      </w:r>
      <w:bookmarkEnd w:id="32"/>
      <w:bookmarkEnd w:id="33"/>
    </w:p>
    <w:p w14:paraId="63A73FAE" w14:textId="77777777" w:rsidR="00547D02" w:rsidRDefault="00547D02" w:rsidP="006251FF">
      <w:pPr>
        <w:pStyle w:val="Number"/>
        <w:rPr>
          <w:rFonts w:eastAsia="Calibri"/>
        </w:rPr>
      </w:pPr>
      <w:r w:rsidRPr="00E400CA">
        <w:rPr>
          <w:rFonts w:eastAsia="Calibri"/>
        </w:rPr>
        <w:t>The HAR</w:t>
      </w:r>
      <w:r>
        <w:rPr>
          <w:rFonts w:eastAsia="Calibri"/>
        </w:rPr>
        <w:t>T Order lists the established procedures (that</w:t>
      </w:r>
      <w:r w:rsidRPr="009A7A9A">
        <w:rPr>
          <w:rFonts w:eastAsia="Calibri"/>
        </w:rPr>
        <w:t xml:space="preserve"> </w:t>
      </w:r>
      <w:r>
        <w:rPr>
          <w:rFonts w:eastAsia="Calibri"/>
        </w:rPr>
        <w:t>clinics are permitted to do without ECART approval), and the exceptions to those procedures, that require ethical review by ECART in accordance with ACART guidelines.</w:t>
      </w:r>
    </w:p>
    <w:p w14:paraId="2242F178" w14:textId="77777777" w:rsidR="00547D02" w:rsidRDefault="00547D02" w:rsidP="00547D02">
      <w:pPr>
        <w:rPr>
          <w:rFonts w:eastAsia="Calibri"/>
        </w:rPr>
      </w:pPr>
    </w:p>
    <w:p w14:paraId="7D365AB6" w14:textId="77777777" w:rsidR="00547D02" w:rsidRPr="00580CF2" w:rsidRDefault="00547D02" w:rsidP="00547D02">
      <w:pPr>
        <w:pStyle w:val="Heading2"/>
      </w:pPr>
      <w:bookmarkStart w:id="34" w:name="_Toc17118565"/>
      <w:bookmarkStart w:id="35" w:name="_Toc73459707"/>
      <w:r>
        <w:t>Guidelines issued by ACART</w:t>
      </w:r>
      <w:bookmarkEnd w:id="34"/>
      <w:bookmarkEnd w:id="35"/>
    </w:p>
    <w:p w14:paraId="2942FB51" w14:textId="77777777" w:rsidR="00547D02" w:rsidRDefault="00547D02" w:rsidP="006251FF">
      <w:pPr>
        <w:pStyle w:val="Number"/>
        <w:rPr>
          <w:rFonts w:eastAsia="Calibri"/>
        </w:rPr>
      </w:pPr>
      <w:r>
        <w:rPr>
          <w:rFonts w:eastAsia="Calibri"/>
        </w:rPr>
        <w:t xml:space="preserve">ACART issues </w:t>
      </w:r>
      <w:r w:rsidRPr="00EC273E">
        <w:rPr>
          <w:rFonts w:eastAsia="Calibri"/>
        </w:rPr>
        <w:t xml:space="preserve">guidelines </w:t>
      </w:r>
      <w:r>
        <w:rPr>
          <w:rFonts w:eastAsia="Calibri"/>
        </w:rPr>
        <w:t>to ECART, as required by section 35 of the HART Act, for assisted reproductive procedures</w:t>
      </w:r>
      <w:r w:rsidRPr="00EC273E">
        <w:rPr>
          <w:rFonts w:eastAsia="Calibri"/>
        </w:rPr>
        <w:t xml:space="preserve"> that ECART need</w:t>
      </w:r>
      <w:r>
        <w:rPr>
          <w:rFonts w:eastAsia="Calibri"/>
        </w:rPr>
        <w:t>s</w:t>
      </w:r>
      <w:r w:rsidRPr="00EC273E">
        <w:rPr>
          <w:rFonts w:eastAsia="Calibri"/>
        </w:rPr>
        <w:t xml:space="preserve"> to consider. </w:t>
      </w:r>
      <w:r>
        <w:rPr>
          <w:rFonts w:eastAsia="Calibri"/>
        </w:rPr>
        <w:t>As part of</w:t>
      </w:r>
      <w:r w:rsidRPr="00EC273E">
        <w:rPr>
          <w:rFonts w:eastAsia="Calibri"/>
        </w:rPr>
        <w:t xml:space="preserve"> this advice, ACART is proposing that </w:t>
      </w:r>
      <w:r>
        <w:rPr>
          <w:rFonts w:eastAsia="Calibri"/>
        </w:rPr>
        <w:t>certain</w:t>
      </w:r>
      <w:r w:rsidRPr="00EC273E">
        <w:rPr>
          <w:rFonts w:eastAsia="Calibri"/>
        </w:rPr>
        <w:t xml:space="preserve"> </w:t>
      </w:r>
      <w:r>
        <w:rPr>
          <w:rFonts w:eastAsia="Calibri"/>
        </w:rPr>
        <w:t xml:space="preserve">activities would </w:t>
      </w:r>
      <w:r w:rsidRPr="00EC273E">
        <w:rPr>
          <w:rFonts w:eastAsia="Calibri"/>
        </w:rPr>
        <w:t>require ECART</w:t>
      </w:r>
      <w:r w:rsidR="000A0B49">
        <w:rPr>
          <w:rFonts w:eastAsia="Calibri"/>
        </w:rPr>
        <w:t>’</w:t>
      </w:r>
      <w:r>
        <w:rPr>
          <w:rFonts w:eastAsia="Calibri"/>
        </w:rPr>
        <w:t>s</w:t>
      </w:r>
      <w:r w:rsidRPr="00EC273E">
        <w:rPr>
          <w:rFonts w:eastAsia="Calibri"/>
        </w:rPr>
        <w:t xml:space="preserve"> ethical approval.</w:t>
      </w:r>
    </w:p>
    <w:p w14:paraId="09B02E5E" w14:textId="77777777" w:rsidR="00547D02" w:rsidRPr="00310AEF" w:rsidRDefault="00547D02" w:rsidP="00547D02">
      <w:pPr>
        <w:rPr>
          <w:rFonts w:eastAsia="Calibri"/>
        </w:rPr>
      </w:pPr>
    </w:p>
    <w:p w14:paraId="46EF7AC1" w14:textId="77777777" w:rsidR="00547D02" w:rsidRPr="00580CF2" w:rsidRDefault="00547D02" w:rsidP="00547D02">
      <w:pPr>
        <w:pStyle w:val="Heading2"/>
      </w:pPr>
      <w:bookmarkStart w:id="36" w:name="_Toc17118566"/>
      <w:bookmarkStart w:id="37" w:name="_Toc73459708"/>
      <w:r w:rsidRPr="00580CF2">
        <w:lastRenderedPageBreak/>
        <w:t>The Code of Health and Disability Services Consumers</w:t>
      </w:r>
      <w:r w:rsidR="000A0B49">
        <w:t>’</w:t>
      </w:r>
      <w:r w:rsidRPr="00580CF2">
        <w:t xml:space="preserve"> Rights</w:t>
      </w:r>
      <w:bookmarkEnd w:id="36"/>
      <w:bookmarkEnd w:id="37"/>
    </w:p>
    <w:p w14:paraId="6C451733" w14:textId="77777777" w:rsidR="00547D02" w:rsidRPr="00EC273E" w:rsidRDefault="00547D02" w:rsidP="006251FF">
      <w:pPr>
        <w:pStyle w:val="Number"/>
        <w:keepLines/>
        <w:rPr>
          <w:rFonts w:eastAsia="Calibri"/>
        </w:rPr>
      </w:pPr>
      <w:r w:rsidRPr="00E648BA">
        <w:rPr>
          <w:rFonts w:eastAsia="Calibri"/>
        </w:rPr>
        <w:t xml:space="preserve">The Code applies </w:t>
      </w:r>
      <w:r w:rsidRPr="00EC273E">
        <w:rPr>
          <w:rFonts w:eastAsia="Calibri"/>
        </w:rPr>
        <w:t xml:space="preserve">to any person or organisation providing or receiving health and disability services in New Zealand. Rights 5, 6 and 7 of the Code give every consumer the right to effective communication, to be fully informed, to make an informed choice and to give informed consent. Right 7 also gives every consumer the right to make decisions about what happens to their body parts or bodily substances removed or obtained </w:t>
      </w:r>
      <w:proofErr w:type="gramStart"/>
      <w:r w:rsidRPr="00EC273E">
        <w:rPr>
          <w:rFonts w:eastAsia="Calibri"/>
        </w:rPr>
        <w:t>in the course of</w:t>
      </w:r>
      <w:proofErr w:type="gramEnd"/>
      <w:r w:rsidRPr="00EC273E">
        <w:rPr>
          <w:rFonts w:eastAsia="Calibri"/>
        </w:rPr>
        <w:t xml:space="preserve"> a health care procedure.</w:t>
      </w:r>
    </w:p>
    <w:p w14:paraId="3197FE9B" w14:textId="77777777" w:rsidR="00547D02" w:rsidRDefault="00547D02" w:rsidP="006251FF">
      <w:pPr>
        <w:pStyle w:val="Number"/>
        <w:rPr>
          <w:rFonts w:eastAsia="Calibri"/>
        </w:rPr>
      </w:pPr>
      <w:r w:rsidRPr="00E400CA">
        <w:rPr>
          <w:rFonts w:eastAsia="Calibri"/>
        </w:rPr>
        <w:t>While the Code does not address all matters of informed consent</w:t>
      </w:r>
      <w:r>
        <w:rPr>
          <w:rFonts w:eastAsia="Calibri"/>
        </w:rPr>
        <w:t xml:space="preserve"> for assisted reproductive technology</w:t>
      </w:r>
      <w:r w:rsidRPr="00E400CA">
        <w:rPr>
          <w:rFonts w:eastAsia="Calibri"/>
        </w:rPr>
        <w:t>, any regulations</w:t>
      </w:r>
      <w:r>
        <w:rPr>
          <w:rFonts w:eastAsia="Calibri"/>
        </w:rPr>
        <w:t>,</w:t>
      </w:r>
      <w:r w:rsidRPr="00E400CA">
        <w:rPr>
          <w:rFonts w:eastAsia="Calibri"/>
        </w:rPr>
        <w:t xml:space="preserve"> or guidelines </w:t>
      </w:r>
      <w:r w:rsidRPr="00D24202">
        <w:rPr>
          <w:rFonts w:eastAsia="Calibri"/>
        </w:rPr>
        <w:t xml:space="preserve">issued by ACART, </w:t>
      </w:r>
      <w:r w:rsidRPr="00E400CA">
        <w:rPr>
          <w:rFonts w:eastAsia="Calibri"/>
        </w:rPr>
        <w:t>must be consistent with the Code.</w:t>
      </w:r>
      <w:r w:rsidRPr="006251FF">
        <w:rPr>
          <w:rStyle w:val="FootnoteReference"/>
          <w:rFonts w:eastAsia="Calibri"/>
        </w:rPr>
        <w:footnoteReference w:id="3"/>
      </w:r>
    </w:p>
    <w:p w14:paraId="2F0F5C8C" w14:textId="77777777" w:rsidR="00547D02" w:rsidRDefault="00547D02" w:rsidP="00547D02">
      <w:pPr>
        <w:rPr>
          <w:rFonts w:eastAsia="Calibri"/>
        </w:rPr>
      </w:pPr>
    </w:p>
    <w:p w14:paraId="7B5E3156" w14:textId="77777777" w:rsidR="00547D02" w:rsidRDefault="00547D02" w:rsidP="00547D02">
      <w:pPr>
        <w:pStyle w:val="Heading2"/>
      </w:pPr>
      <w:bookmarkStart w:id="38" w:name="_Toc17118567"/>
      <w:bookmarkStart w:id="39" w:name="_Toc73459709"/>
      <w:r w:rsidRPr="00580CF2">
        <w:t>The Fertility Services Standard</w:t>
      </w:r>
      <w:bookmarkEnd w:id="38"/>
      <w:bookmarkEnd w:id="39"/>
    </w:p>
    <w:p w14:paraId="67979F35" w14:textId="77777777" w:rsidR="00547D02" w:rsidRDefault="00547D02" w:rsidP="006251FF">
      <w:pPr>
        <w:pStyle w:val="Number"/>
        <w:rPr>
          <w:rFonts w:eastAsia="Calibri"/>
        </w:rPr>
      </w:pPr>
      <w:r w:rsidRPr="00E400CA">
        <w:rPr>
          <w:rFonts w:eastAsia="Calibri"/>
        </w:rPr>
        <w:t>Providers of fertility services in New Zealand must opera</w:t>
      </w:r>
      <w:r>
        <w:rPr>
          <w:rFonts w:eastAsia="Calibri"/>
        </w:rPr>
        <w:t>te in accordance</w:t>
      </w:r>
      <w:r w:rsidRPr="00E400CA">
        <w:rPr>
          <w:rFonts w:eastAsia="Calibri"/>
        </w:rPr>
        <w:t xml:space="preserve"> with the</w:t>
      </w:r>
      <w:r>
        <w:rPr>
          <w:rFonts w:eastAsia="Calibri"/>
        </w:rPr>
        <w:t xml:space="preserve"> Fertility Services</w:t>
      </w:r>
      <w:r w:rsidRPr="00E400CA">
        <w:rPr>
          <w:rFonts w:eastAsia="Calibri"/>
        </w:rPr>
        <w:t xml:space="preserve"> Standard</w:t>
      </w:r>
      <w:r>
        <w:rPr>
          <w:rFonts w:eastAsia="Calibri"/>
        </w:rPr>
        <w:t xml:space="preserve"> 2007 (the Standard)</w:t>
      </w:r>
      <w:r w:rsidRPr="00E400CA">
        <w:rPr>
          <w:rFonts w:eastAsia="Calibri"/>
        </w:rPr>
        <w:t>, which sets out requirements for the safety and quality of fertility services in New Zealand.</w:t>
      </w:r>
      <w:r>
        <w:rPr>
          <w:rFonts w:eastAsia="Calibri"/>
        </w:rPr>
        <w:t xml:space="preserve"> The Standard is a form of regulation issued under the Health and Disability Services (Safety) Act 2001. </w:t>
      </w:r>
      <w:r w:rsidRPr="00E400CA">
        <w:rPr>
          <w:rFonts w:eastAsia="Calibri"/>
        </w:rPr>
        <w:t>Providers are audited and</w:t>
      </w:r>
      <w:r>
        <w:rPr>
          <w:rFonts w:eastAsia="Calibri"/>
        </w:rPr>
        <w:t xml:space="preserve"> certified against the Standard, which the Ministry of Health administers.</w:t>
      </w:r>
    </w:p>
    <w:p w14:paraId="3EC3B4E8" w14:textId="77777777" w:rsidR="00547D02" w:rsidRDefault="00547D02" w:rsidP="00547D02">
      <w:pPr>
        <w:rPr>
          <w:rFonts w:eastAsia="Calibri"/>
        </w:rPr>
      </w:pPr>
    </w:p>
    <w:p w14:paraId="74FFFD66" w14:textId="77777777" w:rsidR="00547D02" w:rsidRPr="00580CF2" w:rsidRDefault="00547D02" w:rsidP="00547D02">
      <w:pPr>
        <w:pStyle w:val="Heading2"/>
      </w:pPr>
      <w:bookmarkStart w:id="40" w:name="_Toc17118568"/>
      <w:bookmarkStart w:id="41" w:name="_Toc73459710"/>
      <w:r w:rsidRPr="00580CF2">
        <w:t>Informed consent</w:t>
      </w:r>
      <w:bookmarkEnd w:id="40"/>
      <w:bookmarkEnd w:id="41"/>
    </w:p>
    <w:p w14:paraId="1BA91915" w14:textId="77777777" w:rsidR="00547D02" w:rsidRPr="0008151F" w:rsidRDefault="00547D02" w:rsidP="006251FF">
      <w:pPr>
        <w:pStyle w:val="Number"/>
        <w:rPr>
          <w:rFonts w:eastAsia="Calibri"/>
        </w:rPr>
      </w:pPr>
      <w:bookmarkStart w:id="42" w:name="_Toc491763888"/>
      <w:r w:rsidRPr="0008151F">
        <w:rPr>
          <w:rFonts w:eastAsia="Calibri"/>
        </w:rPr>
        <w:t>A well-established body of law and practice concerning informed consent</w:t>
      </w:r>
      <w:r>
        <w:rPr>
          <w:rFonts w:eastAsia="Calibri"/>
        </w:rPr>
        <w:t xml:space="preserve"> for</w:t>
      </w:r>
      <w:r w:rsidRPr="0008151F">
        <w:rPr>
          <w:rFonts w:eastAsia="Calibri"/>
        </w:rPr>
        <w:t xml:space="preserve"> medical procedures upholds the principle that autonomous individuals have the right to make decisions about procedures carried out on them.</w:t>
      </w:r>
    </w:p>
    <w:p w14:paraId="41340B2D" w14:textId="77777777" w:rsidR="00547D02" w:rsidRPr="0008151F" w:rsidRDefault="00547D02" w:rsidP="006251FF">
      <w:pPr>
        <w:pStyle w:val="Number"/>
        <w:rPr>
          <w:rFonts w:eastAsia="Calibri"/>
        </w:rPr>
      </w:pPr>
      <w:r>
        <w:rPr>
          <w:rFonts w:eastAsia="Calibri"/>
        </w:rPr>
        <w:t>Section 4</w:t>
      </w:r>
      <w:r w:rsidRPr="0008151F">
        <w:rPr>
          <w:rFonts w:eastAsia="Calibri"/>
        </w:rPr>
        <w:t xml:space="preserve"> of the HART Act (Principles)</w:t>
      </w:r>
      <w:r>
        <w:rPr>
          <w:rFonts w:eastAsia="Calibri"/>
        </w:rPr>
        <w:t xml:space="preserve"> addresses informed consent. It</w:t>
      </w:r>
      <w:r w:rsidRPr="0008151F">
        <w:rPr>
          <w:rFonts w:eastAsia="Calibri"/>
        </w:rPr>
        <w:t xml:space="preserve"> provides:</w:t>
      </w:r>
    </w:p>
    <w:p w14:paraId="049DA14E" w14:textId="77777777" w:rsidR="00547D02" w:rsidRPr="004E3203" w:rsidRDefault="00547D02" w:rsidP="00547D02">
      <w:pPr>
        <w:pStyle w:val="Quote"/>
      </w:pPr>
      <w:r w:rsidRPr="004E3203">
        <w:t xml:space="preserve">(d) </w:t>
      </w:r>
      <w:r>
        <w:t>…</w:t>
      </w:r>
      <w:r w:rsidRPr="004E3203">
        <w:t xml:space="preserve"> no assisted reproductive procedure should be performed on an individual and no human reproductive research should be conducted on an individual unless the individual has made an informed choice and given informed consent.</w:t>
      </w:r>
    </w:p>
    <w:p w14:paraId="2E41ECA7" w14:textId="77777777" w:rsidR="00547D02" w:rsidRDefault="00547D02" w:rsidP="006251FF">
      <w:pPr>
        <w:pStyle w:val="Number"/>
        <w:keepLines/>
        <w:rPr>
          <w:rFonts w:eastAsia="Calibri"/>
        </w:rPr>
      </w:pPr>
      <w:r w:rsidRPr="0008151F">
        <w:rPr>
          <w:rFonts w:eastAsia="Calibri"/>
        </w:rPr>
        <w:lastRenderedPageBreak/>
        <w:t>When carrying out any medical procedure, providers must ensure that consumers</w:t>
      </w:r>
      <w:r w:rsidRPr="006251FF">
        <w:rPr>
          <w:rStyle w:val="FootnoteReference"/>
          <w:rFonts w:eastAsia="Calibri"/>
        </w:rPr>
        <w:footnoteReference w:id="4"/>
      </w:r>
      <w:r w:rsidRPr="0008151F">
        <w:rPr>
          <w:rFonts w:eastAsia="Calibri"/>
        </w:rPr>
        <w:t xml:space="preserve"> receive information about all important aspects of their procedures. Appropriate consent forms for the procedure are required, and providers must have clear policies and procedures to obtain informed consent from consumers.</w:t>
      </w:r>
    </w:p>
    <w:p w14:paraId="322088CD" w14:textId="77777777" w:rsidR="00547D02" w:rsidRDefault="00547D02" w:rsidP="00547D02">
      <w:pPr>
        <w:rPr>
          <w:rFonts w:eastAsia="Calibri"/>
        </w:rPr>
      </w:pPr>
    </w:p>
    <w:p w14:paraId="252CFAEA" w14:textId="77777777" w:rsidR="00547D02" w:rsidRPr="00580CF2" w:rsidRDefault="00547D02" w:rsidP="00547D02">
      <w:pPr>
        <w:pStyle w:val="Heading2"/>
      </w:pPr>
      <w:bookmarkStart w:id="43" w:name="_Toc17118569"/>
      <w:bookmarkStart w:id="44" w:name="_Toc73459711"/>
      <w:r w:rsidRPr="00580CF2">
        <w:t>Other relevant legislation</w:t>
      </w:r>
      <w:bookmarkEnd w:id="42"/>
      <w:r>
        <w:t xml:space="preserve"> relating to adoption of children from surrogacy</w:t>
      </w:r>
      <w:bookmarkEnd w:id="43"/>
      <w:bookmarkEnd w:id="44"/>
    </w:p>
    <w:p w14:paraId="49A29FB3" w14:textId="77777777" w:rsidR="00547D02" w:rsidRDefault="00547D02" w:rsidP="006251FF">
      <w:pPr>
        <w:pStyle w:val="Number"/>
        <w:rPr>
          <w:rFonts w:eastAsia="Calibri"/>
        </w:rPr>
      </w:pPr>
      <w:r w:rsidRPr="00580CF2">
        <w:rPr>
          <w:rFonts w:eastAsia="Calibri"/>
        </w:rPr>
        <w:t>The legal status of children born as a result of assisted reproductive procedures is governed by the Status of Children Act 1969.</w:t>
      </w:r>
      <w:r w:rsidRPr="006251FF">
        <w:rPr>
          <w:rStyle w:val="FootnoteReference"/>
          <w:rFonts w:eastAsia="Calibri"/>
        </w:rPr>
        <w:footnoteReference w:id="5"/>
      </w:r>
      <w:r w:rsidRPr="00580CF2">
        <w:rPr>
          <w:rFonts w:eastAsia="Calibri"/>
        </w:rPr>
        <w:t xml:space="preserve"> Under this Act, the woman who gives birth to a child is regarded in law as the child</w:t>
      </w:r>
      <w:r w:rsidR="000A0B49">
        <w:rPr>
          <w:rFonts w:eastAsia="Calibri"/>
        </w:rPr>
        <w:t>’</w:t>
      </w:r>
      <w:r w:rsidRPr="00580CF2">
        <w:rPr>
          <w:rFonts w:eastAsia="Calibri"/>
        </w:rPr>
        <w:t>s mother. If that woman has a partner, the partner is regarded as a parent to the child. This means gamete and embryo donors do not have parental rights and obligations.</w:t>
      </w:r>
    </w:p>
    <w:p w14:paraId="7ED574CF" w14:textId="77777777" w:rsidR="00547D02" w:rsidRDefault="00547D02" w:rsidP="006251FF">
      <w:pPr>
        <w:pStyle w:val="Number"/>
        <w:rPr>
          <w:rFonts w:eastAsia="Calibri"/>
        </w:rPr>
      </w:pPr>
      <w:r w:rsidRPr="008674F3">
        <w:rPr>
          <w:rFonts w:eastAsia="Calibri"/>
        </w:rPr>
        <w:t>The law also means that a child born from surrogacy is, in law, the child of the surrogate, regardless of whose gametes were used to create the embryo that the surrogate gestated.</w:t>
      </w:r>
      <w:r w:rsidRPr="006251FF">
        <w:rPr>
          <w:rStyle w:val="FootnoteReference"/>
          <w:rFonts w:eastAsia="Calibri"/>
        </w:rPr>
        <w:footnoteReference w:id="6"/>
      </w:r>
      <w:r w:rsidR="006251FF">
        <w:rPr>
          <w:rFonts w:eastAsia="Calibri"/>
        </w:rPr>
        <w:t xml:space="preserve"> </w:t>
      </w:r>
      <w:r w:rsidRPr="008674F3">
        <w:rPr>
          <w:rFonts w:eastAsia="Calibri"/>
        </w:rPr>
        <w:t>For the intending parents to assume legal parenthood of a child born from surrogacy, the Family Court must first issue an adoption order under the Adoption Act 1955</w:t>
      </w:r>
      <w:r>
        <w:rPr>
          <w:rFonts w:eastAsia="Calibri"/>
        </w:rPr>
        <w:t>.</w:t>
      </w:r>
      <w:r w:rsidRPr="006251FF">
        <w:rPr>
          <w:rStyle w:val="FootnoteReference"/>
          <w:rFonts w:eastAsia="Calibri"/>
        </w:rPr>
        <w:footnoteReference w:id="7"/>
      </w:r>
    </w:p>
    <w:p w14:paraId="5DEF20C9" w14:textId="77777777" w:rsidR="009C039F" w:rsidRDefault="009C039F" w:rsidP="00D001FB"/>
    <w:p w14:paraId="39C994F7" w14:textId="77777777" w:rsidR="00547D02" w:rsidRDefault="00547D02" w:rsidP="00D001FB"/>
    <w:p w14:paraId="05648853" w14:textId="77777777" w:rsidR="00D001FB" w:rsidRDefault="00D001FB" w:rsidP="009C039F">
      <w:pPr>
        <w:sectPr w:rsidR="00D001FB" w:rsidSect="00201AC4">
          <w:footerReference w:type="first" r:id="rId45"/>
          <w:pgSz w:w="11907" w:h="16834" w:code="9"/>
          <w:pgMar w:top="1701" w:right="1418" w:bottom="1701" w:left="1701" w:header="0" w:footer="425" w:gutter="0"/>
          <w:cols w:space="720"/>
          <w:titlePg/>
        </w:sectPr>
      </w:pPr>
    </w:p>
    <w:p w14:paraId="7CCE7B4A" w14:textId="77777777" w:rsidR="009C039F" w:rsidRDefault="00547D02" w:rsidP="00547D02">
      <w:pPr>
        <w:pStyle w:val="Heading1"/>
      </w:pPr>
      <w:bookmarkStart w:id="45" w:name="_Toc73459712"/>
      <w:r>
        <w:lastRenderedPageBreak/>
        <w:t>Why ACART has amended the guidelines</w:t>
      </w:r>
      <w:bookmarkEnd w:id="45"/>
    </w:p>
    <w:p w14:paraId="185CCD5B" w14:textId="77777777" w:rsidR="00547D02" w:rsidRPr="00960E86" w:rsidRDefault="00547D02" w:rsidP="00547D02">
      <w:pPr>
        <w:pStyle w:val="Heading2"/>
        <w:numPr>
          <w:ilvl w:val="1"/>
          <w:numId w:val="43"/>
        </w:numPr>
      </w:pPr>
      <w:bookmarkStart w:id="46" w:name="_Toc17118571"/>
      <w:bookmarkStart w:id="47" w:name="_Toc73459713"/>
      <w:r w:rsidRPr="00960E86">
        <w:t>Guidelines should not discriminate and should be consistent</w:t>
      </w:r>
      <w:bookmarkEnd w:id="46"/>
      <w:bookmarkEnd w:id="47"/>
    </w:p>
    <w:p w14:paraId="3B3EDF1F" w14:textId="77777777" w:rsidR="00547D02" w:rsidRDefault="00547D02" w:rsidP="009002B9">
      <w:pPr>
        <w:pStyle w:val="Number"/>
      </w:pPr>
      <w:r w:rsidRPr="00AA4812">
        <w:rPr>
          <w:rFonts w:eastAsia="Calibri"/>
        </w:rPr>
        <w:t>ACART</w:t>
      </w:r>
      <w:r w:rsidRPr="00386E8E">
        <w:t xml:space="preserve"> </w:t>
      </w:r>
      <w:r w:rsidRPr="00AA4812">
        <w:rPr>
          <w:rFonts w:eastAsia="Calibri"/>
        </w:rPr>
        <w:t xml:space="preserve">issued </w:t>
      </w:r>
      <w:r>
        <w:rPr>
          <w:rFonts w:eastAsia="Calibri"/>
        </w:rPr>
        <w:t xml:space="preserve">four </w:t>
      </w:r>
      <w:r w:rsidRPr="00AA4812">
        <w:rPr>
          <w:rFonts w:eastAsia="Calibri"/>
        </w:rPr>
        <w:t>separate</w:t>
      </w:r>
      <w:r>
        <w:rPr>
          <w:rFonts w:eastAsia="Calibri"/>
        </w:rPr>
        <w:t xml:space="preserve"> sets of</w:t>
      </w:r>
      <w:r w:rsidRPr="00AA4812">
        <w:rPr>
          <w:rFonts w:eastAsia="Calibri"/>
        </w:rPr>
        <w:t xml:space="preserve"> guidelines from 2008 to 2010 to cover family gamete donation, embryo donation, the use of donated eggs with donated sperm and surrogacy. </w:t>
      </w:r>
      <w:r>
        <w:rPr>
          <w:rFonts w:eastAsia="Calibri"/>
        </w:rPr>
        <w:t>In</w:t>
      </w:r>
      <w:r w:rsidRPr="00386E8E">
        <w:t xml:space="preserve"> </w:t>
      </w:r>
      <w:r w:rsidRPr="00AA4812">
        <w:t xml:space="preserve">2011, </w:t>
      </w:r>
      <w:r>
        <w:t>it</w:t>
      </w:r>
      <w:r w:rsidRPr="00AA4812">
        <w:t xml:space="preserve"> received a complaint through the Human Rights</w:t>
      </w:r>
      <w:r w:rsidRPr="00386E8E">
        <w:t xml:space="preserve"> </w:t>
      </w:r>
      <w:r w:rsidRPr="00AA4812">
        <w:t xml:space="preserve">Commission that the surrogacy guidelines discriminated </w:t>
      </w:r>
      <w:proofErr w:type="gramStart"/>
      <w:r w:rsidRPr="00AA4812">
        <w:t>on the basis of</w:t>
      </w:r>
      <w:proofErr w:type="gramEnd"/>
      <w:r w:rsidRPr="00AA4812">
        <w:t xml:space="preserve"> sex and sexual orientation. </w:t>
      </w:r>
      <w:r>
        <w:t xml:space="preserve">In response, </w:t>
      </w:r>
      <w:r w:rsidRPr="00AA4812">
        <w:t xml:space="preserve">ACART issued new surrogacy guidelines to ECART in 2013, </w:t>
      </w:r>
      <w:r>
        <w:t>which allowed</w:t>
      </w:r>
      <w:r w:rsidRPr="00AA4812">
        <w:t xml:space="preserve"> ECART to approve applications by single men and male couples to use surrogacy to become parents.</w:t>
      </w:r>
    </w:p>
    <w:p w14:paraId="7602718A" w14:textId="77777777" w:rsidR="00547D02" w:rsidRPr="00960E86" w:rsidRDefault="00547D02" w:rsidP="009002B9">
      <w:pPr>
        <w:pStyle w:val="Number"/>
      </w:pPr>
      <w:r w:rsidRPr="00AA4812">
        <w:t>At the same time, ACART</w:t>
      </w:r>
      <w:r>
        <w:t xml:space="preserve"> also</w:t>
      </w:r>
      <w:r w:rsidRPr="00AA4812">
        <w:t xml:space="preserve"> issued new family gamete donation guidelines to provide for cases where a family member was the source of the necessary donated eggs for a single man or male couple. </w:t>
      </w:r>
      <w:r>
        <w:t>In doing so, it</w:t>
      </w:r>
      <w:r w:rsidRPr="00AA4812">
        <w:t xml:space="preserve"> wanted to ensure that provisions in</w:t>
      </w:r>
      <w:r w:rsidRPr="00960E86">
        <w:t xml:space="preserve"> the family gamete donation guidelines were</w:t>
      </w:r>
      <w:r w:rsidRPr="00386E8E">
        <w:t xml:space="preserve"> </w:t>
      </w:r>
      <w:r w:rsidRPr="00AA4812">
        <w:t>consistent with the new surrogacy guidelines, which no longer required a medical reason to justify a surrogacy.</w:t>
      </w:r>
    </w:p>
    <w:p w14:paraId="56CAADB2" w14:textId="77777777" w:rsidR="00547D02" w:rsidRDefault="00547D02" w:rsidP="009002B9">
      <w:pPr>
        <w:pStyle w:val="Number"/>
      </w:pPr>
      <w:r w:rsidRPr="00960E86">
        <w:t>Under section 35(1)(a) of the HART Act, ACART is required to review its guidelines regularly. Thus</w:t>
      </w:r>
      <w:r>
        <w:t>,</w:t>
      </w:r>
      <w:r w:rsidRPr="00960E86">
        <w:t xml:space="preserve"> </w:t>
      </w:r>
      <w:r>
        <w:t xml:space="preserve">in </w:t>
      </w:r>
      <w:r w:rsidRPr="001A44FC">
        <w:t xml:space="preserve">2015 </w:t>
      </w:r>
      <w:r w:rsidRPr="00960E86">
        <w:t xml:space="preserve">ACART decided to review the other two </w:t>
      </w:r>
      <w:r>
        <w:t xml:space="preserve">sets of </w:t>
      </w:r>
      <w:r w:rsidRPr="00960E86">
        <w:t>donation guidelines to ensure that they were</w:t>
      </w:r>
      <w:r>
        <w:t xml:space="preserve"> consistent </w:t>
      </w:r>
      <w:r w:rsidRPr="00960E86">
        <w:t>with the guidelines issued in 2013. ACART also decided to consider the feasibility of having one set of guidelines to cover all four procedures.</w:t>
      </w:r>
    </w:p>
    <w:p w14:paraId="38767B87" w14:textId="77777777" w:rsidR="00547D02" w:rsidRDefault="00547D02" w:rsidP="009002B9">
      <w:pPr>
        <w:pStyle w:val="Number"/>
      </w:pPr>
      <w:r>
        <w:t>More specifically, ACART concluded that the mandatory biological link, between at least one intending parent and any offspring, was likely to be an unjustified discrimination against some parties who wished to have a child. Consequently, that requirement needed to be changed. Several other necessary changes were also identified including that</w:t>
      </w:r>
      <w:r w:rsidRPr="0072432E">
        <w:t xml:space="preserve"> </w:t>
      </w:r>
      <w:r>
        <w:t>ECART should consider all embryo donations and all clinic assisted surrogacies.</w:t>
      </w:r>
    </w:p>
    <w:p w14:paraId="346DB92B" w14:textId="77777777" w:rsidR="00547D02" w:rsidRDefault="00547D02" w:rsidP="009002B9">
      <w:pPr>
        <w:pStyle w:val="Number"/>
      </w:pPr>
      <w:r>
        <w:t>Other necessary changes identified were to standardise terminology and replace ineffective provisions with more practical provisions.</w:t>
      </w:r>
    </w:p>
    <w:p w14:paraId="70657944" w14:textId="77777777" w:rsidR="00547D02" w:rsidRPr="00960E86" w:rsidRDefault="00547D02" w:rsidP="00547D02"/>
    <w:p w14:paraId="7FEA0CF3" w14:textId="77777777" w:rsidR="00547D02" w:rsidRPr="008432CF" w:rsidRDefault="00547D02" w:rsidP="00547D02">
      <w:pPr>
        <w:pStyle w:val="Heading2"/>
        <w:numPr>
          <w:ilvl w:val="1"/>
          <w:numId w:val="43"/>
        </w:numPr>
      </w:pPr>
      <w:bookmarkStart w:id="48" w:name="_Toc17118572"/>
      <w:bookmarkStart w:id="49" w:name="_Toc73459714"/>
      <w:r w:rsidRPr="008432CF">
        <w:t>ACART keeps guidelines current and provides you advice</w:t>
      </w:r>
      <w:bookmarkEnd w:id="48"/>
      <w:bookmarkEnd w:id="49"/>
    </w:p>
    <w:p w14:paraId="50FFD22B" w14:textId="77777777" w:rsidR="00547D02" w:rsidRPr="00240195" w:rsidRDefault="00547D02" w:rsidP="009002B9">
      <w:pPr>
        <w:pStyle w:val="Number"/>
        <w:rPr>
          <w:rFonts w:eastAsia="Calibri"/>
        </w:rPr>
      </w:pPr>
      <w:r w:rsidRPr="00240195">
        <w:rPr>
          <w:rFonts w:eastAsia="Calibri"/>
        </w:rPr>
        <w:t>Section 35(1)(b)(ii) of the HART Act requires ACART to advise you following public consultation on proposed advice (s</w:t>
      </w:r>
      <w:r>
        <w:rPr>
          <w:rFonts w:eastAsia="Calibri"/>
        </w:rPr>
        <w:t xml:space="preserve"> </w:t>
      </w:r>
      <w:r w:rsidRPr="00240195">
        <w:rPr>
          <w:rFonts w:eastAsia="Calibri"/>
        </w:rPr>
        <w:t>39). ACART has analysed the guidelines in question and submitters</w:t>
      </w:r>
      <w:r w:rsidR="000A0B49">
        <w:rPr>
          <w:rFonts w:eastAsia="Calibri"/>
        </w:rPr>
        <w:t>’</w:t>
      </w:r>
      <w:r w:rsidRPr="00240195">
        <w:rPr>
          <w:rFonts w:eastAsia="Calibri"/>
        </w:rPr>
        <w:t xml:space="preserve"> responses to the consultations as required under </w:t>
      </w:r>
      <w:r>
        <w:rPr>
          <w:rFonts w:eastAsia="Calibri"/>
        </w:rPr>
        <w:t>s</w:t>
      </w:r>
      <w:r w:rsidRPr="00240195">
        <w:rPr>
          <w:rFonts w:eastAsia="Calibri"/>
        </w:rPr>
        <w:t>ection 6 of the HART Act.</w:t>
      </w:r>
    </w:p>
    <w:p w14:paraId="012E9A42" w14:textId="77777777" w:rsidR="00547D02" w:rsidRPr="00E15B47" w:rsidRDefault="00547D02" w:rsidP="009002B9">
      <w:pPr>
        <w:pStyle w:val="Number"/>
        <w:rPr>
          <w:rFonts w:eastAsia="Calibri"/>
        </w:rPr>
      </w:pPr>
      <w:r>
        <w:rPr>
          <w:rFonts w:eastAsia="Calibri"/>
        </w:rPr>
        <w:lastRenderedPageBreak/>
        <w:t>One of ACART</w:t>
      </w:r>
      <w:r w:rsidR="000A0B49">
        <w:rPr>
          <w:rFonts w:eastAsia="Calibri"/>
        </w:rPr>
        <w:t>’</w:t>
      </w:r>
      <w:r>
        <w:rPr>
          <w:rFonts w:eastAsia="Calibri"/>
        </w:rPr>
        <w:t xml:space="preserve">s functions is </w:t>
      </w:r>
      <w:r w:rsidRPr="00E15B47">
        <w:rPr>
          <w:rFonts w:eastAsia="Calibri"/>
        </w:rPr>
        <w:t>to issue guidelines and give advice to ECART on any matter relating to any kind of assisted reproductive procedure or human reproductive research and to keep such guidelines and advice under review</w:t>
      </w:r>
      <w:r>
        <w:rPr>
          <w:rFonts w:eastAsia="Calibri"/>
        </w:rPr>
        <w:t>.</w:t>
      </w:r>
    </w:p>
    <w:p w14:paraId="73E09942" w14:textId="77777777" w:rsidR="00547D02" w:rsidRPr="002E07F9" w:rsidRDefault="00547D02" w:rsidP="009002B9">
      <w:pPr>
        <w:pStyle w:val="Number"/>
        <w:rPr>
          <w:rFonts w:eastAsia="Calibri"/>
        </w:rPr>
      </w:pPr>
      <w:r w:rsidRPr="002E07F9">
        <w:rPr>
          <w:rFonts w:eastAsia="Calibri"/>
        </w:rPr>
        <w:t>ACART may issue guidelines to ECART only after it has:</w:t>
      </w:r>
    </w:p>
    <w:p w14:paraId="0A647D88" w14:textId="77777777" w:rsidR="00547D02" w:rsidRPr="00FA4A59" w:rsidRDefault="00547D02" w:rsidP="00547D02">
      <w:pPr>
        <w:pStyle w:val="Bullet"/>
      </w:pPr>
      <w:proofErr w:type="gramStart"/>
      <w:r w:rsidRPr="00FA4A59">
        <w:t>on the basis of</w:t>
      </w:r>
      <w:proofErr w:type="gramEnd"/>
      <w:r w:rsidRPr="00FA4A59">
        <w:t xml:space="preserve"> a discussion paper or an outline of the proposed guidelines, given interested parties and members of the public a reasonable opportunity to make submissions</w:t>
      </w:r>
    </w:p>
    <w:p w14:paraId="4C306F7F" w14:textId="77777777" w:rsidR="00547D02" w:rsidRPr="00FA4A59" w:rsidRDefault="00547D02" w:rsidP="00547D02">
      <w:pPr>
        <w:pStyle w:val="Bullet"/>
      </w:pPr>
      <w:r w:rsidRPr="00FA4A59">
        <w:t>taken any such submissions into account</w:t>
      </w:r>
    </w:p>
    <w:p w14:paraId="7932319A" w14:textId="77777777" w:rsidR="00547D02" w:rsidRDefault="00547D02" w:rsidP="00547D02">
      <w:pPr>
        <w:pStyle w:val="Bullet"/>
      </w:pPr>
      <w:r w:rsidRPr="00FA4A59">
        <w:t>consulted on the proposed guidelines with the Minister of Health.</w:t>
      </w:r>
    </w:p>
    <w:p w14:paraId="15A5D251" w14:textId="77777777" w:rsidR="00547D02" w:rsidRPr="00FA4A59" w:rsidRDefault="00547D02" w:rsidP="00547D02"/>
    <w:p w14:paraId="15821A29" w14:textId="77777777" w:rsidR="00547D02" w:rsidRDefault="00547D02" w:rsidP="00547D02">
      <w:pPr>
        <w:pStyle w:val="Heading2"/>
        <w:numPr>
          <w:ilvl w:val="1"/>
          <w:numId w:val="43"/>
        </w:numPr>
      </w:pPr>
      <w:bookmarkStart w:id="50" w:name="_Toc17118573"/>
      <w:bookmarkStart w:id="51" w:name="_Toc73459715"/>
      <w:r>
        <w:t>ACART</w:t>
      </w:r>
      <w:r w:rsidR="000A0B49">
        <w:t>’</w:t>
      </w:r>
      <w:r>
        <w:t xml:space="preserve">s </w:t>
      </w:r>
      <w:r w:rsidRPr="008432CF">
        <w:t xml:space="preserve">monitoring </w:t>
      </w:r>
      <w:r>
        <w:t>identified necessary changes</w:t>
      </w:r>
      <w:bookmarkEnd w:id="50"/>
      <w:bookmarkEnd w:id="51"/>
    </w:p>
    <w:p w14:paraId="3B325B3B" w14:textId="77777777" w:rsidR="00547D02" w:rsidRPr="009F6DC6" w:rsidRDefault="00547D02" w:rsidP="009002B9">
      <w:pPr>
        <w:pStyle w:val="Number"/>
        <w:rPr>
          <w:rFonts w:eastAsia="Calibri"/>
        </w:rPr>
      </w:pPr>
      <w:r w:rsidRPr="009530D3">
        <w:rPr>
          <w:rFonts w:eastAsia="Calibri"/>
        </w:rPr>
        <w:t>ACAR</w:t>
      </w:r>
      <w:r>
        <w:rPr>
          <w:rFonts w:eastAsia="Calibri"/>
        </w:rPr>
        <w:t>T</w:t>
      </w:r>
      <w:r w:rsidR="000A0B49">
        <w:rPr>
          <w:rFonts w:eastAsia="Calibri"/>
        </w:rPr>
        <w:t>’</w:t>
      </w:r>
      <w:r w:rsidRPr="009530D3">
        <w:rPr>
          <w:rFonts w:eastAsia="Calibri"/>
        </w:rPr>
        <w:t>s functions in</w:t>
      </w:r>
      <w:r>
        <w:rPr>
          <w:rFonts w:eastAsia="Calibri"/>
        </w:rPr>
        <w:t>c</w:t>
      </w:r>
      <w:r w:rsidRPr="009530D3">
        <w:rPr>
          <w:rFonts w:eastAsia="Calibri"/>
        </w:rPr>
        <w:t>lude monitor</w:t>
      </w:r>
      <w:r>
        <w:rPr>
          <w:rFonts w:eastAsia="Calibri"/>
        </w:rPr>
        <w:t>ing</w:t>
      </w:r>
      <w:r w:rsidRPr="009530D3">
        <w:rPr>
          <w:rFonts w:eastAsia="Calibri"/>
        </w:rPr>
        <w:t xml:space="preserve"> the application of assisted reproductive procedures and liaising with ECART on general and specific matters relating to </w:t>
      </w:r>
      <w:r>
        <w:rPr>
          <w:rFonts w:eastAsia="Calibri"/>
        </w:rPr>
        <w:t>assisted reproductive procedure</w:t>
      </w:r>
      <w:r w:rsidRPr="009530D3">
        <w:rPr>
          <w:rFonts w:eastAsia="Calibri"/>
        </w:rPr>
        <w:t>s</w:t>
      </w:r>
      <w:r>
        <w:rPr>
          <w:rFonts w:eastAsia="Calibri"/>
        </w:rPr>
        <w:t xml:space="preserve"> (section 35 of the HART Act)</w:t>
      </w:r>
      <w:r w:rsidRPr="009530D3">
        <w:rPr>
          <w:rFonts w:eastAsia="Calibri"/>
        </w:rPr>
        <w:t>.</w:t>
      </w:r>
      <w:r>
        <w:rPr>
          <w:rFonts w:eastAsia="Calibri"/>
        </w:rPr>
        <w:t xml:space="preserve"> Section </w:t>
      </w:r>
      <w:r w:rsidRPr="009F6DC6">
        <w:rPr>
          <w:rFonts w:eastAsia="Calibri"/>
        </w:rPr>
        <w:t xml:space="preserve">35(1)(b)(ii) </w:t>
      </w:r>
      <w:r>
        <w:rPr>
          <w:rFonts w:eastAsia="Calibri"/>
        </w:rPr>
        <w:t xml:space="preserve">directs ACART to assess </w:t>
      </w:r>
      <w:r w:rsidRPr="009F6DC6">
        <w:rPr>
          <w:rFonts w:eastAsia="Calibri"/>
        </w:rPr>
        <w:t>whether any established procedure should be modified or should cease to be an established procedure</w:t>
      </w:r>
      <w:r>
        <w:rPr>
          <w:rFonts w:eastAsia="Calibri"/>
        </w:rPr>
        <w:t>.</w:t>
      </w:r>
    </w:p>
    <w:p w14:paraId="15E2B317" w14:textId="77777777" w:rsidR="00547D02" w:rsidRDefault="00547D02" w:rsidP="009002B9">
      <w:pPr>
        <w:pStyle w:val="Number"/>
        <w:rPr>
          <w:rFonts w:eastAsia="Calibri"/>
        </w:rPr>
      </w:pPr>
      <w:r>
        <w:rPr>
          <w:rFonts w:eastAsia="Calibri"/>
        </w:rPr>
        <w:t xml:space="preserve">ACART has carried out these functions and observed several matters that need attention. Specifically, the 10 </w:t>
      </w:r>
      <w:r w:rsidR="000A0B49">
        <w:rPr>
          <w:rFonts w:eastAsia="Calibri"/>
        </w:rPr>
        <w:t>‘</w:t>
      </w:r>
      <w:r>
        <w:rPr>
          <w:rFonts w:eastAsia="Calibri"/>
        </w:rPr>
        <w:t>change</w:t>
      </w:r>
      <w:r w:rsidR="000A0B49">
        <w:rPr>
          <w:rFonts w:eastAsia="Calibri"/>
        </w:rPr>
        <w:t>’</w:t>
      </w:r>
      <w:r>
        <w:rPr>
          <w:rFonts w:eastAsia="Calibri"/>
        </w:rPr>
        <w:t xml:space="preserve"> matters discussed in Section K became apparent as ECART has considered cases.</w:t>
      </w:r>
    </w:p>
    <w:p w14:paraId="34FD25DD" w14:textId="77777777" w:rsidR="00547D02" w:rsidRDefault="00547D02" w:rsidP="00547D02">
      <w:pPr>
        <w:rPr>
          <w:rFonts w:eastAsia="Calibri"/>
        </w:rPr>
      </w:pPr>
    </w:p>
    <w:p w14:paraId="6EA26513" w14:textId="77777777" w:rsidR="00547D02" w:rsidRPr="008432CF" w:rsidRDefault="00547D02" w:rsidP="00547D02">
      <w:pPr>
        <w:pStyle w:val="Heading2"/>
        <w:numPr>
          <w:ilvl w:val="1"/>
          <w:numId w:val="43"/>
        </w:numPr>
      </w:pPr>
      <w:bookmarkStart w:id="52" w:name="_Toc17118574"/>
      <w:bookmarkStart w:id="53" w:name="_Toc73459716"/>
      <w:r w:rsidRPr="008432CF">
        <w:t>Literature review</w:t>
      </w:r>
      <w:bookmarkEnd w:id="52"/>
      <w:bookmarkEnd w:id="53"/>
    </w:p>
    <w:p w14:paraId="670C8947" w14:textId="77777777" w:rsidR="00547D02" w:rsidRPr="00F22974" w:rsidRDefault="00547D02" w:rsidP="009002B9">
      <w:pPr>
        <w:pStyle w:val="Number"/>
        <w:rPr>
          <w:rFonts w:eastAsia="Calibri"/>
        </w:rPr>
      </w:pPr>
      <w:r w:rsidRPr="007D1D74">
        <w:rPr>
          <w:rFonts w:eastAsia="Calibri"/>
        </w:rPr>
        <w:t xml:space="preserve">ACART also monitors the literature on assisted reproduction, as required in </w:t>
      </w:r>
      <w:r>
        <w:rPr>
          <w:rFonts w:eastAsia="Calibri"/>
        </w:rPr>
        <w:t>section 35 of the HART Act. This review of the literature informed ACART</w:t>
      </w:r>
      <w:r w:rsidR="000A0B49">
        <w:rPr>
          <w:rFonts w:eastAsia="Calibri"/>
        </w:rPr>
        <w:t>’</w:t>
      </w:r>
      <w:r>
        <w:rPr>
          <w:rFonts w:eastAsia="Calibri"/>
        </w:rPr>
        <w:t xml:space="preserve">s thinking on each of the changes discussed in </w:t>
      </w:r>
      <w:r w:rsidRPr="00F22974">
        <w:rPr>
          <w:rFonts w:eastAsia="Calibri"/>
        </w:rPr>
        <w:t>Section K.</w:t>
      </w:r>
    </w:p>
    <w:p w14:paraId="66FB60E7" w14:textId="77777777" w:rsidR="00547D02" w:rsidRPr="00882300" w:rsidRDefault="00547D02" w:rsidP="00547D02">
      <w:pPr>
        <w:rPr>
          <w:rFonts w:eastAsia="Calibri"/>
        </w:rPr>
      </w:pPr>
    </w:p>
    <w:p w14:paraId="54C15E46" w14:textId="77777777" w:rsidR="00547D02" w:rsidRDefault="00547D02" w:rsidP="00547D02">
      <w:pPr>
        <w:pStyle w:val="Heading2"/>
        <w:numPr>
          <w:ilvl w:val="1"/>
          <w:numId w:val="43"/>
        </w:numPr>
      </w:pPr>
      <w:bookmarkStart w:id="54" w:name="_Toc17118575"/>
      <w:bookmarkStart w:id="55" w:name="_Toc73459717"/>
      <w:r w:rsidRPr="008432CF">
        <w:t>Comments from the sector and interested parties</w:t>
      </w:r>
      <w:bookmarkEnd w:id="54"/>
      <w:bookmarkEnd w:id="55"/>
    </w:p>
    <w:p w14:paraId="194A93E6" w14:textId="77777777" w:rsidR="00547D02" w:rsidRDefault="00547D02" w:rsidP="009002B9">
      <w:pPr>
        <w:pStyle w:val="Number"/>
        <w:rPr>
          <w:rFonts w:eastAsia="Calibri"/>
        </w:rPr>
      </w:pPr>
      <w:r w:rsidRPr="007678B0">
        <w:rPr>
          <w:rFonts w:eastAsia="Calibri"/>
        </w:rPr>
        <w:t xml:space="preserve">The sector and stakeholders had commented on some practices that were not allowed, under the </w:t>
      </w:r>
      <w:r>
        <w:rPr>
          <w:rFonts w:eastAsia="Calibri"/>
        </w:rPr>
        <w:t xml:space="preserve">HART </w:t>
      </w:r>
      <w:r w:rsidRPr="007678B0">
        <w:rPr>
          <w:rFonts w:eastAsia="Calibri"/>
        </w:rPr>
        <w:t xml:space="preserve">Act, </w:t>
      </w:r>
      <w:r>
        <w:rPr>
          <w:rFonts w:eastAsia="Calibri"/>
        </w:rPr>
        <w:t xml:space="preserve">HART </w:t>
      </w:r>
      <w:r w:rsidRPr="007678B0">
        <w:rPr>
          <w:rFonts w:eastAsia="Calibri"/>
        </w:rPr>
        <w:t>O</w:t>
      </w:r>
      <w:r>
        <w:rPr>
          <w:rFonts w:eastAsia="Calibri"/>
        </w:rPr>
        <w:t>r</w:t>
      </w:r>
      <w:r w:rsidRPr="007678B0">
        <w:rPr>
          <w:rFonts w:eastAsia="Calibri"/>
        </w:rPr>
        <w:t>der and guidelines</w:t>
      </w:r>
      <w:r>
        <w:rPr>
          <w:rFonts w:eastAsia="Calibri"/>
        </w:rPr>
        <w:t>. For example,</w:t>
      </w:r>
      <w:r w:rsidRPr="007678B0">
        <w:rPr>
          <w:rFonts w:eastAsia="Calibri"/>
        </w:rPr>
        <w:t xml:space="preserve"> </w:t>
      </w:r>
      <w:r>
        <w:rPr>
          <w:rFonts w:eastAsia="Calibri"/>
        </w:rPr>
        <w:t xml:space="preserve">the effect of </w:t>
      </w:r>
      <w:r w:rsidRPr="007678B0">
        <w:rPr>
          <w:rFonts w:eastAsia="Calibri"/>
        </w:rPr>
        <w:t xml:space="preserve">the mandatory biological link </w:t>
      </w:r>
      <w:r>
        <w:rPr>
          <w:rFonts w:eastAsia="Calibri"/>
        </w:rPr>
        <w:t xml:space="preserve">in the guidelines </w:t>
      </w:r>
      <w:r w:rsidRPr="007678B0">
        <w:rPr>
          <w:rFonts w:eastAsia="Calibri"/>
        </w:rPr>
        <w:t>was that any people or couples who could not provide their own eggs or sperm were not allowed to have a surrogate gestate a child for them. Also, some people could never donate their embryos because they had been made with donated gametes.</w:t>
      </w:r>
    </w:p>
    <w:p w14:paraId="5D18AAAE" w14:textId="77777777" w:rsidR="00547D02" w:rsidRPr="007678B0" w:rsidRDefault="00547D02" w:rsidP="00547D02">
      <w:pPr>
        <w:rPr>
          <w:rFonts w:eastAsia="Calibri"/>
        </w:rPr>
      </w:pPr>
    </w:p>
    <w:p w14:paraId="1658C408" w14:textId="77777777" w:rsidR="009002B9" w:rsidRDefault="009002B9" w:rsidP="009002B9">
      <w:pPr>
        <w:pStyle w:val="Heading1"/>
        <w:sectPr w:rsidR="009002B9" w:rsidSect="00201AC4">
          <w:footerReference w:type="first" r:id="rId46"/>
          <w:pgSz w:w="11907" w:h="16834" w:code="9"/>
          <w:pgMar w:top="1701" w:right="1418" w:bottom="1701" w:left="1701" w:header="0" w:footer="425" w:gutter="0"/>
          <w:cols w:space="720"/>
          <w:titlePg/>
        </w:sectPr>
      </w:pPr>
      <w:bookmarkStart w:id="56" w:name="_Toc17118576"/>
    </w:p>
    <w:p w14:paraId="6665332E" w14:textId="77777777" w:rsidR="00547D02" w:rsidRDefault="00547D02" w:rsidP="009002B9">
      <w:pPr>
        <w:pStyle w:val="Heading1"/>
      </w:pPr>
      <w:bookmarkStart w:id="57" w:name="_Toc73459718"/>
      <w:r w:rsidRPr="00892E25">
        <w:lastRenderedPageBreak/>
        <w:t xml:space="preserve">Matters </w:t>
      </w:r>
      <w:r>
        <w:t>ACART</w:t>
      </w:r>
      <w:r w:rsidRPr="00892E25">
        <w:t xml:space="preserve"> has </w:t>
      </w:r>
      <w:proofErr w:type="gramStart"/>
      <w:r w:rsidRPr="00892E25">
        <w:t>taken into account</w:t>
      </w:r>
      <w:bookmarkEnd w:id="56"/>
      <w:bookmarkEnd w:id="57"/>
      <w:proofErr w:type="gramEnd"/>
    </w:p>
    <w:p w14:paraId="53696877" w14:textId="77777777" w:rsidR="00547D02" w:rsidRPr="00EA41F2" w:rsidRDefault="00547D02" w:rsidP="00C535CC">
      <w:pPr>
        <w:pStyle w:val="Number"/>
        <w:rPr>
          <w:rFonts w:eastAsia="Calibri"/>
        </w:rPr>
      </w:pPr>
      <w:r w:rsidRPr="00EA41F2">
        <w:rPr>
          <w:rFonts w:eastAsia="Calibri"/>
        </w:rPr>
        <w:t xml:space="preserve">In developing the proposed guidelines and advice, ACART has </w:t>
      </w:r>
      <w:proofErr w:type="gramStart"/>
      <w:r w:rsidRPr="00EA41F2">
        <w:rPr>
          <w:rFonts w:eastAsia="Calibri"/>
        </w:rPr>
        <w:t>taken into account</w:t>
      </w:r>
      <w:proofErr w:type="gramEnd"/>
      <w:r w:rsidRPr="00EA41F2">
        <w:rPr>
          <w:rFonts w:eastAsia="Calibri"/>
        </w:rPr>
        <w:t>:</w:t>
      </w:r>
    </w:p>
    <w:p w14:paraId="0DD987A2" w14:textId="77777777" w:rsidR="00547D02" w:rsidRPr="00155578" w:rsidRDefault="00547D02" w:rsidP="00C535CC">
      <w:pPr>
        <w:pStyle w:val="Bullet"/>
      </w:pPr>
      <w:r w:rsidRPr="00155578">
        <w:t>the principles of the HART Act</w:t>
      </w:r>
    </w:p>
    <w:p w14:paraId="6D3502A1" w14:textId="77777777" w:rsidR="00547D02" w:rsidRPr="00155578" w:rsidRDefault="00547D02" w:rsidP="00C535CC">
      <w:pPr>
        <w:pStyle w:val="Bullet"/>
      </w:pPr>
      <w:r w:rsidRPr="00155578">
        <w:t>other common ethical principles, including autonomy, families</w:t>
      </w:r>
      <w:r>
        <w:t xml:space="preserve"> and </w:t>
      </w:r>
      <w:proofErr w:type="spellStart"/>
      <w:r w:rsidRPr="00155578">
        <w:t>whānau</w:t>
      </w:r>
      <w:proofErr w:type="spellEnd"/>
      <w:r>
        <w:t>,</w:t>
      </w:r>
      <w:r w:rsidRPr="00155578">
        <w:t xml:space="preserve"> and transparency</w:t>
      </w:r>
    </w:p>
    <w:p w14:paraId="25B2BDD8" w14:textId="77777777" w:rsidR="00547D02" w:rsidRPr="00155578" w:rsidRDefault="00547D02" w:rsidP="00C535CC">
      <w:pPr>
        <w:pStyle w:val="Bullet"/>
      </w:pPr>
      <w:r w:rsidRPr="00155578">
        <w:t>wider legal and public policy considerations, including the right to informed consent to health care under the Code of Health and Disability Services Consumers</w:t>
      </w:r>
      <w:r w:rsidR="000A0B49">
        <w:t>’</w:t>
      </w:r>
      <w:r w:rsidRPr="00155578">
        <w:t xml:space="preserve"> Rights</w:t>
      </w:r>
    </w:p>
    <w:p w14:paraId="5529DBE9" w14:textId="77777777" w:rsidR="00547D02" w:rsidRPr="00155578" w:rsidRDefault="00547D02" w:rsidP="00C535CC">
      <w:pPr>
        <w:pStyle w:val="Bullet"/>
      </w:pPr>
      <w:r w:rsidRPr="00155578">
        <w:t>feedback from public consultation on related matters</w:t>
      </w:r>
    </w:p>
    <w:p w14:paraId="41E66EAF" w14:textId="77777777" w:rsidR="00547D02" w:rsidRDefault="00547D02" w:rsidP="00C535CC">
      <w:pPr>
        <w:pStyle w:val="Bullet"/>
      </w:pPr>
      <w:r w:rsidRPr="00155578">
        <w:t>evidence and information from local and international sources</w:t>
      </w:r>
    </w:p>
    <w:p w14:paraId="4030FEC6" w14:textId="77777777" w:rsidR="00547D02" w:rsidRPr="00155578" w:rsidRDefault="00547D02" w:rsidP="00C535CC">
      <w:pPr>
        <w:pStyle w:val="Bullet"/>
      </w:pPr>
      <w:r>
        <w:t>ACART</w:t>
      </w:r>
      <w:r w:rsidR="000A0B49">
        <w:t>’</w:t>
      </w:r>
      <w:r>
        <w:t>s ethical framework</w:t>
      </w:r>
      <w:r w:rsidRPr="00155578">
        <w:t>.</w:t>
      </w:r>
    </w:p>
    <w:p w14:paraId="32AACB8C" w14:textId="77777777" w:rsidR="00547D02" w:rsidRPr="00EA41F2" w:rsidRDefault="00547D02" w:rsidP="00C535CC">
      <w:pPr>
        <w:pStyle w:val="Number"/>
        <w:rPr>
          <w:rFonts w:eastAsia="Calibri"/>
        </w:rPr>
      </w:pPr>
      <w:r w:rsidRPr="00EA41F2">
        <w:rPr>
          <w:rFonts w:eastAsia="Calibri"/>
        </w:rPr>
        <w:t>When considering these matters, ACART referred to its ethical framework, which incorporates the principles of the HART Act and generally accepted ethical principles. The ethical framework considers the welfare of those affected by the procedure and the autonomy of those involved, as well as altruism, social trust and responsibility, the special status of the embryo, justice and equality.</w:t>
      </w:r>
      <w:r w:rsidRPr="00C535CC">
        <w:rPr>
          <w:rStyle w:val="FootnoteReference"/>
          <w:rFonts w:eastAsia="Calibri"/>
        </w:rPr>
        <w:footnoteReference w:id="8"/>
      </w:r>
    </w:p>
    <w:p w14:paraId="5D4F76A0" w14:textId="77777777" w:rsidR="00547D02" w:rsidRPr="00EA41F2" w:rsidRDefault="00547D02" w:rsidP="00C535CC">
      <w:pPr>
        <w:pStyle w:val="Number"/>
        <w:rPr>
          <w:rFonts w:eastAsia="Calibri"/>
        </w:rPr>
      </w:pPr>
      <w:r w:rsidRPr="00EA41F2">
        <w:rPr>
          <w:rFonts w:eastAsia="Calibri"/>
        </w:rPr>
        <w:t xml:space="preserve">The recognition of the importance of relatedness and connection to others expressed through values such as </w:t>
      </w:r>
      <w:proofErr w:type="spellStart"/>
      <w:r w:rsidRPr="00EA41F2">
        <w:rPr>
          <w:rFonts w:eastAsia="Calibri"/>
        </w:rPr>
        <w:t>whānau</w:t>
      </w:r>
      <w:proofErr w:type="spellEnd"/>
      <w:r w:rsidRPr="00EA41F2">
        <w:rPr>
          <w:rFonts w:eastAsia="Calibri"/>
        </w:rPr>
        <w:t>, whakapapa and whanaungatanga is relevant to gamete and embryo donation. Māori have been influential in shaping non-Māori views on the significance of whakapapa, and this has arguably led to a more open attitude to the knowledge of genetic parentage than exists in some countries.</w:t>
      </w:r>
      <w:r w:rsidRPr="00C535CC">
        <w:rPr>
          <w:rStyle w:val="FootnoteReference"/>
          <w:rFonts w:eastAsia="Calibri"/>
        </w:rPr>
        <w:footnoteReference w:id="9"/>
      </w:r>
    </w:p>
    <w:p w14:paraId="4C86BDE1" w14:textId="77777777" w:rsidR="00547D02" w:rsidRPr="00155578" w:rsidRDefault="00547D02" w:rsidP="00C535CC">
      <w:pPr>
        <w:pStyle w:val="Number"/>
      </w:pPr>
      <w:r w:rsidRPr="00EA41F2">
        <w:rPr>
          <w:rFonts w:eastAsia="Calibri"/>
        </w:rPr>
        <w:t>Principle 4(f) of the HART Act requires that the needs, values and beliefs of Māori should be considered and treated with</w:t>
      </w:r>
      <w:r w:rsidRPr="00155578">
        <w:t xml:space="preserve"> </w:t>
      </w:r>
      <w:r w:rsidRPr="00EA41F2">
        <w:rPr>
          <w:rFonts w:eastAsia="Calibri"/>
        </w:rPr>
        <w:t xml:space="preserve">respect. This is further developed in the New Zealand Fertility Services Standard (1.1.2), which requires that consumers who identify as Māori have their health and disability needs met in a manner that respects their individual values and beliefs. This recognises that while many Māori may </w:t>
      </w:r>
      <w:r>
        <w:rPr>
          <w:rFonts w:eastAsia="Calibri"/>
        </w:rPr>
        <w:t xml:space="preserve">share certain </w:t>
      </w:r>
      <w:r w:rsidRPr="00EA41F2">
        <w:rPr>
          <w:rFonts w:eastAsia="Calibri"/>
        </w:rPr>
        <w:t xml:space="preserve">views, individuals and </w:t>
      </w:r>
      <w:proofErr w:type="spellStart"/>
      <w:r w:rsidRPr="00EA41F2">
        <w:rPr>
          <w:rFonts w:eastAsia="Calibri"/>
        </w:rPr>
        <w:t>whānau</w:t>
      </w:r>
      <w:proofErr w:type="spellEnd"/>
      <w:r w:rsidRPr="00EA41F2">
        <w:rPr>
          <w:rFonts w:eastAsia="Calibri"/>
        </w:rPr>
        <w:t xml:space="preserve"> will have their own preferences and practices.</w:t>
      </w:r>
    </w:p>
    <w:p w14:paraId="682F2DD6" w14:textId="77777777" w:rsidR="00547D02" w:rsidRPr="009B7194" w:rsidRDefault="00547D02" w:rsidP="00C535CC">
      <w:pPr>
        <w:pStyle w:val="Number"/>
        <w:keepLines/>
        <w:rPr>
          <w:rFonts w:eastAsia="Calibri"/>
        </w:rPr>
      </w:pPr>
      <w:r w:rsidRPr="009B7194">
        <w:rPr>
          <w:rFonts w:eastAsia="Calibri"/>
        </w:rPr>
        <w:t xml:space="preserve">Nonetheless, the concept of </w:t>
      </w:r>
      <w:r>
        <w:rPr>
          <w:rFonts w:eastAsia="Calibri"/>
        </w:rPr>
        <w:t>t</w:t>
      </w:r>
      <w:r w:rsidRPr="009B7194">
        <w:rPr>
          <w:rFonts w:eastAsia="Calibri"/>
        </w:rPr>
        <w:t xml:space="preserve">e </w:t>
      </w:r>
      <w:proofErr w:type="spellStart"/>
      <w:r>
        <w:rPr>
          <w:rFonts w:eastAsia="Calibri"/>
        </w:rPr>
        <w:t>a</w:t>
      </w:r>
      <w:r w:rsidRPr="009B7194">
        <w:rPr>
          <w:rFonts w:eastAsia="Calibri"/>
        </w:rPr>
        <w:t>o</w:t>
      </w:r>
      <w:proofErr w:type="spellEnd"/>
      <w:r w:rsidRPr="009B7194">
        <w:rPr>
          <w:rFonts w:eastAsia="Calibri"/>
        </w:rPr>
        <w:t xml:space="preserve"> Māori (Māori world view) ha</w:t>
      </w:r>
      <w:r>
        <w:rPr>
          <w:rFonts w:eastAsia="Calibri"/>
        </w:rPr>
        <w:t>s</w:t>
      </w:r>
      <w:r w:rsidRPr="009B7194">
        <w:rPr>
          <w:rFonts w:eastAsia="Calibri"/>
        </w:rPr>
        <w:t xml:space="preserve"> implications for the way we should consider these matters. For example, in developing these guidelines, ACART has considered the concept of whakapapa and the way in which this concept defines and identifies elements around family relationships that are of importance to Māori.</w:t>
      </w:r>
    </w:p>
    <w:p w14:paraId="74FE676C" w14:textId="77777777" w:rsidR="00547D02" w:rsidRPr="009B7194" w:rsidRDefault="00547D02" w:rsidP="00C535CC">
      <w:pPr>
        <w:pStyle w:val="Number"/>
        <w:rPr>
          <w:rFonts w:eastAsia="Calibri"/>
        </w:rPr>
      </w:pPr>
      <w:r w:rsidRPr="009B7194">
        <w:rPr>
          <w:rFonts w:eastAsia="Calibri"/>
        </w:rPr>
        <w:lastRenderedPageBreak/>
        <w:t>Principle 4(g) of the HART Act recognises the diversity resulting from migration and a pluralistic, multicultural society</w:t>
      </w:r>
      <w:r>
        <w:rPr>
          <w:rFonts w:eastAsia="Calibri"/>
        </w:rPr>
        <w:t>. It</w:t>
      </w:r>
      <w:r w:rsidRPr="009B7194">
        <w:rPr>
          <w:rFonts w:eastAsia="Calibri"/>
        </w:rPr>
        <w:t xml:space="preserve"> requires the different ethical, spiritual and cultural perspectives to be considered and treated with respect in the context of assisted reproduction.</w:t>
      </w:r>
    </w:p>
    <w:p w14:paraId="5ED27DAA" w14:textId="77777777" w:rsidR="00547D02" w:rsidRDefault="00547D02" w:rsidP="00C535CC">
      <w:pPr>
        <w:pStyle w:val="Number"/>
        <w:rPr>
          <w:rFonts w:eastAsia="Calibri"/>
        </w:rPr>
      </w:pPr>
      <w:r w:rsidRPr="009B7194">
        <w:rPr>
          <w:rFonts w:eastAsia="Calibri"/>
        </w:rPr>
        <w:t xml:space="preserve">The Human Rights Act 1993 prohibits discrimination against individuals </w:t>
      </w:r>
      <w:proofErr w:type="gramStart"/>
      <w:r w:rsidRPr="009B7194">
        <w:rPr>
          <w:rFonts w:eastAsia="Calibri"/>
        </w:rPr>
        <w:t>on the basis of</w:t>
      </w:r>
      <w:proofErr w:type="gramEnd"/>
      <w:r w:rsidRPr="009B7194">
        <w:rPr>
          <w:rFonts w:eastAsia="Calibri"/>
        </w:rPr>
        <w:t xml:space="preserve"> disability, and New Zealand is a signatory to the United Nations Convention on the Rights of Persons with Disabilities. People with disabilities have equal rights to autonomous decisions over reproduction. Clinics must ensure, where practicable, that clients with disabilities are provided with services and information in an appropriate manner, including accessible formats.</w:t>
      </w:r>
    </w:p>
    <w:p w14:paraId="4C2BBE18" w14:textId="77777777" w:rsidR="00547D02" w:rsidRPr="009B7194" w:rsidRDefault="00547D02" w:rsidP="00547D02">
      <w:pPr>
        <w:rPr>
          <w:rFonts w:eastAsia="Calibri"/>
        </w:rPr>
      </w:pPr>
    </w:p>
    <w:p w14:paraId="452888AB" w14:textId="77777777" w:rsidR="00C535CC" w:rsidRDefault="00C535CC" w:rsidP="00C535CC">
      <w:pPr>
        <w:pStyle w:val="Heading1"/>
        <w:sectPr w:rsidR="00C535CC" w:rsidSect="00201AC4">
          <w:pgSz w:w="11907" w:h="16834" w:code="9"/>
          <w:pgMar w:top="1701" w:right="1418" w:bottom="1701" w:left="1701" w:header="0" w:footer="425" w:gutter="0"/>
          <w:cols w:space="720"/>
          <w:titlePg/>
        </w:sectPr>
      </w:pPr>
      <w:bookmarkStart w:id="58" w:name="_Toc17118577"/>
    </w:p>
    <w:p w14:paraId="3F0FDBD1" w14:textId="77777777" w:rsidR="00547D02" w:rsidRPr="009B7194" w:rsidRDefault="00547D02" w:rsidP="00C535CC">
      <w:pPr>
        <w:pStyle w:val="Heading1"/>
      </w:pPr>
      <w:bookmarkStart w:id="59" w:name="_Toc73459719"/>
      <w:r w:rsidRPr="009B7194">
        <w:lastRenderedPageBreak/>
        <w:t>A</w:t>
      </w:r>
      <w:r>
        <w:t>CART</w:t>
      </w:r>
      <w:r w:rsidR="000A0B49">
        <w:t>’</w:t>
      </w:r>
      <w:r w:rsidRPr="009B7194">
        <w:t xml:space="preserve">s consultation process </w:t>
      </w:r>
      <w:r>
        <w:t>–</w:t>
      </w:r>
      <w:r w:rsidRPr="009B7194">
        <w:t xml:space="preserve"> two stages</w:t>
      </w:r>
      <w:bookmarkEnd w:id="58"/>
      <w:bookmarkEnd w:id="59"/>
    </w:p>
    <w:p w14:paraId="5E70B6A4" w14:textId="77777777" w:rsidR="00547D02" w:rsidRPr="00306095" w:rsidRDefault="00547D02" w:rsidP="00BE3BEA">
      <w:pPr>
        <w:pStyle w:val="Number"/>
        <w:rPr>
          <w:rFonts w:eastAsia="Calibri"/>
        </w:rPr>
      </w:pPr>
      <w:r>
        <w:rPr>
          <w:rFonts w:eastAsia="Calibri"/>
        </w:rPr>
        <w:t xml:space="preserve">To develop these revised guidelines and combine them for the first time, ACART consulted the public twice. The initial consultation, from </w:t>
      </w:r>
      <w:r w:rsidRPr="00F33FDC">
        <w:rPr>
          <w:rFonts w:eastAsia="Calibri"/>
        </w:rPr>
        <w:t>5 September to 13</w:t>
      </w:r>
      <w:r>
        <w:rPr>
          <w:rFonts w:eastAsia="Calibri"/>
        </w:rPr>
        <w:t> </w:t>
      </w:r>
      <w:r w:rsidRPr="00F33FDC">
        <w:rPr>
          <w:rFonts w:eastAsia="Calibri"/>
        </w:rPr>
        <w:t>November 2017</w:t>
      </w:r>
      <w:r>
        <w:rPr>
          <w:rFonts w:eastAsia="Calibri"/>
        </w:rPr>
        <w:t xml:space="preserve">, was about relinquishing the biological link policy and other policies. Then from 14 February to 25 March 2019 ACART consulted about changes to other policies </w:t>
      </w:r>
      <w:proofErr w:type="gramStart"/>
      <w:r>
        <w:rPr>
          <w:rFonts w:eastAsia="Calibri"/>
        </w:rPr>
        <w:t>in light of</w:t>
      </w:r>
      <w:proofErr w:type="gramEnd"/>
      <w:r>
        <w:rPr>
          <w:rFonts w:eastAsia="Calibri"/>
        </w:rPr>
        <w:t xml:space="preserve"> the first consultation. ACART</w:t>
      </w:r>
      <w:r w:rsidR="000A0B49">
        <w:rPr>
          <w:rFonts w:eastAsia="Calibri"/>
        </w:rPr>
        <w:t>’</w:t>
      </w:r>
      <w:r>
        <w:rPr>
          <w:rFonts w:eastAsia="Calibri"/>
        </w:rPr>
        <w:t xml:space="preserve">s summary of all submissions is attached </w:t>
      </w:r>
      <w:r w:rsidRPr="00E46CDA">
        <w:rPr>
          <w:rFonts w:eastAsia="Calibri"/>
        </w:rPr>
        <w:t xml:space="preserve">as </w:t>
      </w:r>
      <w:r w:rsidRPr="00306095">
        <w:rPr>
          <w:rFonts w:eastAsia="Calibri"/>
        </w:rPr>
        <w:t>Appendix 1 and the full submissions are on ACART</w:t>
      </w:r>
      <w:r w:rsidR="000A0B49" w:rsidRPr="00306095">
        <w:rPr>
          <w:rFonts w:eastAsia="Calibri"/>
        </w:rPr>
        <w:t>’</w:t>
      </w:r>
      <w:r w:rsidRPr="00306095">
        <w:rPr>
          <w:rFonts w:eastAsia="Calibri"/>
        </w:rPr>
        <w:t>s website.</w:t>
      </w:r>
    </w:p>
    <w:p w14:paraId="251BA9FD" w14:textId="77777777" w:rsidR="00547D02" w:rsidRPr="00306095" w:rsidRDefault="00547D02" w:rsidP="00BE3BEA">
      <w:pPr>
        <w:pStyle w:val="Number"/>
        <w:rPr>
          <w:rFonts w:eastAsia="Calibri"/>
        </w:rPr>
      </w:pPr>
      <w:r w:rsidRPr="00306095">
        <w:rPr>
          <w:rFonts w:eastAsia="Calibri"/>
        </w:rPr>
        <w:t>On 23 August 2017, ACART advised the (then) Associate Minister of Health Hon Peter Dunne about its intention to consult the public on the proposed guidelines and the advice it would provide about the guidelines. ACART provided Mr Dunne a copy of the consultation document.</w:t>
      </w:r>
    </w:p>
    <w:p w14:paraId="315524C7" w14:textId="77777777" w:rsidR="00547D02" w:rsidRPr="00306095" w:rsidRDefault="00547D02" w:rsidP="00BE3BEA">
      <w:pPr>
        <w:pStyle w:val="Number"/>
        <w:rPr>
          <w:rFonts w:eastAsia="Calibri"/>
        </w:rPr>
      </w:pPr>
      <w:r w:rsidRPr="00306095">
        <w:rPr>
          <w:rFonts w:eastAsia="Calibri"/>
        </w:rPr>
        <w:t xml:space="preserve">In the first consultation, ACART received written submissions from 14 individuals and organisations including one fertility services provider, Fertility New Zealand (a consumer group), the Bioethics Centre (University of Otago) and </w:t>
      </w:r>
      <w:proofErr w:type="gramStart"/>
      <w:r w:rsidRPr="00306095">
        <w:rPr>
          <w:rFonts w:eastAsia="Calibri"/>
        </w:rPr>
        <w:t>a number of</w:t>
      </w:r>
      <w:proofErr w:type="gramEnd"/>
      <w:r w:rsidRPr="00306095">
        <w:rPr>
          <w:rFonts w:eastAsia="Calibri"/>
        </w:rPr>
        <w:t xml:space="preserve"> women</w:t>
      </w:r>
      <w:r w:rsidR="000A0B49" w:rsidRPr="00306095">
        <w:rPr>
          <w:rFonts w:eastAsia="Calibri"/>
        </w:rPr>
        <w:t>’</w:t>
      </w:r>
      <w:r w:rsidRPr="00306095">
        <w:rPr>
          <w:rFonts w:eastAsia="Calibri"/>
        </w:rPr>
        <w:t>s health advocacy groups. These submitters are those ACART would normally expect to hear from when consulting on fertility matters.</w:t>
      </w:r>
    </w:p>
    <w:p w14:paraId="2A70C647" w14:textId="77777777" w:rsidR="00547D02" w:rsidRPr="00306095" w:rsidRDefault="00547D02" w:rsidP="00BE3BEA">
      <w:pPr>
        <w:pStyle w:val="Number"/>
        <w:rPr>
          <w:rFonts w:eastAsia="Calibri"/>
        </w:rPr>
      </w:pPr>
      <w:r w:rsidRPr="00306095">
        <w:rPr>
          <w:rFonts w:eastAsia="Calibri"/>
        </w:rPr>
        <w:t>In addition to receiving written submissions, ACART held three meetings with stakeholders. One was with staff members from a fertility services provider (Fertility Associates), one with Fertility New Zealand and the third with the Northern Regional Fertility Service. Public meetings were also held in the main centres of New Zealand.</w:t>
      </w:r>
    </w:p>
    <w:p w14:paraId="43735F6B" w14:textId="77777777" w:rsidR="00547D02" w:rsidRPr="00306095" w:rsidRDefault="00547D02" w:rsidP="00BE3BEA">
      <w:pPr>
        <w:pStyle w:val="Number"/>
        <w:rPr>
          <w:rFonts w:eastAsia="Calibri"/>
        </w:rPr>
      </w:pPr>
      <w:r w:rsidRPr="00306095">
        <w:rPr>
          <w:rFonts w:eastAsia="Calibri"/>
        </w:rPr>
        <w:t>ACART published the meeting notes and submissions on its website.</w:t>
      </w:r>
    </w:p>
    <w:p w14:paraId="3C206C9B" w14:textId="77777777" w:rsidR="00547D02" w:rsidRDefault="00547D02" w:rsidP="00BE3BEA">
      <w:pPr>
        <w:pStyle w:val="Number"/>
        <w:rPr>
          <w:rFonts w:eastAsia="Calibri"/>
        </w:rPr>
      </w:pPr>
      <w:r w:rsidRPr="00306095">
        <w:rPr>
          <w:rFonts w:eastAsia="Calibri"/>
        </w:rPr>
        <w:t xml:space="preserve">Overall, submitters supported the proposal. They raised </w:t>
      </w:r>
      <w:proofErr w:type="gramStart"/>
      <w:r w:rsidRPr="00306095">
        <w:rPr>
          <w:rFonts w:eastAsia="Calibri"/>
        </w:rPr>
        <w:t>a number of</w:t>
      </w:r>
      <w:proofErr w:type="gramEnd"/>
      <w:r w:rsidRPr="00306095">
        <w:rPr>
          <w:rFonts w:eastAsia="Calibri"/>
        </w:rPr>
        <w:t xml:space="preserve"> matters, many of which ACART addressed in the consultation document. ACART</w:t>
      </w:r>
      <w:r w:rsidR="000A0B49" w:rsidRPr="00306095">
        <w:rPr>
          <w:rFonts w:eastAsia="Calibri"/>
        </w:rPr>
        <w:t>’</w:t>
      </w:r>
      <w:r w:rsidRPr="00306095">
        <w:rPr>
          <w:rFonts w:eastAsia="Calibri"/>
        </w:rPr>
        <w:t>s recommendations and advice to you take their comments into account. A list of submitters and interviewees is included in Appendix 1, with the</w:t>
      </w:r>
      <w:r>
        <w:rPr>
          <w:rFonts w:eastAsia="Calibri"/>
        </w:rPr>
        <w:t xml:space="preserve"> summaries of all submissions.</w:t>
      </w:r>
    </w:p>
    <w:p w14:paraId="42F33CE4" w14:textId="77777777" w:rsidR="00547D02" w:rsidRDefault="00547D02" w:rsidP="00BE3BEA">
      <w:pPr>
        <w:pStyle w:val="Number"/>
        <w:rPr>
          <w:rFonts w:eastAsia="Calibri"/>
        </w:rPr>
      </w:pPr>
      <w:r>
        <w:rPr>
          <w:rFonts w:eastAsia="Calibri"/>
        </w:rPr>
        <w:t>The submissions made compelling arguments that four of ACART</w:t>
      </w:r>
      <w:r w:rsidR="000A0B49">
        <w:rPr>
          <w:rFonts w:eastAsia="Calibri"/>
        </w:rPr>
        <w:t>’</w:t>
      </w:r>
      <w:r>
        <w:rPr>
          <w:rFonts w:eastAsia="Calibri"/>
        </w:rPr>
        <w:t>s proposed changes needed to be reconsidered. Those changes were that (a) ECART</w:t>
      </w:r>
      <w:r w:rsidRPr="00CF5F62">
        <w:rPr>
          <w:rFonts w:eastAsia="Calibri"/>
        </w:rPr>
        <w:t xml:space="preserve"> </w:t>
      </w:r>
      <w:r>
        <w:rPr>
          <w:rFonts w:eastAsia="Calibri"/>
        </w:rPr>
        <w:t>should consider all family gamete donations, (b) three of the surrogacy provisions needed refining, (c</w:t>
      </w:r>
      <w:r w:rsidRPr="00EB072A">
        <w:rPr>
          <w:rFonts w:eastAsia="Calibri"/>
        </w:rPr>
        <w:t>) the embryo donation scenarios needed to be</w:t>
      </w:r>
      <w:r>
        <w:rPr>
          <w:rFonts w:eastAsia="Calibri"/>
        </w:rPr>
        <w:t xml:space="preserve"> explained in more detail and (d) the consent provisions needed to be clarified.</w:t>
      </w:r>
    </w:p>
    <w:p w14:paraId="0873D4B8" w14:textId="77777777" w:rsidR="00547D02" w:rsidRDefault="00547D02" w:rsidP="00BE3BEA">
      <w:pPr>
        <w:pStyle w:val="Number"/>
        <w:keepLines/>
        <w:rPr>
          <w:rFonts w:eastAsia="Calibri"/>
        </w:rPr>
      </w:pPr>
      <w:r>
        <w:rPr>
          <w:rFonts w:eastAsia="Calibri"/>
        </w:rPr>
        <w:t xml:space="preserve">ACART prepared a second consultation document and provided it to </w:t>
      </w:r>
      <w:r w:rsidRPr="00096D37">
        <w:rPr>
          <w:rFonts w:eastAsia="Calibri"/>
        </w:rPr>
        <w:t xml:space="preserve">Hon Dr David Clark, </w:t>
      </w:r>
      <w:r>
        <w:rPr>
          <w:rFonts w:eastAsia="Calibri"/>
        </w:rPr>
        <w:t>as the Minister of Health, on 4 December 2018. During the second consultation, ACART made a correction to the document to insert a section of the guidelines that had inadvertently been omitted and advised all stakeholders of the amendment.</w:t>
      </w:r>
    </w:p>
    <w:p w14:paraId="5EB43ACF" w14:textId="77777777" w:rsidR="00547D02" w:rsidRDefault="00547D02" w:rsidP="00BE3BEA">
      <w:pPr>
        <w:pStyle w:val="Number"/>
        <w:rPr>
          <w:rFonts w:eastAsia="Calibri"/>
        </w:rPr>
      </w:pPr>
      <w:r>
        <w:rPr>
          <w:rFonts w:eastAsia="Calibri"/>
        </w:rPr>
        <w:lastRenderedPageBreak/>
        <w:t>The next section discusses the submissions as part of the assessment of each proposed change.</w:t>
      </w:r>
    </w:p>
    <w:p w14:paraId="4340F83B" w14:textId="77777777" w:rsidR="00BE3BEA" w:rsidRDefault="00BE3BEA" w:rsidP="00BE3BEA">
      <w:pPr>
        <w:rPr>
          <w:rFonts w:eastAsia="Calibri"/>
        </w:rPr>
      </w:pPr>
    </w:p>
    <w:p w14:paraId="2E7FD1E4" w14:textId="77777777" w:rsidR="004D1D9B" w:rsidRDefault="004D1D9B" w:rsidP="004D1D9B">
      <w:pPr>
        <w:pStyle w:val="Heading1"/>
        <w:sectPr w:rsidR="004D1D9B" w:rsidSect="00201AC4">
          <w:pgSz w:w="11907" w:h="16834" w:code="9"/>
          <w:pgMar w:top="1701" w:right="1418" w:bottom="1701" w:left="1701" w:header="0" w:footer="425" w:gutter="0"/>
          <w:cols w:space="720"/>
          <w:titlePg/>
        </w:sectPr>
      </w:pPr>
      <w:bookmarkStart w:id="60" w:name="_Toc17118578"/>
    </w:p>
    <w:p w14:paraId="78A3E53A" w14:textId="77777777" w:rsidR="00547D02" w:rsidRDefault="00547D02" w:rsidP="004D1D9B">
      <w:pPr>
        <w:pStyle w:val="Heading1"/>
      </w:pPr>
      <w:bookmarkStart w:id="61" w:name="_Toc73459720"/>
      <w:r>
        <w:lastRenderedPageBreak/>
        <w:t>The changes to the guidelines</w:t>
      </w:r>
      <w:bookmarkEnd w:id="60"/>
      <w:bookmarkEnd w:id="61"/>
    </w:p>
    <w:p w14:paraId="429DD443" w14:textId="77777777" w:rsidR="00547D02" w:rsidRDefault="00547D02" w:rsidP="004D1D9B">
      <w:pPr>
        <w:pStyle w:val="Number"/>
        <w:rPr>
          <w:rFonts w:eastAsia="Calibri"/>
        </w:rPr>
      </w:pPr>
      <w:r>
        <w:rPr>
          <w:rFonts w:eastAsia="Calibri"/>
        </w:rPr>
        <w:t>This section explains ACART</w:t>
      </w:r>
      <w:r w:rsidR="000A0B49">
        <w:rPr>
          <w:rFonts w:eastAsia="Calibri"/>
        </w:rPr>
        <w:t>’</w:t>
      </w:r>
      <w:r>
        <w:rPr>
          <w:rFonts w:eastAsia="Calibri"/>
        </w:rPr>
        <w:t xml:space="preserve">s decisions and/or recommendations with reference </w:t>
      </w:r>
      <w:proofErr w:type="gramStart"/>
      <w:r>
        <w:rPr>
          <w:rFonts w:eastAsia="Calibri"/>
        </w:rPr>
        <w:t>to:</w:t>
      </w:r>
      <w:proofErr w:type="gramEnd"/>
      <w:r>
        <w:rPr>
          <w:rFonts w:eastAsia="Calibri"/>
        </w:rPr>
        <w:t xml:space="preserve"> the problem that each one addresses, the proposed solution and its risks and benefits, and submitters</w:t>
      </w:r>
      <w:r w:rsidR="000A0B49">
        <w:rPr>
          <w:rFonts w:eastAsia="Calibri"/>
        </w:rPr>
        <w:t>’</w:t>
      </w:r>
      <w:r>
        <w:rPr>
          <w:rFonts w:eastAsia="Calibri"/>
        </w:rPr>
        <w:t xml:space="preserve"> perspectives. The discussion of benefits notes how the amended guidelines are better placed to deliver the full benefits anticipated in the HART Act and how they more closely follow</w:t>
      </w:r>
      <w:r w:rsidDel="006B03DE">
        <w:rPr>
          <w:rFonts w:eastAsia="Calibri"/>
        </w:rPr>
        <w:t xml:space="preserve"> </w:t>
      </w:r>
      <w:r>
        <w:rPr>
          <w:rFonts w:eastAsia="Calibri"/>
        </w:rPr>
        <w:t>the principles of the HART Act.</w:t>
      </w:r>
    </w:p>
    <w:p w14:paraId="3BE4E149" w14:textId="77777777" w:rsidR="00547D02" w:rsidRDefault="00547D02" w:rsidP="00547D02">
      <w:pPr>
        <w:rPr>
          <w:rFonts w:eastAsia="Calibri"/>
        </w:rPr>
      </w:pPr>
    </w:p>
    <w:p w14:paraId="56A38A48" w14:textId="77777777" w:rsidR="00547D02" w:rsidRPr="00D31729" w:rsidRDefault="00547D02" w:rsidP="00547D02">
      <w:pPr>
        <w:pStyle w:val="Heading2"/>
        <w:numPr>
          <w:ilvl w:val="1"/>
          <w:numId w:val="43"/>
        </w:numPr>
        <w:rPr>
          <w:szCs w:val="24"/>
        </w:rPr>
      </w:pPr>
      <w:bookmarkStart w:id="62" w:name="_Toc17118579"/>
      <w:bookmarkStart w:id="63" w:name="_Toc73459721"/>
      <w:r w:rsidRPr="00D31729">
        <w:t>Change 1</w:t>
      </w:r>
      <w:r>
        <w:t>:</w:t>
      </w:r>
      <w:r w:rsidRPr="00D31729">
        <w:t xml:space="preserve"> Removal </w:t>
      </w:r>
      <w:r>
        <w:t xml:space="preserve">of the </w:t>
      </w:r>
      <w:r w:rsidR="000A0B49">
        <w:t>‘</w:t>
      </w:r>
      <w:r>
        <w:t>biological link</w:t>
      </w:r>
      <w:r w:rsidR="000A0B49">
        <w:t>’</w:t>
      </w:r>
      <w:r>
        <w:t xml:space="preserve"> and medical requirements</w:t>
      </w:r>
      <w:bookmarkEnd w:id="62"/>
      <w:bookmarkEnd w:id="63"/>
    </w:p>
    <w:p w14:paraId="5AFCC10C" w14:textId="77777777" w:rsidR="00547D02" w:rsidRDefault="00547D02" w:rsidP="004D1D9B">
      <w:pPr>
        <w:pStyle w:val="Number"/>
        <w:rPr>
          <w:rFonts w:eastAsia="Calibri"/>
        </w:rPr>
      </w:pPr>
      <w:r w:rsidRPr="00FB038B">
        <w:rPr>
          <w:rFonts w:eastAsia="Calibri"/>
        </w:rPr>
        <w:t>The</w:t>
      </w:r>
      <w:r>
        <w:rPr>
          <w:rFonts w:eastAsia="Calibri"/>
        </w:rPr>
        <w:t xml:space="preserve"> </w:t>
      </w:r>
      <w:r w:rsidR="000A0B49">
        <w:rPr>
          <w:rFonts w:eastAsia="Calibri"/>
        </w:rPr>
        <w:t>‘</w:t>
      </w:r>
      <w:r>
        <w:rPr>
          <w:rFonts w:eastAsia="Calibri"/>
        </w:rPr>
        <w:t>biological link policy</w:t>
      </w:r>
      <w:r w:rsidR="000A0B49">
        <w:rPr>
          <w:rFonts w:eastAsia="Calibri"/>
        </w:rPr>
        <w:t>’</w:t>
      </w:r>
      <w:r>
        <w:rPr>
          <w:rFonts w:eastAsia="Calibri"/>
        </w:rPr>
        <w:t xml:space="preserve"> required</w:t>
      </w:r>
      <w:r w:rsidRPr="00FB038B">
        <w:rPr>
          <w:rFonts w:eastAsia="Calibri"/>
        </w:rPr>
        <w:t xml:space="preserve"> that a child born from an assisted reproductive procedure must have at least one biological link (either genetic or gestational) to an intending parent.</w:t>
      </w:r>
      <w:r w:rsidRPr="004D1D9B">
        <w:rPr>
          <w:rStyle w:val="FootnoteReference"/>
          <w:rFonts w:eastAsia="Calibri"/>
        </w:rPr>
        <w:footnoteReference w:id="10"/>
      </w:r>
      <w:r w:rsidR="004D1D9B">
        <w:rPr>
          <w:rFonts w:eastAsia="Calibri"/>
        </w:rPr>
        <w:t xml:space="preserve"> </w:t>
      </w:r>
      <w:r>
        <w:rPr>
          <w:rFonts w:eastAsia="Calibri"/>
        </w:rPr>
        <w:t xml:space="preserve">The </w:t>
      </w:r>
      <w:r w:rsidRPr="00FB038B">
        <w:rPr>
          <w:rFonts w:eastAsia="Calibri"/>
        </w:rPr>
        <w:t>surrogacy guidelines</w:t>
      </w:r>
      <w:r>
        <w:rPr>
          <w:rFonts w:eastAsia="Calibri"/>
        </w:rPr>
        <w:t xml:space="preserve"> </w:t>
      </w:r>
      <w:r w:rsidRPr="00FB038B">
        <w:rPr>
          <w:rFonts w:eastAsia="Calibri"/>
        </w:rPr>
        <w:t>explicitly expressed th</w:t>
      </w:r>
      <w:r>
        <w:rPr>
          <w:rFonts w:eastAsia="Calibri"/>
        </w:rPr>
        <w:t>is</w:t>
      </w:r>
      <w:r w:rsidRPr="00917735">
        <w:rPr>
          <w:rFonts w:eastAsia="Calibri"/>
        </w:rPr>
        <w:t xml:space="preserve"> </w:t>
      </w:r>
      <w:r>
        <w:rPr>
          <w:rFonts w:eastAsia="Calibri"/>
        </w:rPr>
        <w:t>policy</w:t>
      </w:r>
      <w:r w:rsidRPr="00FB038B">
        <w:rPr>
          <w:rFonts w:eastAsia="Calibri"/>
        </w:rPr>
        <w:t xml:space="preserve"> </w:t>
      </w:r>
      <w:r>
        <w:rPr>
          <w:rFonts w:eastAsia="Calibri"/>
        </w:rPr>
        <w:t>through</w:t>
      </w:r>
      <w:r w:rsidRPr="00FB038B">
        <w:rPr>
          <w:rFonts w:eastAsia="Calibri"/>
        </w:rPr>
        <w:t xml:space="preserve"> the requirement that at least one intending parent must be the genetic parent of</w:t>
      </w:r>
      <w:r>
        <w:rPr>
          <w:rFonts w:eastAsia="Calibri"/>
        </w:rPr>
        <w:t xml:space="preserve"> any resulting child.</w:t>
      </w:r>
    </w:p>
    <w:p w14:paraId="2D86E1D8" w14:textId="77777777" w:rsidR="00547D02" w:rsidRDefault="00547D02" w:rsidP="00547D02">
      <w:pPr>
        <w:rPr>
          <w:rFonts w:eastAsia="Calibri"/>
        </w:rPr>
      </w:pPr>
    </w:p>
    <w:p w14:paraId="2A92F84E" w14:textId="77777777" w:rsidR="00547D02" w:rsidRPr="009B7194" w:rsidRDefault="00547D02" w:rsidP="00547D02">
      <w:pPr>
        <w:pStyle w:val="Heading3"/>
      </w:pPr>
      <w:r w:rsidRPr="009B7194">
        <w:t>ACART</w:t>
      </w:r>
      <w:r w:rsidR="000A0B49">
        <w:t>’</w:t>
      </w:r>
      <w:r w:rsidRPr="009B7194">
        <w:t>s conclusions/decisions</w:t>
      </w:r>
    </w:p>
    <w:p w14:paraId="634CA432" w14:textId="77777777" w:rsidR="00547D02" w:rsidRDefault="00547D02" w:rsidP="004D1D9B">
      <w:pPr>
        <w:pStyle w:val="Number"/>
        <w:rPr>
          <w:rFonts w:eastAsia="Calibri"/>
        </w:rPr>
      </w:pPr>
      <w:r>
        <w:rPr>
          <w:rFonts w:eastAsia="Calibri"/>
        </w:rPr>
        <w:t xml:space="preserve">By rescinding the requirement that intending parents must have a biological link to the children born from </w:t>
      </w:r>
      <w:r w:rsidRPr="00865BE7">
        <w:rPr>
          <w:rFonts w:eastAsia="Calibri"/>
        </w:rPr>
        <w:t>fertility treatment, ACART makes it possible for more people to use fertility treatment and to be donors. Under the previous guidelines, some people (intending parents, donors and surrogates) may have been discriminated against because of the requirement. The removal of the mandatory biological link has implications for the provisions for embryo donation and for consent and surrogacy.</w:t>
      </w:r>
    </w:p>
    <w:p w14:paraId="0E440688" w14:textId="77777777" w:rsidR="00547D02" w:rsidRDefault="00547D02" w:rsidP="004D1D9B">
      <w:pPr>
        <w:pStyle w:val="Number"/>
        <w:rPr>
          <w:rFonts w:eastAsia="Calibri"/>
        </w:rPr>
      </w:pPr>
      <w:r>
        <w:rPr>
          <w:rFonts w:eastAsia="Calibri"/>
        </w:rPr>
        <w:t>The implications for surrogacy are discussed under Change 4 with the other changes to the surrogacy provisions.</w:t>
      </w:r>
    </w:p>
    <w:p w14:paraId="62BB4641" w14:textId="77777777" w:rsidR="00547D02" w:rsidRDefault="00547D02" w:rsidP="004D1D9B">
      <w:pPr>
        <w:pStyle w:val="Number"/>
        <w:rPr>
          <w:rFonts w:eastAsia="Calibri"/>
        </w:rPr>
      </w:pPr>
      <w:r>
        <w:rPr>
          <w:rFonts w:eastAsia="Calibri"/>
        </w:rPr>
        <w:t xml:space="preserve">Removing the biological link requirement </w:t>
      </w:r>
      <w:r w:rsidRPr="00D46241">
        <w:rPr>
          <w:rFonts w:eastAsia="Calibri"/>
        </w:rPr>
        <w:t>is closely related to the removal of the medical condition requirement</w:t>
      </w:r>
      <w:r>
        <w:rPr>
          <w:rFonts w:eastAsia="Calibri"/>
        </w:rPr>
        <w:t>.</w:t>
      </w:r>
      <w:r w:rsidRPr="004D1D9B">
        <w:rPr>
          <w:rStyle w:val="FootnoteReference"/>
          <w:rFonts w:eastAsia="Calibri"/>
        </w:rPr>
        <w:footnoteReference w:id="11"/>
      </w:r>
      <w:r w:rsidRPr="00D46241">
        <w:rPr>
          <w:rFonts w:eastAsia="Calibri"/>
        </w:rPr>
        <w:t xml:space="preserve"> That change is discussed in th</w:t>
      </w:r>
      <w:r>
        <w:rPr>
          <w:rFonts w:eastAsia="Calibri"/>
        </w:rPr>
        <w:t>is</w:t>
      </w:r>
      <w:r w:rsidRPr="00D46241">
        <w:rPr>
          <w:rFonts w:eastAsia="Calibri"/>
        </w:rPr>
        <w:t xml:space="preserve"> section </w:t>
      </w:r>
      <w:r>
        <w:rPr>
          <w:rFonts w:eastAsia="Calibri"/>
        </w:rPr>
        <w:t>because</w:t>
      </w:r>
      <w:r w:rsidRPr="00D46241">
        <w:rPr>
          <w:rFonts w:eastAsia="Calibri"/>
        </w:rPr>
        <w:t xml:space="preserve">, </w:t>
      </w:r>
      <w:r>
        <w:rPr>
          <w:rFonts w:eastAsia="Calibri"/>
        </w:rPr>
        <w:t>as well as being</w:t>
      </w:r>
      <w:r w:rsidRPr="00D46241">
        <w:rPr>
          <w:rFonts w:eastAsia="Calibri"/>
        </w:rPr>
        <w:t xml:space="preserve"> related to the matter of the biological link, it involve</w:t>
      </w:r>
      <w:r>
        <w:rPr>
          <w:rFonts w:eastAsia="Calibri"/>
        </w:rPr>
        <w:t>s</w:t>
      </w:r>
      <w:r w:rsidRPr="00D46241">
        <w:rPr>
          <w:rFonts w:eastAsia="Calibri"/>
        </w:rPr>
        <w:t xml:space="preserve"> the matter of </w:t>
      </w:r>
      <w:r w:rsidR="000A0B49">
        <w:rPr>
          <w:rFonts w:eastAsia="Calibri"/>
        </w:rPr>
        <w:t>‘</w:t>
      </w:r>
      <w:r w:rsidRPr="00435528">
        <w:rPr>
          <w:rFonts w:eastAsia="Calibri"/>
          <w:iCs/>
        </w:rPr>
        <w:t>best or only opportunity</w:t>
      </w:r>
      <w:r w:rsidR="000A0B49">
        <w:rPr>
          <w:rFonts w:eastAsia="Calibri"/>
        </w:rPr>
        <w:t>’</w:t>
      </w:r>
      <w:r w:rsidRPr="00D46241">
        <w:rPr>
          <w:rFonts w:eastAsia="Calibri"/>
        </w:rPr>
        <w:t xml:space="preserve"> for a person to have a child.</w:t>
      </w:r>
    </w:p>
    <w:p w14:paraId="458303F4" w14:textId="77777777" w:rsidR="00547D02" w:rsidRPr="00D46241" w:rsidRDefault="00547D02" w:rsidP="00547D02">
      <w:pPr>
        <w:rPr>
          <w:rFonts w:eastAsia="Calibri"/>
        </w:rPr>
      </w:pPr>
    </w:p>
    <w:p w14:paraId="4E3B8766" w14:textId="77777777" w:rsidR="00547D02" w:rsidRPr="00F91AAF" w:rsidRDefault="00547D02" w:rsidP="00547D02">
      <w:pPr>
        <w:pStyle w:val="Heading3"/>
      </w:pPr>
      <w:r w:rsidRPr="00F91AAF">
        <w:lastRenderedPageBreak/>
        <w:t>The problem</w:t>
      </w:r>
      <w:r>
        <w:t>s</w:t>
      </w:r>
    </w:p>
    <w:p w14:paraId="5CC63323" w14:textId="77777777" w:rsidR="00547D02" w:rsidRDefault="00547D02" w:rsidP="004D1D9B">
      <w:pPr>
        <w:pStyle w:val="Number"/>
        <w:rPr>
          <w:rFonts w:eastAsia="Calibri"/>
        </w:rPr>
      </w:pPr>
      <w:r w:rsidRPr="00FB038B">
        <w:rPr>
          <w:rFonts w:eastAsia="Calibri"/>
        </w:rPr>
        <w:t>The</w:t>
      </w:r>
      <w:r>
        <w:rPr>
          <w:rFonts w:eastAsia="Calibri"/>
        </w:rPr>
        <w:t xml:space="preserve"> biological link policy meant that surrogacy could </w:t>
      </w:r>
      <w:r w:rsidRPr="00FB038B">
        <w:rPr>
          <w:rFonts w:eastAsia="Calibri"/>
        </w:rPr>
        <w:t>not take place with either embryo donation or donated eggs</w:t>
      </w:r>
      <w:r>
        <w:rPr>
          <w:rFonts w:eastAsia="Calibri"/>
        </w:rPr>
        <w:t xml:space="preserve"> in conjunction with </w:t>
      </w:r>
      <w:r w:rsidRPr="00FB038B">
        <w:rPr>
          <w:rFonts w:eastAsia="Calibri"/>
        </w:rPr>
        <w:t xml:space="preserve">donated sperm. Both of those procedures </w:t>
      </w:r>
      <w:r>
        <w:rPr>
          <w:rFonts w:eastAsia="Calibri"/>
        </w:rPr>
        <w:t>use</w:t>
      </w:r>
      <w:r w:rsidRPr="00FB038B">
        <w:rPr>
          <w:rFonts w:eastAsia="Calibri"/>
        </w:rPr>
        <w:t xml:space="preserve"> an embryo that is created from gametes of two people who are not the intending parents.</w:t>
      </w:r>
    </w:p>
    <w:p w14:paraId="3AA4B2D0" w14:textId="77777777" w:rsidR="00547D02" w:rsidRDefault="00547D02" w:rsidP="004D1D9B">
      <w:pPr>
        <w:pStyle w:val="Number"/>
        <w:rPr>
          <w:rFonts w:eastAsia="Calibri"/>
        </w:rPr>
      </w:pPr>
      <w:r>
        <w:rPr>
          <w:rFonts w:eastAsia="Calibri"/>
        </w:rPr>
        <w:t>Additionally, the requirement for a biological link was implicit in the</w:t>
      </w:r>
      <w:r w:rsidRPr="003C2D26">
        <w:rPr>
          <w:rFonts w:eastAsia="Calibri"/>
        </w:rPr>
        <w:t xml:space="preserve"> </w:t>
      </w:r>
      <w:r>
        <w:rPr>
          <w:rFonts w:eastAsia="Calibri"/>
        </w:rPr>
        <w:t xml:space="preserve">previous guidelines for </w:t>
      </w:r>
      <w:r w:rsidRPr="003C2D26">
        <w:rPr>
          <w:rFonts w:eastAsia="Calibri"/>
        </w:rPr>
        <w:t xml:space="preserve">embryo donation and </w:t>
      </w:r>
      <w:r>
        <w:rPr>
          <w:rFonts w:eastAsia="Calibri"/>
        </w:rPr>
        <w:t xml:space="preserve">for </w:t>
      </w:r>
      <w:r w:rsidRPr="003C2D26">
        <w:rPr>
          <w:rFonts w:eastAsia="Calibri"/>
        </w:rPr>
        <w:t>donated eggs/donated sperm</w:t>
      </w:r>
      <w:r>
        <w:rPr>
          <w:rFonts w:eastAsia="Calibri"/>
        </w:rPr>
        <w:t>. Those guidelines stated that parties must have had</w:t>
      </w:r>
      <w:r w:rsidRPr="003C2D26">
        <w:rPr>
          <w:rFonts w:eastAsia="Calibri"/>
        </w:rPr>
        <w:t xml:space="preserve"> </w:t>
      </w:r>
      <w:r>
        <w:rPr>
          <w:rFonts w:eastAsia="Calibri"/>
        </w:rPr>
        <w:t xml:space="preserve">a </w:t>
      </w:r>
      <w:r w:rsidRPr="003C2D26">
        <w:rPr>
          <w:rFonts w:eastAsia="Calibri"/>
        </w:rPr>
        <w:t xml:space="preserve">medical </w:t>
      </w:r>
      <w:r>
        <w:rPr>
          <w:rFonts w:eastAsia="Calibri"/>
        </w:rPr>
        <w:t xml:space="preserve">condition in order to </w:t>
      </w:r>
      <w:r w:rsidRPr="003C2D26">
        <w:rPr>
          <w:rFonts w:eastAsia="Calibri"/>
        </w:rPr>
        <w:t>use the procedures.</w:t>
      </w:r>
      <w:r>
        <w:rPr>
          <w:rFonts w:eastAsia="Calibri"/>
        </w:rPr>
        <w:t xml:space="preserve"> Consequently, some people were precluded from using those procedures due to their sexual orientation and the provision was potentially discriminatory.</w:t>
      </w:r>
    </w:p>
    <w:p w14:paraId="5B6C9B05" w14:textId="77777777" w:rsidR="00547D02" w:rsidRPr="00DA0C65" w:rsidRDefault="00547D02" w:rsidP="004D1D9B">
      <w:pPr>
        <w:pStyle w:val="Number"/>
        <w:rPr>
          <w:rFonts w:eastAsia="Calibri"/>
        </w:rPr>
      </w:pPr>
      <w:r w:rsidRPr="00DA0C65">
        <w:rPr>
          <w:rFonts w:eastAsia="Calibri"/>
        </w:rPr>
        <w:t xml:space="preserve">If ACART wished to retain the biological link policy in any or </w:t>
      </w:r>
      <w:proofErr w:type="gramStart"/>
      <w:r w:rsidRPr="00DA0C65">
        <w:rPr>
          <w:rFonts w:eastAsia="Calibri"/>
        </w:rPr>
        <w:t>all of</w:t>
      </w:r>
      <w:proofErr w:type="gramEnd"/>
      <w:r w:rsidRPr="00DA0C65">
        <w:rPr>
          <w:rFonts w:eastAsia="Calibri"/>
        </w:rPr>
        <w:t xml:space="preserve"> the guidelines that involve third-party assistance to have a child, it would need to consider the justification in accordance with the New Zealand Bill of Rights Act 1990 (NZBORA). The NZBORA applies to the government </w:t>
      </w:r>
      <w:proofErr w:type="gramStart"/>
      <w:r w:rsidRPr="00DA0C65">
        <w:rPr>
          <w:rFonts w:eastAsia="Calibri"/>
        </w:rPr>
        <w:t>and also</w:t>
      </w:r>
      <w:proofErr w:type="gramEnd"/>
      <w:r w:rsidRPr="00DA0C65">
        <w:rPr>
          <w:rFonts w:eastAsia="Calibri"/>
        </w:rPr>
        <w:t xml:space="preserve"> </w:t>
      </w:r>
      <w:r>
        <w:rPr>
          <w:rFonts w:eastAsia="Calibri"/>
        </w:rPr>
        <w:t xml:space="preserve">to </w:t>
      </w:r>
      <w:r w:rsidRPr="00DA0C65">
        <w:rPr>
          <w:rFonts w:eastAsia="Calibri"/>
        </w:rPr>
        <w:t>people and bodies that perform lawful public functions, powers or duties (s 3). The NZBORA therefore applies to ACART guidelines.</w:t>
      </w:r>
    </w:p>
    <w:p w14:paraId="7083F744" w14:textId="77777777" w:rsidR="00547D02" w:rsidRDefault="00547D02" w:rsidP="004D1D9B">
      <w:pPr>
        <w:pStyle w:val="Number"/>
        <w:rPr>
          <w:rFonts w:eastAsia="Calibri"/>
        </w:rPr>
      </w:pPr>
      <w:r>
        <w:rPr>
          <w:rFonts w:eastAsia="Calibri"/>
        </w:rPr>
        <w:t xml:space="preserve">ACART </w:t>
      </w:r>
      <w:r w:rsidRPr="00DA0C65">
        <w:rPr>
          <w:rFonts w:eastAsia="Calibri"/>
        </w:rPr>
        <w:t xml:space="preserve">concluded that the biological link policy would most likely fail the test of potentially being justified discrimination because the negative effects are disproportionate to the policy intent. </w:t>
      </w:r>
      <w:r>
        <w:rPr>
          <w:rFonts w:eastAsia="Calibri"/>
        </w:rPr>
        <w:t>One example of a</w:t>
      </w:r>
      <w:r w:rsidRPr="00DA0C65">
        <w:rPr>
          <w:rFonts w:eastAsia="Calibri"/>
        </w:rPr>
        <w:t xml:space="preserve"> negative effect</w:t>
      </w:r>
      <w:r>
        <w:rPr>
          <w:rFonts w:eastAsia="Calibri"/>
        </w:rPr>
        <w:t xml:space="preserve"> is</w:t>
      </w:r>
      <w:r w:rsidRPr="00DA0C65">
        <w:rPr>
          <w:rFonts w:eastAsia="Calibri"/>
        </w:rPr>
        <w:t xml:space="preserve"> </w:t>
      </w:r>
      <w:r>
        <w:rPr>
          <w:rFonts w:eastAsia="Calibri"/>
        </w:rPr>
        <w:t xml:space="preserve">that the policy </w:t>
      </w:r>
      <w:r w:rsidRPr="00DA0C65">
        <w:rPr>
          <w:rFonts w:eastAsia="Calibri"/>
        </w:rPr>
        <w:t>preclud</w:t>
      </w:r>
      <w:r>
        <w:rPr>
          <w:rFonts w:eastAsia="Calibri"/>
        </w:rPr>
        <w:t>es</w:t>
      </w:r>
      <w:r w:rsidRPr="00DA0C65">
        <w:rPr>
          <w:rFonts w:eastAsia="Calibri"/>
        </w:rPr>
        <w:t xml:space="preserve"> infertile men (single or male couple) from surrogacy, which may be their only opportunity to have a child</w:t>
      </w:r>
      <w:r>
        <w:rPr>
          <w:rFonts w:eastAsia="Calibri"/>
        </w:rPr>
        <w:t xml:space="preserve"> and is discriminatory</w:t>
      </w:r>
      <w:r w:rsidRPr="00DA0C65">
        <w:rPr>
          <w:rFonts w:eastAsia="Calibri"/>
        </w:rPr>
        <w:t>.</w:t>
      </w:r>
    </w:p>
    <w:p w14:paraId="11B1CD7D" w14:textId="77777777" w:rsidR="00547D02" w:rsidRDefault="00547D02" w:rsidP="004D1D9B">
      <w:pPr>
        <w:pStyle w:val="Number"/>
        <w:rPr>
          <w:rFonts w:eastAsia="Calibri"/>
        </w:rPr>
      </w:pPr>
      <w:r w:rsidRPr="00AB50D1">
        <w:rPr>
          <w:rFonts w:eastAsia="Calibri"/>
        </w:rPr>
        <w:t>The intent</w:t>
      </w:r>
      <w:r>
        <w:rPr>
          <w:rFonts w:eastAsia="Calibri"/>
        </w:rPr>
        <w:t xml:space="preserve"> of the original</w:t>
      </w:r>
      <w:r w:rsidRPr="00AB50D1">
        <w:rPr>
          <w:rFonts w:eastAsia="Calibri"/>
        </w:rPr>
        <w:t xml:space="preserve"> policy is likely to have been related to the safety and wellbeing of children by ensuring they are genetically related to one or more intending parents. However, while a genetic or gestational link to a child may be a protective factor, it is not necessarily the only consideration that ensures safety and wellbeing of children</w:t>
      </w:r>
      <w:r>
        <w:rPr>
          <w:rFonts w:eastAsia="Calibri"/>
        </w:rPr>
        <w:t xml:space="preserve"> born using ART. Other considerations are</w:t>
      </w:r>
      <w:r w:rsidRPr="00AB50D1">
        <w:rPr>
          <w:rFonts w:eastAsia="Calibri"/>
        </w:rPr>
        <w:t xml:space="preserve"> the family dynamics and </w:t>
      </w:r>
      <w:r>
        <w:rPr>
          <w:rFonts w:eastAsia="Calibri"/>
        </w:rPr>
        <w:t>the</w:t>
      </w:r>
      <w:r w:rsidRPr="00AB50D1">
        <w:rPr>
          <w:rFonts w:eastAsia="Calibri"/>
        </w:rPr>
        <w:t xml:space="preserve"> desire </w:t>
      </w:r>
      <w:r>
        <w:rPr>
          <w:rFonts w:eastAsia="Calibri"/>
        </w:rPr>
        <w:t xml:space="preserve">of the intending parent(s) </w:t>
      </w:r>
      <w:r w:rsidRPr="00AB50D1">
        <w:rPr>
          <w:rFonts w:eastAsia="Calibri"/>
        </w:rPr>
        <w:t>to have children.</w:t>
      </w:r>
    </w:p>
    <w:p w14:paraId="6D24E988" w14:textId="77777777" w:rsidR="00547D02" w:rsidRPr="00AB50D1" w:rsidRDefault="00547D02" w:rsidP="004D1D9B">
      <w:pPr>
        <w:rPr>
          <w:rFonts w:eastAsia="Calibri"/>
        </w:rPr>
      </w:pPr>
    </w:p>
    <w:p w14:paraId="3C1FFE4B" w14:textId="77777777" w:rsidR="00547D02" w:rsidRPr="00960CCE" w:rsidRDefault="00547D02" w:rsidP="004D1D9B">
      <w:pPr>
        <w:pStyle w:val="Heading3"/>
        <w:rPr>
          <w:rFonts w:eastAsia="Calibri"/>
        </w:rPr>
      </w:pPr>
      <w:bookmarkStart w:id="64" w:name="_Toc192693826"/>
      <w:bookmarkStart w:id="65" w:name="_Toc199038778"/>
      <w:bookmarkStart w:id="66" w:name="_Toc199046136"/>
      <w:bookmarkStart w:id="67" w:name="_Toc199647889"/>
      <w:bookmarkStart w:id="68" w:name="_Toc200435899"/>
      <w:bookmarkStart w:id="69" w:name="_Toc431815883"/>
      <w:bookmarkStart w:id="70" w:name="_Toc435101447"/>
      <w:bookmarkStart w:id="71" w:name="_Toc441843395"/>
      <w:bookmarkStart w:id="72" w:name="_Toc448924843"/>
      <w:r w:rsidRPr="00960CCE">
        <w:rPr>
          <w:rFonts w:eastAsia="Calibri"/>
        </w:rPr>
        <w:t xml:space="preserve">Benefits </w:t>
      </w:r>
      <w:r>
        <w:rPr>
          <w:rFonts w:eastAsia="Calibri"/>
        </w:rPr>
        <w:t>of the changes</w:t>
      </w:r>
    </w:p>
    <w:p w14:paraId="326B4EB3" w14:textId="77777777" w:rsidR="00547D02" w:rsidRDefault="00547D02" w:rsidP="004D1D9B">
      <w:pPr>
        <w:pStyle w:val="Number"/>
        <w:rPr>
          <w:rFonts w:eastAsia="Calibri"/>
        </w:rPr>
      </w:pPr>
      <w:r w:rsidRPr="005D66AE">
        <w:rPr>
          <w:rFonts w:eastAsia="Calibri"/>
        </w:rPr>
        <w:t xml:space="preserve">By rescinding the mandatory biological link between offspring and at least one intending parent, more people can now take advantage of fertility procedures. </w:t>
      </w:r>
      <w:r>
        <w:rPr>
          <w:rFonts w:eastAsia="Calibri"/>
        </w:rPr>
        <w:t xml:space="preserve">This change means that New Zealand will more fully secure the benefits of assisted reproduction which is the first purpose of the HART Act. More specifically, </w:t>
      </w:r>
      <w:r w:rsidRPr="005D66AE">
        <w:rPr>
          <w:rFonts w:eastAsia="Calibri"/>
        </w:rPr>
        <w:t>ECART can now consider cases that involve surrogacy and embryo donation or donated eggs</w:t>
      </w:r>
      <w:r>
        <w:rPr>
          <w:rFonts w:eastAsia="Calibri"/>
        </w:rPr>
        <w:t xml:space="preserve"> in conjunction with </w:t>
      </w:r>
      <w:r w:rsidRPr="005D66AE">
        <w:rPr>
          <w:rFonts w:eastAsia="Calibri"/>
        </w:rPr>
        <w:t xml:space="preserve">donated sperm, provided </w:t>
      </w:r>
      <w:r>
        <w:rPr>
          <w:rFonts w:eastAsia="Calibri"/>
        </w:rPr>
        <w:t>it is</w:t>
      </w:r>
      <w:r w:rsidRPr="005D66AE">
        <w:rPr>
          <w:rFonts w:eastAsia="Calibri"/>
        </w:rPr>
        <w:t xml:space="preserve"> satisfied that the circumstances of the specific case justify using the procedures in question. For example, single people who are infertile, or couples in which both </w:t>
      </w:r>
      <w:r>
        <w:rPr>
          <w:rFonts w:eastAsia="Calibri"/>
        </w:rPr>
        <w:t>partners</w:t>
      </w:r>
      <w:r w:rsidRPr="005D66AE">
        <w:rPr>
          <w:rFonts w:eastAsia="Calibri"/>
        </w:rPr>
        <w:t xml:space="preserve"> are infertile</w:t>
      </w:r>
      <w:r>
        <w:rPr>
          <w:rFonts w:eastAsia="Calibri"/>
        </w:rPr>
        <w:t>,</w:t>
      </w:r>
      <w:r w:rsidRPr="005D66AE">
        <w:rPr>
          <w:rFonts w:eastAsia="Calibri"/>
        </w:rPr>
        <w:t xml:space="preserve"> can</w:t>
      </w:r>
      <w:r>
        <w:rPr>
          <w:rFonts w:eastAsia="Calibri"/>
        </w:rPr>
        <w:t xml:space="preserve"> now seek fertility treatment using surrogacy if necessary.</w:t>
      </w:r>
    </w:p>
    <w:p w14:paraId="59B6FF7E" w14:textId="77777777" w:rsidR="00547D02" w:rsidRDefault="00547D02" w:rsidP="004D1D9B">
      <w:pPr>
        <w:pStyle w:val="Number"/>
        <w:keepLines/>
        <w:rPr>
          <w:rFonts w:eastAsia="Calibri"/>
        </w:rPr>
      </w:pPr>
      <w:r>
        <w:rPr>
          <w:rFonts w:eastAsia="Calibri"/>
        </w:rPr>
        <w:lastRenderedPageBreak/>
        <w:t xml:space="preserve">Similarly, removing the implicit requirement for parties to have a medical condition to be eligible to use donated embryos or donated eggs in conjunction with donated sperm removes the potential discrimination. </w:t>
      </w:r>
      <w:proofErr w:type="gramStart"/>
      <w:r>
        <w:rPr>
          <w:rFonts w:eastAsia="Calibri"/>
        </w:rPr>
        <w:t>As a consequence</w:t>
      </w:r>
      <w:proofErr w:type="gramEnd"/>
      <w:r>
        <w:rPr>
          <w:rFonts w:eastAsia="Calibri"/>
        </w:rPr>
        <w:t>, more people will be able to use these methods of ART to have children.</w:t>
      </w:r>
    </w:p>
    <w:p w14:paraId="5C747623" w14:textId="77777777" w:rsidR="00547D02" w:rsidRPr="002874AD" w:rsidRDefault="00547D02" w:rsidP="004D1D9B">
      <w:pPr>
        <w:pStyle w:val="Number"/>
        <w:rPr>
          <w:rFonts w:eastAsia="Calibri"/>
        </w:rPr>
      </w:pPr>
      <w:r w:rsidRPr="002874AD">
        <w:rPr>
          <w:rFonts w:eastAsia="Calibri"/>
        </w:rPr>
        <w:t>Also, mo</w:t>
      </w:r>
      <w:r>
        <w:rPr>
          <w:rFonts w:eastAsia="Calibri"/>
        </w:rPr>
        <w:t>re people</w:t>
      </w:r>
      <w:r w:rsidRPr="002874AD">
        <w:rPr>
          <w:rFonts w:eastAsia="Calibri"/>
        </w:rPr>
        <w:t xml:space="preserve"> who are willi</w:t>
      </w:r>
      <w:r>
        <w:rPr>
          <w:rFonts w:eastAsia="Calibri"/>
        </w:rPr>
        <w:t>ng to donate embryos or gametes</w:t>
      </w:r>
      <w:r w:rsidRPr="002874AD">
        <w:rPr>
          <w:rFonts w:eastAsia="Calibri"/>
        </w:rPr>
        <w:t xml:space="preserve"> will be able to do so</w:t>
      </w:r>
      <w:r>
        <w:rPr>
          <w:rFonts w:eastAsia="Calibri"/>
        </w:rPr>
        <w:t>. This includes couples who had embryos created for them using donated gametes</w:t>
      </w:r>
      <w:r w:rsidRPr="002874AD">
        <w:rPr>
          <w:rFonts w:eastAsia="Calibri"/>
        </w:rPr>
        <w:t>.</w:t>
      </w:r>
    </w:p>
    <w:p w14:paraId="7AE51618" w14:textId="77777777" w:rsidR="00547D02" w:rsidRPr="00041CB1" w:rsidRDefault="00547D02" w:rsidP="004D1D9B">
      <w:pPr>
        <w:pStyle w:val="Number"/>
        <w:rPr>
          <w:rFonts w:eastAsia="Calibri"/>
        </w:rPr>
      </w:pPr>
      <w:r w:rsidRPr="00041CB1">
        <w:rPr>
          <w:rFonts w:eastAsia="Calibri"/>
        </w:rPr>
        <w:t>In addition, rescinding the biological link policy may encourage some people, who are currently excluded from fertility treatment in New Zealand, to remain in this country for their treatment. Treatment in New Zealand, as noted in ACART</w:t>
      </w:r>
      <w:r w:rsidR="000A0B49">
        <w:rPr>
          <w:rFonts w:eastAsia="Calibri"/>
        </w:rPr>
        <w:t>’</w:t>
      </w:r>
      <w:r w:rsidRPr="00041CB1">
        <w:rPr>
          <w:rFonts w:eastAsia="Calibri"/>
        </w:rPr>
        <w:t>s 2015 Import/Export Advice, offers the following advantages.</w:t>
      </w:r>
    </w:p>
    <w:p w14:paraId="418DA0D0" w14:textId="77777777" w:rsidR="00547D02" w:rsidRPr="00386E8E" w:rsidRDefault="00547D02" w:rsidP="004D1D9B">
      <w:pPr>
        <w:pStyle w:val="Bullet"/>
      </w:pPr>
      <w:r w:rsidRPr="00386E8E">
        <w:t>The HART Act</w:t>
      </w:r>
      <w:r w:rsidR="000A0B49">
        <w:t>’</w:t>
      </w:r>
      <w:r w:rsidRPr="00386E8E">
        <w:t>s provisions protect intending parents and resulting children</w:t>
      </w:r>
      <w:r>
        <w:t xml:space="preserve"> (particularly in respect of identifiable genetic parentage through the HART register)</w:t>
      </w:r>
      <w:r w:rsidRPr="00386E8E">
        <w:t>.</w:t>
      </w:r>
    </w:p>
    <w:p w14:paraId="715F1C68" w14:textId="77777777" w:rsidR="00547D02" w:rsidRPr="00386E8E" w:rsidRDefault="00547D02" w:rsidP="004D1D9B">
      <w:pPr>
        <w:pStyle w:val="Bullet"/>
      </w:pPr>
      <w:r w:rsidRPr="00386E8E">
        <w:t>The intending parents can remain close to family and friend support networks.</w:t>
      </w:r>
    </w:p>
    <w:p w14:paraId="68D1C19B" w14:textId="77777777" w:rsidR="00547D02" w:rsidRDefault="00547D02" w:rsidP="004D1D9B">
      <w:pPr>
        <w:pStyle w:val="Bullet"/>
      </w:pPr>
      <w:r w:rsidRPr="00386E8E">
        <w:t>The intending parents do not incur overseas travel costs.</w:t>
      </w:r>
      <w:r w:rsidRPr="004D1D9B">
        <w:rPr>
          <w:rStyle w:val="FootnoteReference"/>
        </w:rPr>
        <w:footnoteReference w:id="12"/>
      </w:r>
    </w:p>
    <w:p w14:paraId="51FD5304" w14:textId="77777777" w:rsidR="00547D02" w:rsidRPr="00386E8E" w:rsidRDefault="00547D02" w:rsidP="004D1D9B"/>
    <w:p w14:paraId="7E669605" w14:textId="77777777" w:rsidR="00547D02" w:rsidRPr="007E6C57" w:rsidRDefault="00547D02" w:rsidP="004D1D9B">
      <w:pPr>
        <w:pStyle w:val="Heading3"/>
        <w:rPr>
          <w:rFonts w:eastAsia="Calibri"/>
        </w:rPr>
      </w:pPr>
      <w:r w:rsidRPr="007E6C57">
        <w:rPr>
          <w:rFonts w:eastAsia="Calibri"/>
        </w:rPr>
        <w:t>A procedure must be the best or</w:t>
      </w:r>
      <w:r>
        <w:rPr>
          <w:rFonts w:eastAsia="Calibri"/>
        </w:rPr>
        <w:t xml:space="preserve"> the</w:t>
      </w:r>
      <w:r w:rsidRPr="007E6C57">
        <w:rPr>
          <w:rFonts w:eastAsia="Calibri"/>
        </w:rPr>
        <w:t xml:space="preserve"> only opportunity for a person to have a child</w:t>
      </w:r>
    </w:p>
    <w:p w14:paraId="4096284A" w14:textId="77777777" w:rsidR="00547D02" w:rsidRDefault="00547D02" w:rsidP="004D1D9B">
      <w:pPr>
        <w:pStyle w:val="Number"/>
        <w:rPr>
          <w:rFonts w:eastAsia="Calibri"/>
        </w:rPr>
      </w:pPr>
      <w:bookmarkStart w:id="73" w:name="_Ref14199616"/>
      <w:r w:rsidRPr="003C2D26">
        <w:rPr>
          <w:rFonts w:eastAsia="Calibri"/>
        </w:rPr>
        <w:t xml:space="preserve">The new </w:t>
      </w:r>
      <w:r>
        <w:rPr>
          <w:rFonts w:eastAsia="Calibri"/>
        </w:rPr>
        <w:t xml:space="preserve">provision (with no mandatory biological link or medical need requirements) </w:t>
      </w:r>
      <w:r w:rsidRPr="003C2D26">
        <w:rPr>
          <w:rFonts w:eastAsia="Calibri"/>
        </w:rPr>
        <w:t>recognise</w:t>
      </w:r>
      <w:r>
        <w:rPr>
          <w:rFonts w:eastAsia="Calibri"/>
        </w:rPr>
        <w:t>s</w:t>
      </w:r>
      <w:r w:rsidRPr="003C2D26">
        <w:rPr>
          <w:rFonts w:eastAsia="Calibri"/>
        </w:rPr>
        <w:t xml:space="preserve"> that </w:t>
      </w:r>
      <w:r>
        <w:rPr>
          <w:rFonts w:eastAsia="Calibri"/>
        </w:rPr>
        <w:t>using</w:t>
      </w:r>
      <w:r w:rsidRPr="003C2D26">
        <w:rPr>
          <w:rFonts w:eastAsia="Calibri"/>
        </w:rPr>
        <w:t xml:space="preserve"> a </w:t>
      </w:r>
      <w:proofErr w:type="gramStart"/>
      <w:r w:rsidRPr="003C2D26">
        <w:rPr>
          <w:rFonts w:eastAsia="Calibri"/>
        </w:rPr>
        <w:t>particular procedure</w:t>
      </w:r>
      <w:proofErr w:type="gramEnd"/>
      <w:r w:rsidRPr="003C2D26">
        <w:rPr>
          <w:rFonts w:eastAsia="Calibri"/>
        </w:rPr>
        <w:t xml:space="preserve"> </w:t>
      </w:r>
      <w:r>
        <w:rPr>
          <w:rFonts w:eastAsia="Calibri"/>
        </w:rPr>
        <w:t>is</w:t>
      </w:r>
      <w:r w:rsidRPr="003C2D26">
        <w:rPr>
          <w:rFonts w:eastAsia="Calibri"/>
        </w:rPr>
        <w:t xml:space="preserve"> not always </w:t>
      </w:r>
      <w:r>
        <w:rPr>
          <w:rFonts w:eastAsia="Calibri"/>
        </w:rPr>
        <w:t xml:space="preserve">based on </w:t>
      </w:r>
      <w:r w:rsidRPr="003C2D26">
        <w:rPr>
          <w:rFonts w:eastAsia="Calibri"/>
        </w:rPr>
        <w:t xml:space="preserve">a medical need. </w:t>
      </w:r>
      <w:r>
        <w:rPr>
          <w:rFonts w:eastAsia="Calibri"/>
        </w:rPr>
        <w:t>The change brings consistency to the provisions</w:t>
      </w:r>
      <w:r w:rsidRPr="003C2D26">
        <w:rPr>
          <w:rFonts w:eastAsia="Calibri"/>
        </w:rPr>
        <w:t xml:space="preserve">. </w:t>
      </w:r>
      <w:r>
        <w:rPr>
          <w:rFonts w:eastAsia="Calibri"/>
        </w:rPr>
        <w:t xml:space="preserve">However, there are ethical matters and risks to manage so a provision is needed. For this reason, ACART has introduced </w:t>
      </w:r>
      <w:r w:rsidRPr="000506B8">
        <w:rPr>
          <w:rFonts w:eastAsia="Calibri"/>
        </w:rPr>
        <w:t>a requirement that a procedure is the</w:t>
      </w:r>
      <w:r w:rsidRPr="00E1577D">
        <w:rPr>
          <w:rFonts w:eastAsia="Calibri"/>
        </w:rPr>
        <w:t xml:space="preserve"> </w:t>
      </w:r>
      <w:r w:rsidR="000A0B49">
        <w:rPr>
          <w:rFonts w:eastAsia="Calibri"/>
        </w:rPr>
        <w:t>‘</w:t>
      </w:r>
      <w:r w:rsidRPr="00435528">
        <w:rPr>
          <w:rFonts w:eastAsia="Calibri"/>
        </w:rPr>
        <w:t>best or only opportunity</w:t>
      </w:r>
      <w:r w:rsidR="000A0B49">
        <w:rPr>
          <w:rFonts w:eastAsia="Calibri"/>
        </w:rPr>
        <w:t>’</w:t>
      </w:r>
      <w:r w:rsidRPr="000506B8">
        <w:rPr>
          <w:rFonts w:eastAsia="Calibri"/>
        </w:rPr>
        <w:t xml:space="preserve"> for the person to have a child</w:t>
      </w:r>
      <w:r>
        <w:rPr>
          <w:rFonts w:eastAsia="Calibri"/>
        </w:rPr>
        <w:t xml:space="preserve">. </w:t>
      </w:r>
      <w:r w:rsidRPr="00A216C0">
        <w:rPr>
          <w:rFonts w:eastAsia="Calibri"/>
        </w:rPr>
        <w:t>ECART must still be satisfied that the use of the procedures is justified</w:t>
      </w:r>
      <w:r>
        <w:rPr>
          <w:rFonts w:eastAsia="Calibri"/>
        </w:rPr>
        <w:t>, for example, by someone</w:t>
      </w:r>
      <w:r w:rsidR="000A0B49">
        <w:rPr>
          <w:rFonts w:eastAsia="Calibri"/>
        </w:rPr>
        <w:t>’</w:t>
      </w:r>
      <w:r>
        <w:rPr>
          <w:rFonts w:eastAsia="Calibri"/>
        </w:rPr>
        <w:t>s infertility and/or relationship status</w:t>
      </w:r>
      <w:r w:rsidRPr="00A216C0">
        <w:rPr>
          <w:rFonts w:eastAsia="Calibri"/>
        </w:rPr>
        <w:t>.</w:t>
      </w:r>
      <w:bookmarkEnd w:id="73"/>
    </w:p>
    <w:p w14:paraId="5B947D11" w14:textId="77777777" w:rsidR="00547D02" w:rsidRPr="00A216C0" w:rsidRDefault="00547D02" w:rsidP="004D1D9B">
      <w:pPr>
        <w:rPr>
          <w:rFonts w:eastAsia="Calibri"/>
        </w:rPr>
      </w:pPr>
    </w:p>
    <w:p w14:paraId="6A8EDB60" w14:textId="77777777" w:rsidR="00547D02" w:rsidRPr="00E1223E" w:rsidRDefault="00547D02" w:rsidP="004D1D9B">
      <w:pPr>
        <w:pStyle w:val="Heading3"/>
        <w:rPr>
          <w:rFonts w:eastAsia="Calibri"/>
        </w:rPr>
      </w:pPr>
      <w:r w:rsidRPr="007572BB">
        <w:rPr>
          <w:rFonts w:eastAsia="Calibri"/>
        </w:rPr>
        <w:t>Risks</w:t>
      </w:r>
      <w:bookmarkEnd w:id="64"/>
      <w:bookmarkEnd w:id="65"/>
      <w:bookmarkEnd w:id="66"/>
      <w:bookmarkEnd w:id="67"/>
      <w:bookmarkEnd w:id="68"/>
      <w:bookmarkEnd w:id="69"/>
      <w:bookmarkEnd w:id="70"/>
      <w:bookmarkEnd w:id="71"/>
      <w:bookmarkEnd w:id="72"/>
      <w:r w:rsidRPr="007572BB">
        <w:rPr>
          <w:rFonts w:eastAsia="Calibri"/>
        </w:rPr>
        <w:t xml:space="preserve"> of the changes</w:t>
      </w:r>
    </w:p>
    <w:p w14:paraId="0582E8CA" w14:textId="77777777" w:rsidR="00547D02" w:rsidRPr="00584824" w:rsidRDefault="00547D02" w:rsidP="004D1D9B">
      <w:pPr>
        <w:pStyle w:val="Number"/>
        <w:rPr>
          <w:rFonts w:eastAsia="Calibri"/>
        </w:rPr>
      </w:pPr>
      <w:bookmarkStart w:id="74" w:name="_Toc192693828"/>
      <w:bookmarkStart w:id="75" w:name="_Toc435101449"/>
      <w:bookmarkStart w:id="76" w:name="_Toc441843397"/>
      <w:r w:rsidRPr="00E1223E">
        <w:rPr>
          <w:rFonts w:eastAsia="Calibri"/>
        </w:rPr>
        <w:t xml:space="preserve">Allowing procedures that </w:t>
      </w:r>
      <w:r>
        <w:rPr>
          <w:rFonts w:eastAsia="Calibri"/>
        </w:rPr>
        <w:t>result in</w:t>
      </w:r>
      <w:r w:rsidRPr="00E1223E">
        <w:rPr>
          <w:rFonts w:eastAsia="Calibri"/>
        </w:rPr>
        <w:t xml:space="preserve"> no genetic or gestational link between the intending parents and offspring will increase the ethical complexity and introduce legal complexity, </w:t>
      </w:r>
      <w:proofErr w:type="gramStart"/>
      <w:r w:rsidRPr="00E1223E">
        <w:rPr>
          <w:rFonts w:eastAsia="Calibri"/>
        </w:rPr>
        <w:t>in particular in</w:t>
      </w:r>
      <w:proofErr w:type="gramEnd"/>
      <w:r w:rsidRPr="00E1223E">
        <w:rPr>
          <w:rFonts w:eastAsia="Calibri"/>
        </w:rPr>
        <w:t xml:space="preserve"> cases using surrogacy.</w:t>
      </w:r>
      <w:r>
        <w:rPr>
          <w:rFonts w:eastAsia="Calibri"/>
        </w:rPr>
        <w:t xml:space="preserve"> </w:t>
      </w:r>
      <w:r w:rsidRPr="00584824">
        <w:rPr>
          <w:rFonts w:eastAsia="Calibri"/>
        </w:rPr>
        <w:t>Such procedures will also increase the number and complexity of relationships for all parties involved and any resulting children.</w:t>
      </w:r>
    </w:p>
    <w:p w14:paraId="0A294AFA" w14:textId="77777777" w:rsidR="00547D02" w:rsidRDefault="00547D02" w:rsidP="004D1D9B">
      <w:pPr>
        <w:pStyle w:val="Number"/>
        <w:keepNext/>
        <w:keepLines/>
        <w:rPr>
          <w:rFonts w:eastAsia="Calibri"/>
        </w:rPr>
      </w:pPr>
      <w:r>
        <w:rPr>
          <w:rFonts w:eastAsia="Calibri"/>
        </w:rPr>
        <w:lastRenderedPageBreak/>
        <w:t>People might choose not to donate sperm or eggs if they have reservations about the new possibilities for donation, re-donation or on-donation. However, donors have the right to place restrictions on the subsequent use of embryos created from their gametes.</w:t>
      </w:r>
    </w:p>
    <w:p w14:paraId="6D2E1822" w14:textId="77777777" w:rsidR="00547D02" w:rsidRPr="00E1223E" w:rsidRDefault="00547D02" w:rsidP="004D1D9B">
      <w:pPr>
        <w:pStyle w:val="Number"/>
        <w:rPr>
          <w:rFonts w:eastAsia="Calibri"/>
        </w:rPr>
      </w:pPr>
      <w:r>
        <w:rPr>
          <w:rFonts w:eastAsia="Calibri"/>
        </w:rPr>
        <w:t>Although t</w:t>
      </w:r>
      <w:r w:rsidRPr="00E1223E">
        <w:rPr>
          <w:rFonts w:eastAsia="Calibri"/>
        </w:rPr>
        <w:t xml:space="preserve">he HART Act prohibits valuable consideration </w:t>
      </w:r>
      <w:r w:rsidRPr="00F34E16">
        <w:rPr>
          <w:rFonts w:eastAsia="Calibri"/>
        </w:rPr>
        <w:t>(</w:t>
      </w:r>
      <w:proofErr w:type="spellStart"/>
      <w:r w:rsidRPr="00F34E16">
        <w:rPr>
          <w:rFonts w:eastAsia="Calibri"/>
        </w:rPr>
        <w:t>eg</w:t>
      </w:r>
      <w:proofErr w:type="spellEnd"/>
      <w:r>
        <w:rPr>
          <w:rFonts w:eastAsia="Calibri"/>
        </w:rPr>
        <w:t>,</w:t>
      </w:r>
      <w:r w:rsidRPr="00F34E16">
        <w:rPr>
          <w:rFonts w:eastAsia="Calibri"/>
        </w:rPr>
        <w:t xml:space="preserve"> payment) </w:t>
      </w:r>
      <w:r w:rsidRPr="00E1223E">
        <w:rPr>
          <w:rFonts w:eastAsia="Calibri"/>
        </w:rPr>
        <w:t>for surrogates and gamete donors</w:t>
      </w:r>
      <w:r>
        <w:rPr>
          <w:rFonts w:eastAsia="Calibri"/>
        </w:rPr>
        <w:t>,</w:t>
      </w:r>
      <w:r w:rsidRPr="00E1223E">
        <w:rPr>
          <w:rFonts w:eastAsia="Calibri"/>
        </w:rPr>
        <w:t xml:space="preserve"> </w:t>
      </w:r>
      <w:r>
        <w:rPr>
          <w:rFonts w:eastAsia="Calibri"/>
        </w:rPr>
        <w:t>even</w:t>
      </w:r>
      <w:r w:rsidRPr="00E1223E">
        <w:rPr>
          <w:rFonts w:eastAsia="Calibri"/>
        </w:rPr>
        <w:t xml:space="preserve"> without valuable consideration</w:t>
      </w:r>
      <w:r>
        <w:rPr>
          <w:rFonts w:eastAsia="Calibri"/>
        </w:rPr>
        <w:t xml:space="preserve"> t</w:t>
      </w:r>
      <w:r w:rsidRPr="00E1223E">
        <w:rPr>
          <w:rFonts w:eastAsia="Calibri"/>
        </w:rPr>
        <w:t>here is a risk that children could be seen</w:t>
      </w:r>
      <w:r>
        <w:rPr>
          <w:rFonts w:eastAsia="Calibri"/>
        </w:rPr>
        <w:t xml:space="preserve"> or </w:t>
      </w:r>
      <w:r w:rsidRPr="00E1223E">
        <w:rPr>
          <w:rFonts w:eastAsia="Calibri"/>
        </w:rPr>
        <w:t>treated as commodities to be created from eggs, sperm and a uterus outside the context of an ongoing relationship between parties.</w:t>
      </w:r>
      <w:r w:rsidRPr="004D1D9B">
        <w:rPr>
          <w:rStyle w:val="FootnoteReference"/>
          <w:rFonts w:eastAsia="Calibri"/>
        </w:rPr>
        <w:footnoteReference w:id="13"/>
      </w:r>
    </w:p>
    <w:p w14:paraId="1C60BCDA" w14:textId="77777777" w:rsidR="00547D02" w:rsidRDefault="00547D02" w:rsidP="004D1D9B">
      <w:pPr>
        <w:pStyle w:val="Number"/>
        <w:rPr>
          <w:rFonts w:eastAsia="Calibri"/>
        </w:rPr>
      </w:pPr>
      <w:bookmarkStart w:id="77" w:name="_Ref73445182"/>
      <w:r w:rsidRPr="00E96EB8">
        <w:rPr>
          <w:rFonts w:eastAsia="Calibri"/>
        </w:rPr>
        <w:t xml:space="preserve">A growing number of children are being born through the donation of gametes </w:t>
      </w:r>
      <w:r>
        <w:rPr>
          <w:rFonts w:eastAsia="Calibri"/>
        </w:rPr>
        <w:t>or embryos, or surrogacy</w:t>
      </w:r>
      <w:r w:rsidRPr="00E96EB8">
        <w:rPr>
          <w:rFonts w:eastAsia="Calibri"/>
        </w:rPr>
        <w:t xml:space="preserve">, thus creating families in which the children lack a gestational and/or genetic relationship with one or both parents. Although less is known about non-traditional families formed through reproductive donation than about traditional families, </w:t>
      </w:r>
      <w:r>
        <w:rPr>
          <w:rFonts w:eastAsia="Calibri"/>
        </w:rPr>
        <w:t>research suggests</w:t>
      </w:r>
      <w:r w:rsidRPr="00E96EB8">
        <w:rPr>
          <w:rFonts w:eastAsia="Calibri"/>
        </w:rPr>
        <w:t xml:space="preserve"> these new family types </w:t>
      </w:r>
      <w:r>
        <w:rPr>
          <w:rFonts w:eastAsia="Calibri"/>
        </w:rPr>
        <w:t>may</w:t>
      </w:r>
      <w:r w:rsidRPr="00E96EB8">
        <w:rPr>
          <w:rFonts w:eastAsia="Calibri"/>
        </w:rPr>
        <w:t xml:space="preserve"> not </w:t>
      </w:r>
      <w:r>
        <w:rPr>
          <w:rFonts w:eastAsia="Calibri"/>
        </w:rPr>
        <w:t xml:space="preserve">be </w:t>
      </w:r>
      <w:r w:rsidRPr="00E96EB8">
        <w:rPr>
          <w:rFonts w:eastAsia="Calibri"/>
        </w:rPr>
        <w:t xml:space="preserve">at </w:t>
      </w:r>
      <w:r>
        <w:rPr>
          <w:rFonts w:eastAsia="Calibri"/>
        </w:rPr>
        <w:t>sufficiently</w:t>
      </w:r>
      <w:r w:rsidRPr="00E96EB8">
        <w:rPr>
          <w:rFonts w:eastAsia="Calibri"/>
        </w:rPr>
        <w:t xml:space="preserve"> greater risk of parenting or child-adjustment problems than the traditional family make-up</w:t>
      </w:r>
      <w:r>
        <w:rPr>
          <w:rFonts w:eastAsia="Calibri"/>
        </w:rPr>
        <w:t xml:space="preserve"> to justify discrimination</w:t>
      </w:r>
      <w:r w:rsidRPr="00E96EB8">
        <w:rPr>
          <w:rFonts w:eastAsia="Calibri"/>
        </w:rPr>
        <w:t>.</w:t>
      </w:r>
      <w:r w:rsidRPr="004D1D9B">
        <w:rPr>
          <w:rStyle w:val="FootnoteReference"/>
          <w:rFonts w:eastAsia="Calibri"/>
        </w:rPr>
        <w:footnoteReference w:id="14"/>
      </w:r>
      <w:r w:rsidRPr="006B4C20">
        <w:rPr>
          <w:rFonts w:eastAsia="Calibri"/>
          <w:vertAlign w:val="superscript"/>
        </w:rPr>
        <w:t>,</w:t>
      </w:r>
      <w:r w:rsidRPr="004D1D9B">
        <w:rPr>
          <w:rStyle w:val="FootnoteReference"/>
          <w:rFonts w:eastAsia="Calibri"/>
        </w:rPr>
        <w:footnoteReference w:id="15"/>
      </w:r>
      <w:bookmarkEnd w:id="77"/>
    </w:p>
    <w:p w14:paraId="4639AB45" w14:textId="65D21374" w:rsidR="00547D02" w:rsidRDefault="00547D02" w:rsidP="004D1D9B">
      <w:pPr>
        <w:pStyle w:val="Number"/>
        <w:rPr>
          <w:rFonts w:eastAsia="Calibri"/>
        </w:rPr>
      </w:pPr>
      <w:r w:rsidRPr="006F16B7">
        <w:rPr>
          <w:rFonts w:eastAsia="Calibri"/>
        </w:rPr>
        <w:t xml:space="preserve">For these reasons, ECART must be satisfied that any application that does not include a genetic or gestational link is justified. </w:t>
      </w:r>
      <w:r>
        <w:rPr>
          <w:rFonts w:eastAsia="Calibri"/>
        </w:rPr>
        <w:t>For a</w:t>
      </w:r>
      <w:r w:rsidRPr="006F16B7">
        <w:rPr>
          <w:rFonts w:eastAsia="Calibri"/>
        </w:rPr>
        <w:t xml:space="preserve"> discuss</w:t>
      </w:r>
      <w:r>
        <w:rPr>
          <w:rFonts w:eastAsia="Calibri"/>
        </w:rPr>
        <w:t>ion of</w:t>
      </w:r>
      <w:r w:rsidRPr="006F16B7">
        <w:rPr>
          <w:rFonts w:eastAsia="Calibri"/>
        </w:rPr>
        <w:t xml:space="preserve"> the issue of justification to use a procedure</w:t>
      </w:r>
      <w:r>
        <w:rPr>
          <w:rFonts w:eastAsia="Calibri"/>
        </w:rPr>
        <w:t>, see</w:t>
      </w:r>
      <w:r w:rsidRPr="006F16B7">
        <w:rPr>
          <w:rFonts w:eastAsia="Calibri"/>
        </w:rPr>
        <w:t xml:space="preserve"> </w:t>
      </w:r>
      <w:r w:rsidRPr="00027201">
        <w:rPr>
          <w:rFonts w:eastAsia="Calibri"/>
        </w:rPr>
        <w:t xml:space="preserve">paragraph </w:t>
      </w:r>
      <w:r w:rsidRPr="00027201">
        <w:rPr>
          <w:rFonts w:eastAsia="Calibri"/>
        </w:rPr>
        <w:fldChar w:fldCharType="begin"/>
      </w:r>
      <w:r w:rsidRPr="00027201">
        <w:rPr>
          <w:rFonts w:eastAsia="Calibri"/>
        </w:rPr>
        <w:instrText xml:space="preserve"> REF _Ref14199616 \r \h  \* MERGEFORMAT </w:instrText>
      </w:r>
      <w:r w:rsidRPr="00027201">
        <w:rPr>
          <w:rFonts w:eastAsia="Calibri"/>
        </w:rPr>
      </w:r>
      <w:r w:rsidRPr="00027201">
        <w:rPr>
          <w:rFonts w:eastAsia="Calibri"/>
        </w:rPr>
        <w:fldChar w:fldCharType="separate"/>
      </w:r>
      <w:r w:rsidR="0093156E">
        <w:rPr>
          <w:rFonts w:eastAsia="Calibri"/>
        </w:rPr>
        <w:t>72</w:t>
      </w:r>
      <w:r w:rsidRPr="00027201">
        <w:rPr>
          <w:rFonts w:eastAsia="Calibri"/>
        </w:rPr>
        <w:fldChar w:fldCharType="end"/>
      </w:r>
      <w:r w:rsidRPr="00027201">
        <w:rPr>
          <w:rFonts w:eastAsia="Calibri"/>
        </w:rPr>
        <w:t>.</w:t>
      </w:r>
    </w:p>
    <w:p w14:paraId="2D6C5920" w14:textId="77777777" w:rsidR="00547D02" w:rsidRPr="006F16B7" w:rsidRDefault="00547D02" w:rsidP="004D1D9B">
      <w:pPr>
        <w:rPr>
          <w:rFonts w:eastAsia="Calibri"/>
        </w:rPr>
      </w:pPr>
    </w:p>
    <w:bookmarkEnd w:id="74"/>
    <w:bookmarkEnd w:id="75"/>
    <w:bookmarkEnd w:id="76"/>
    <w:p w14:paraId="30A3D90C" w14:textId="77777777" w:rsidR="00547D02" w:rsidRPr="00BB0920" w:rsidRDefault="00547D02" w:rsidP="000B1E32">
      <w:pPr>
        <w:pStyle w:val="Heading3"/>
        <w:rPr>
          <w:rFonts w:eastAsia="Calibri"/>
        </w:rPr>
      </w:pPr>
      <w:r w:rsidRPr="00BB0920">
        <w:rPr>
          <w:rFonts w:eastAsia="Calibri"/>
        </w:rPr>
        <w:t>Risk acceptability and management</w:t>
      </w:r>
    </w:p>
    <w:p w14:paraId="18CA7296" w14:textId="77777777" w:rsidR="00547D02" w:rsidRDefault="00547D02" w:rsidP="000B1E32">
      <w:pPr>
        <w:pStyle w:val="Number"/>
        <w:rPr>
          <w:rFonts w:eastAsia="Calibri"/>
        </w:rPr>
      </w:pPr>
      <w:bookmarkStart w:id="78" w:name="_Toc435101455"/>
      <w:bookmarkStart w:id="79" w:name="_Toc441843403"/>
      <w:r>
        <w:rPr>
          <w:rFonts w:eastAsia="Calibri"/>
        </w:rPr>
        <w:t>ACART</w:t>
      </w:r>
      <w:r w:rsidR="000A0B49">
        <w:rPr>
          <w:rFonts w:eastAsia="Calibri"/>
        </w:rPr>
        <w:t>’</w:t>
      </w:r>
      <w:r>
        <w:rPr>
          <w:rFonts w:eastAsia="Calibri"/>
        </w:rPr>
        <w:t>s view is that mechanisms are available to mitigate the risks associated with allowing children to be born with no genetic or biological link to an intending parent. These mitigations include the stringent counselling and c</w:t>
      </w:r>
      <w:r w:rsidRPr="00E96EB8">
        <w:rPr>
          <w:rFonts w:eastAsia="Calibri"/>
        </w:rPr>
        <w:t>onsent</w:t>
      </w:r>
      <w:r>
        <w:rPr>
          <w:rFonts w:eastAsia="Calibri"/>
        </w:rPr>
        <w:t xml:space="preserve">ing processes that must be followed (for a detailed discussion of consent provisions, see </w:t>
      </w:r>
      <w:r w:rsidRPr="00CA1526">
        <w:rPr>
          <w:rFonts w:eastAsia="Calibri"/>
        </w:rPr>
        <w:t>Change 3</w:t>
      </w:r>
      <w:r>
        <w:rPr>
          <w:rFonts w:eastAsia="Calibri"/>
        </w:rPr>
        <w:t xml:space="preserve">). </w:t>
      </w:r>
      <w:r w:rsidRPr="001D0BED">
        <w:rPr>
          <w:rFonts w:eastAsia="Calibri"/>
        </w:rPr>
        <w:t>The HART Act requires that no assisted reproductive procedure be performed on an individual unless the individual has made an informed cho</w:t>
      </w:r>
      <w:r>
        <w:rPr>
          <w:rFonts w:eastAsia="Calibri"/>
        </w:rPr>
        <w:t>ice and given informed consent – by including clear and strong consent requirements, the guidelines meet that principle.</w:t>
      </w:r>
    </w:p>
    <w:p w14:paraId="299A9413" w14:textId="77777777" w:rsidR="00547D02" w:rsidRDefault="00547D02" w:rsidP="000B1E32">
      <w:pPr>
        <w:pStyle w:val="Number"/>
        <w:rPr>
          <w:rFonts w:eastAsia="Calibri"/>
        </w:rPr>
      </w:pPr>
      <w:r>
        <w:rPr>
          <w:rFonts w:eastAsia="Calibri"/>
        </w:rPr>
        <w:t xml:space="preserve">New Zealand law also requires that offspring </w:t>
      </w:r>
      <w:proofErr w:type="gramStart"/>
      <w:r>
        <w:rPr>
          <w:rFonts w:eastAsia="Calibri"/>
        </w:rPr>
        <w:t>are able to</w:t>
      </w:r>
      <w:proofErr w:type="gramEnd"/>
      <w:r>
        <w:rPr>
          <w:rFonts w:eastAsia="Calibri"/>
        </w:rPr>
        <w:t xml:space="preserve"> learn about their genetic origins.</w:t>
      </w:r>
    </w:p>
    <w:p w14:paraId="2A2F5D7E" w14:textId="77777777" w:rsidR="00547D02" w:rsidRDefault="00547D02" w:rsidP="000B1E32">
      <w:pPr>
        <w:pStyle w:val="Number"/>
        <w:keepNext/>
        <w:rPr>
          <w:rFonts w:eastAsia="Calibri"/>
        </w:rPr>
      </w:pPr>
      <w:r>
        <w:rPr>
          <w:rFonts w:eastAsia="Calibri"/>
        </w:rPr>
        <w:lastRenderedPageBreak/>
        <w:t>Further, ACART notes that several other jurisdictions allow children to be born with no genetic or biological link to an intending parent and that these jurisdictions also believe risks can be managed.</w:t>
      </w:r>
    </w:p>
    <w:p w14:paraId="76227446" w14:textId="77777777" w:rsidR="00547D02" w:rsidRDefault="00547D02" w:rsidP="000B1E32">
      <w:pPr>
        <w:pStyle w:val="Number"/>
        <w:rPr>
          <w:rFonts w:eastAsia="Calibri"/>
        </w:rPr>
      </w:pPr>
      <w:r>
        <w:rPr>
          <w:rFonts w:eastAsia="Calibri"/>
        </w:rPr>
        <w:t xml:space="preserve">Also, fertility treatment generally, and some of the procedures that will be enabled by this change, are becoming gradually accepted as </w:t>
      </w:r>
      <w:r w:rsidRPr="001D0BED">
        <w:rPr>
          <w:rFonts w:eastAsia="Calibri"/>
        </w:rPr>
        <w:t>valid method</w:t>
      </w:r>
      <w:r>
        <w:rPr>
          <w:rFonts w:eastAsia="Calibri"/>
        </w:rPr>
        <w:t>s</w:t>
      </w:r>
      <w:r w:rsidRPr="001D0BED">
        <w:rPr>
          <w:rFonts w:eastAsia="Calibri"/>
        </w:rPr>
        <w:t xml:space="preserve"> for </w:t>
      </w:r>
      <w:r>
        <w:rPr>
          <w:rFonts w:eastAsia="Calibri"/>
        </w:rPr>
        <w:t>people to become parents as the technology has evolved and social norms have changed.</w:t>
      </w:r>
    </w:p>
    <w:p w14:paraId="22D3A8E7" w14:textId="77777777" w:rsidR="00547D02" w:rsidRDefault="00547D02" w:rsidP="000B1E32">
      <w:pPr>
        <w:pStyle w:val="Number"/>
        <w:rPr>
          <w:rFonts w:eastAsia="Calibri"/>
        </w:rPr>
      </w:pPr>
      <w:r w:rsidRPr="00043404">
        <w:rPr>
          <w:rFonts w:eastAsia="Calibri"/>
        </w:rPr>
        <w:t xml:space="preserve">Although people generally prefer to have a close biological link to their children, the new guidelines will enable people to have children to whom they have no genetic link. Given that this is the only or </w:t>
      </w:r>
      <w:r>
        <w:rPr>
          <w:rFonts w:eastAsia="Calibri"/>
        </w:rPr>
        <w:t xml:space="preserve">the </w:t>
      </w:r>
      <w:r w:rsidRPr="00043404">
        <w:rPr>
          <w:rFonts w:eastAsia="Calibri"/>
        </w:rPr>
        <w:t>best option for some intending parents, it is likely that ECART will receive more applications. The ex</w:t>
      </w:r>
      <w:r>
        <w:rPr>
          <w:rFonts w:eastAsia="Calibri"/>
        </w:rPr>
        <w:t>tent</w:t>
      </w:r>
      <w:r w:rsidRPr="00043404">
        <w:rPr>
          <w:rFonts w:eastAsia="Calibri"/>
        </w:rPr>
        <w:t xml:space="preserve"> of </w:t>
      </w:r>
      <w:r>
        <w:rPr>
          <w:rFonts w:eastAsia="Calibri"/>
        </w:rPr>
        <w:t>the increase in</w:t>
      </w:r>
      <w:r w:rsidRPr="00043404">
        <w:rPr>
          <w:rFonts w:eastAsia="Calibri"/>
        </w:rPr>
        <w:t xml:space="preserve"> applications is difficult to estimate.</w:t>
      </w:r>
    </w:p>
    <w:p w14:paraId="2D0368FB" w14:textId="77777777" w:rsidR="00547D02" w:rsidRPr="00043404" w:rsidRDefault="00547D02" w:rsidP="000B1E32">
      <w:pPr>
        <w:rPr>
          <w:rFonts w:eastAsia="Calibri"/>
        </w:rPr>
      </w:pPr>
    </w:p>
    <w:bookmarkEnd w:id="78"/>
    <w:bookmarkEnd w:id="79"/>
    <w:p w14:paraId="76DF2E76" w14:textId="77777777" w:rsidR="00547D02" w:rsidRPr="00705C89" w:rsidRDefault="00547D02" w:rsidP="000B1E32">
      <w:pPr>
        <w:pStyle w:val="Heading3"/>
        <w:rPr>
          <w:rFonts w:eastAsia="Calibri"/>
        </w:rPr>
      </w:pPr>
      <w:r w:rsidRPr="00705C89">
        <w:rPr>
          <w:rFonts w:eastAsia="Calibri"/>
        </w:rPr>
        <w:t>Submi</w:t>
      </w:r>
      <w:r>
        <w:rPr>
          <w:rFonts w:eastAsia="Calibri"/>
        </w:rPr>
        <w:t>tters</w:t>
      </w:r>
      <w:r w:rsidR="000A0B49">
        <w:rPr>
          <w:rFonts w:eastAsia="Calibri"/>
        </w:rPr>
        <w:t>’</w:t>
      </w:r>
      <w:r>
        <w:rPr>
          <w:rFonts w:eastAsia="Calibri"/>
        </w:rPr>
        <w:t xml:space="preserve"> views</w:t>
      </w:r>
      <w:r w:rsidRPr="00705C89">
        <w:rPr>
          <w:rFonts w:eastAsia="Calibri"/>
        </w:rPr>
        <w:t xml:space="preserve"> and ACART</w:t>
      </w:r>
      <w:r w:rsidR="000A0B49">
        <w:rPr>
          <w:rFonts w:eastAsia="Calibri"/>
        </w:rPr>
        <w:t>’</w:t>
      </w:r>
      <w:r w:rsidRPr="00705C89">
        <w:rPr>
          <w:rFonts w:eastAsia="Calibri"/>
        </w:rPr>
        <w:t>s assessment of them</w:t>
      </w:r>
    </w:p>
    <w:p w14:paraId="6B06576E" w14:textId="77777777" w:rsidR="00547D02" w:rsidRDefault="00547D02" w:rsidP="000B1E32">
      <w:pPr>
        <w:pStyle w:val="Number"/>
        <w:rPr>
          <w:rFonts w:eastAsia="Calibri"/>
        </w:rPr>
      </w:pPr>
      <w:r w:rsidRPr="00EA481D">
        <w:rPr>
          <w:rFonts w:eastAsia="Calibri"/>
        </w:rPr>
        <w:t xml:space="preserve">Submitters were evenly divided on </w:t>
      </w:r>
      <w:r>
        <w:rPr>
          <w:rFonts w:eastAsia="Calibri"/>
        </w:rPr>
        <w:t>the proposal. Those supporting the change stated that more people would be able to use fertility services and that social norms have changed to the extent that</w:t>
      </w:r>
      <w:r w:rsidRPr="00A76452">
        <w:rPr>
          <w:rFonts w:eastAsia="Calibri"/>
        </w:rPr>
        <w:t xml:space="preserve"> </w:t>
      </w:r>
      <w:r>
        <w:rPr>
          <w:rFonts w:eastAsia="Calibri"/>
        </w:rPr>
        <w:t>many people would consider it acceptable to allow such procedures. These submitters noted that, for the most part, people will still choose to have a biological link if possible.</w:t>
      </w:r>
    </w:p>
    <w:p w14:paraId="6D550CD2" w14:textId="77777777" w:rsidR="00547D02" w:rsidRDefault="00547D02" w:rsidP="000B1E32">
      <w:pPr>
        <w:pStyle w:val="Number"/>
        <w:rPr>
          <w:rFonts w:eastAsia="Calibri"/>
        </w:rPr>
      </w:pPr>
      <w:r>
        <w:rPr>
          <w:rFonts w:eastAsia="Calibri"/>
        </w:rPr>
        <w:t xml:space="preserve">Conversely, those opposing the change were concerned about the welfare of the </w:t>
      </w:r>
      <w:proofErr w:type="gramStart"/>
      <w:r>
        <w:rPr>
          <w:rFonts w:eastAsia="Calibri"/>
        </w:rPr>
        <w:t>children in particular, as</w:t>
      </w:r>
      <w:proofErr w:type="gramEnd"/>
      <w:r>
        <w:rPr>
          <w:rFonts w:eastAsia="Calibri"/>
        </w:rPr>
        <w:t xml:space="preserve"> they could have several </w:t>
      </w:r>
      <w:r w:rsidR="000A0B49">
        <w:rPr>
          <w:rFonts w:eastAsia="Calibri"/>
        </w:rPr>
        <w:t>‘</w:t>
      </w:r>
      <w:r>
        <w:rPr>
          <w:rFonts w:eastAsia="Calibri"/>
        </w:rPr>
        <w:t>parents</w:t>
      </w:r>
      <w:r w:rsidR="000A0B49">
        <w:rPr>
          <w:rFonts w:eastAsia="Calibri"/>
        </w:rPr>
        <w:t>’</w:t>
      </w:r>
      <w:r>
        <w:rPr>
          <w:rFonts w:eastAsia="Calibri"/>
        </w:rPr>
        <w:t xml:space="preserve"> and be uncertain about their identity. They emphasised that it is essential that children </w:t>
      </w:r>
      <w:proofErr w:type="gramStart"/>
      <w:r>
        <w:rPr>
          <w:rFonts w:eastAsia="Calibri"/>
        </w:rPr>
        <w:t>are able to</w:t>
      </w:r>
      <w:proofErr w:type="gramEnd"/>
      <w:r>
        <w:rPr>
          <w:rFonts w:eastAsia="Calibri"/>
        </w:rPr>
        <w:t xml:space="preserve"> learn their biological origins and that the proposed changes put that at risk.</w:t>
      </w:r>
    </w:p>
    <w:p w14:paraId="72D9C9D9" w14:textId="77777777" w:rsidR="00547D02" w:rsidRDefault="00547D02" w:rsidP="000B1E32">
      <w:pPr>
        <w:rPr>
          <w:rFonts w:eastAsia="Calibri"/>
        </w:rPr>
      </w:pPr>
    </w:p>
    <w:p w14:paraId="282189E3" w14:textId="77777777" w:rsidR="00547D02" w:rsidRPr="00705C89" w:rsidRDefault="00547D02" w:rsidP="000B1E32">
      <w:pPr>
        <w:pStyle w:val="Heading3"/>
        <w:rPr>
          <w:rFonts w:eastAsia="Calibri"/>
        </w:rPr>
      </w:pPr>
      <w:bookmarkStart w:id="80" w:name="_Toc431815890"/>
      <w:bookmarkStart w:id="81" w:name="_Toc435101467"/>
      <w:bookmarkStart w:id="82" w:name="_Toc441843415"/>
      <w:bookmarkStart w:id="83" w:name="_Toc448924852"/>
      <w:bookmarkStart w:id="84" w:name="_Toc431818852"/>
      <w:r>
        <w:rPr>
          <w:rFonts w:eastAsia="Calibri"/>
        </w:rPr>
        <w:t>P</w:t>
      </w:r>
      <w:r w:rsidRPr="00705C89">
        <w:rPr>
          <w:rFonts w:eastAsia="Calibri"/>
        </w:rPr>
        <w:t>rinciples from ACART</w:t>
      </w:r>
      <w:r w:rsidR="000A0B49">
        <w:rPr>
          <w:rFonts w:eastAsia="Calibri"/>
        </w:rPr>
        <w:t>’</w:t>
      </w:r>
      <w:r w:rsidRPr="00705C89">
        <w:rPr>
          <w:rFonts w:eastAsia="Calibri"/>
        </w:rPr>
        <w:t>s ethical framework</w:t>
      </w:r>
      <w:bookmarkEnd w:id="80"/>
      <w:bookmarkEnd w:id="81"/>
      <w:bookmarkEnd w:id="82"/>
      <w:bookmarkEnd w:id="83"/>
    </w:p>
    <w:p w14:paraId="29B38D47" w14:textId="77777777" w:rsidR="00547D02" w:rsidRDefault="00547D02" w:rsidP="000B1E32">
      <w:pPr>
        <w:pStyle w:val="Number"/>
        <w:rPr>
          <w:rFonts w:eastAsia="Calibri"/>
        </w:rPr>
      </w:pPr>
      <w:r w:rsidRPr="00513EF2">
        <w:rPr>
          <w:rFonts w:eastAsia="Calibri"/>
        </w:rPr>
        <w:t>ACART</w:t>
      </w:r>
      <w:r w:rsidR="000A0B49">
        <w:rPr>
          <w:rFonts w:eastAsia="Calibri"/>
        </w:rPr>
        <w:t>’</w:t>
      </w:r>
      <w:r w:rsidRPr="00513EF2">
        <w:rPr>
          <w:rFonts w:eastAsia="Calibri"/>
        </w:rPr>
        <w:t>s ethical analysis is guided by the principles of the HART Act.</w:t>
      </w:r>
      <w:r w:rsidRPr="000B1E32">
        <w:rPr>
          <w:rStyle w:val="FootnoteReference"/>
          <w:rFonts w:eastAsia="Calibri"/>
        </w:rPr>
        <w:footnoteReference w:id="16"/>
      </w:r>
      <w:r>
        <w:rPr>
          <w:rFonts w:eastAsia="Calibri"/>
        </w:rPr>
        <w:t xml:space="preserve"> </w:t>
      </w:r>
      <w:r w:rsidRPr="00513EF2">
        <w:rPr>
          <w:rFonts w:eastAsia="Calibri"/>
        </w:rPr>
        <w:t>Overall, ACART has not identified any ethical issues that could not be managed through the ECART process, in counselling or between the parties to a procedure.</w:t>
      </w:r>
    </w:p>
    <w:p w14:paraId="683F9F07" w14:textId="77777777" w:rsidR="00547D02" w:rsidRPr="00DE551E" w:rsidRDefault="00547D02" w:rsidP="000B1E32">
      <w:pPr>
        <w:rPr>
          <w:rFonts w:eastAsia="Calibri"/>
        </w:rPr>
      </w:pPr>
    </w:p>
    <w:p w14:paraId="6BC4BF42" w14:textId="77777777" w:rsidR="00547D02" w:rsidRDefault="00547D02" w:rsidP="000B1E32">
      <w:pPr>
        <w:pStyle w:val="Heading3"/>
      </w:pPr>
      <w:bookmarkStart w:id="85" w:name="_Toc431818857"/>
      <w:bookmarkStart w:id="86" w:name="_Toc441843414"/>
      <w:bookmarkStart w:id="87" w:name="_Toc435101466"/>
      <w:bookmarkEnd w:id="84"/>
      <w:r w:rsidRPr="003B5D72">
        <w:t>Respect for the needs, values and beliefs of Māori</w:t>
      </w:r>
      <w:bookmarkEnd w:id="85"/>
      <w:bookmarkEnd w:id="86"/>
      <w:bookmarkEnd w:id="87"/>
    </w:p>
    <w:p w14:paraId="75EA4082" w14:textId="77777777" w:rsidR="00547D02" w:rsidRDefault="00547D02" w:rsidP="000B1E32">
      <w:pPr>
        <w:pStyle w:val="Number"/>
        <w:rPr>
          <w:rFonts w:eastAsia="Calibri"/>
        </w:rPr>
      </w:pPr>
      <w:r w:rsidRPr="009D6F9D">
        <w:rPr>
          <w:rFonts w:eastAsia="Calibri"/>
        </w:rPr>
        <w:t>Genetic connectedness within iwi is of importance to many Māori. However</w:t>
      </w:r>
      <w:r>
        <w:rPr>
          <w:rFonts w:eastAsia="Calibri"/>
        </w:rPr>
        <w:t>,</w:t>
      </w:r>
      <w:r w:rsidRPr="009D6F9D">
        <w:rPr>
          <w:rFonts w:eastAsia="Calibri"/>
        </w:rPr>
        <w:t xml:space="preserve"> </w:t>
      </w:r>
      <w:r>
        <w:rPr>
          <w:rFonts w:eastAsia="Calibri"/>
        </w:rPr>
        <w:t xml:space="preserve">rescinding </w:t>
      </w:r>
      <w:r w:rsidRPr="009D6F9D">
        <w:rPr>
          <w:rFonts w:eastAsia="Calibri"/>
        </w:rPr>
        <w:t xml:space="preserve">the </w:t>
      </w:r>
      <w:r>
        <w:rPr>
          <w:rFonts w:eastAsia="Calibri"/>
        </w:rPr>
        <w:t xml:space="preserve">mandatory </w:t>
      </w:r>
      <w:r w:rsidRPr="009D6F9D">
        <w:rPr>
          <w:rFonts w:eastAsia="Calibri"/>
        </w:rPr>
        <w:t xml:space="preserve">biological link policy does not </w:t>
      </w:r>
      <w:r>
        <w:rPr>
          <w:rFonts w:eastAsia="Calibri"/>
        </w:rPr>
        <w:t>undermine</w:t>
      </w:r>
      <w:r w:rsidRPr="009D6F9D">
        <w:rPr>
          <w:rFonts w:eastAsia="Calibri"/>
        </w:rPr>
        <w:t xml:space="preserve"> this importance, as people can choose to maintain biological links and genetic connectedness.</w:t>
      </w:r>
    </w:p>
    <w:p w14:paraId="36B9AD0B" w14:textId="77777777" w:rsidR="00547D02" w:rsidRPr="009D6F9D" w:rsidRDefault="00547D02" w:rsidP="000B1E32">
      <w:pPr>
        <w:rPr>
          <w:rFonts w:eastAsia="Calibri"/>
        </w:rPr>
      </w:pPr>
    </w:p>
    <w:p w14:paraId="0C30558B" w14:textId="77777777" w:rsidR="00547D02" w:rsidRPr="00CF7019" w:rsidRDefault="00547D02" w:rsidP="000B1E32">
      <w:pPr>
        <w:pStyle w:val="Heading2"/>
      </w:pPr>
      <w:bookmarkStart w:id="88" w:name="_Toc17118580"/>
      <w:bookmarkStart w:id="89" w:name="_Toc73459722"/>
      <w:r>
        <w:lastRenderedPageBreak/>
        <w:t xml:space="preserve">Change </w:t>
      </w:r>
      <w:r w:rsidRPr="00BF218E">
        <w:t>2</w:t>
      </w:r>
      <w:r>
        <w:t xml:space="preserve">: Clarifying when </w:t>
      </w:r>
      <w:r w:rsidRPr="00CF7019">
        <w:t xml:space="preserve">embryo donations </w:t>
      </w:r>
      <w:r>
        <w:t>must be</w:t>
      </w:r>
      <w:r w:rsidRPr="00CF7019">
        <w:t xml:space="preserve"> considered by </w:t>
      </w:r>
      <w:r>
        <w:t>ECART</w:t>
      </w:r>
      <w:bookmarkEnd w:id="88"/>
      <w:bookmarkEnd w:id="89"/>
    </w:p>
    <w:p w14:paraId="354E611B" w14:textId="77777777" w:rsidR="00547D02" w:rsidRPr="00610AFE" w:rsidRDefault="00547D02" w:rsidP="000B1E32">
      <w:pPr>
        <w:rPr>
          <w:rFonts w:eastAsia="Calibri"/>
        </w:rPr>
      </w:pPr>
      <w:r w:rsidRPr="00610AFE">
        <w:rPr>
          <w:rFonts w:eastAsia="Calibri"/>
          <w:b/>
        </w:rPr>
        <w:t>Recommendation:</w:t>
      </w:r>
      <w:r w:rsidRPr="00610AFE">
        <w:rPr>
          <w:rFonts w:eastAsia="Calibri"/>
        </w:rPr>
        <w:t xml:space="preserve"> Amend the HART Order to make embryo donation within a relationship an established procedure and to be clear that ECART approval is needed for all other embryo donations.</w:t>
      </w:r>
    </w:p>
    <w:p w14:paraId="1AF017B6" w14:textId="77777777" w:rsidR="00547D02" w:rsidRDefault="00547D02" w:rsidP="000B1E32">
      <w:pPr>
        <w:rPr>
          <w:rFonts w:eastAsia="Calibri"/>
        </w:rPr>
      </w:pPr>
    </w:p>
    <w:p w14:paraId="07CA5EDD" w14:textId="77777777" w:rsidR="00547D02" w:rsidRPr="00293D7C" w:rsidRDefault="00547D02" w:rsidP="000B1E32">
      <w:pPr>
        <w:pStyle w:val="Heading3"/>
      </w:pPr>
      <w:r w:rsidRPr="00293D7C">
        <w:t>ACART</w:t>
      </w:r>
      <w:r w:rsidR="000A0B49">
        <w:t>’</w:t>
      </w:r>
      <w:r w:rsidRPr="00293D7C">
        <w:t>s conclusions/decisions</w:t>
      </w:r>
    </w:p>
    <w:p w14:paraId="79A5EB2B" w14:textId="77777777" w:rsidR="00547D02" w:rsidRDefault="00547D02" w:rsidP="000B1E32">
      <w:pPr>
        <w:pStyle w:val="Number"/>
        <w:rPr>
          <w:rFonts w:eastAsia="Calibri"/>
        </w:rPr>
      </w:pPr>
      <w:r w:rsidRPr="007D3C09">
        <w:rPr>
          <w:rFonts w:eastAsia="Calibri"/>
        </w:rPr>
        <w:t>ACART considers that</w:t>
      </w:r>
      <w:r w:rsidRPr="00890882">
        <w:rPr>
          <w:rFonts w:eastAsia="Calibri"/>
        </w:rPr>
        <w:t xml:space="preserve"> </w:t>
      </w:r>
      <w:r>
        <w:rPr>
          <w:rFonts w:eastAsia="Calibri"/>
        </w:rPr>
        <w:t>ECART</w:t>
      </w:r>
      <w:r w:rsidRPr="007D3C09">
        <w:rPr>
          <w:rFonts w:eastAsia="Calibri"/>
        </w:rPr>
        <w:t xml:space="preserve"> </w:t>
      </w:r>
      <w:r>
        <w:rPr>
          <w:rFonts w:eastAsia="Calibri"/>
        </w:rPr>
        <w:t xml:space="preserve">need not consider embryo donations </w:t>
      </w:r>
      <w:r w:rsidRPr="007D3C09">
        <w:t xml:space="preserve">where </w:t>
      </w:r>
      <w:r w:rsidRPr="007D3C09">
        <w:rPr>
          <w:rFonts w:eastAsia="Calibri"/>
        </w:rPr>
        <w:t>th</w:t>
      </w:r>
      <w:r>
        <w:rPr>
          <w:rFonts w:eastAsia="Calibri"/>
        </w:rPr>
        <w:t>ose</w:t>
      </w:r>
      <w:r w:rsidRPr="007D3C09">
        <w:rPr>
          <w:rFonts w:eastAsia="Calibri"/>
        </w:rPr>
        <w:t xml:space="preserve"> embryos </w:t>
      </w:r>
      <w:r>
        <w:rPr>
          <w:rFonts w:eastAsia="Calibri"/>
        </w:rPr>
        <w:t xml:space="preserve">will be used </w:t>
      </w:r>
      <w:r w:rsidRPr="007D3C09">
        <w:rPr>
          <w:rFonts w:eastAsia="Calibri"/>
        </w:rPr>
        <w:t>by a person for whom they were created, but with a new partner</w:t>
      </w:r>
      <w:r>
        <w:rPr>
          <w:rFonts w:eastAsia="Calibri"/>
        </w:rPr>
        <w:t xml:space="preserve">, </w:t>
      </w:r>
      <w:r w:rsidRPr="007D3C09">
        <w:rPr>
          <w:rFonts w:eastAsia="Calibri"/>
        </w:rPr>
        <w:t>if the former partner (whether deceased or still alive) ha</w:t>
      </w:r>
      <w:r>
        <w:rPr>
          <w:rFonts w:eastAsia="Calibri"/>
        </w:rPr>
        <w:t>s</w:t>
      </w:r>
      <w:r w:rsidRPr="007D3C09">
        <w:rPr>
          <w:rFonts w:eastAsia="Calibri"/>
        </w:rPr>
        <w:t xml:space="preserve"> consented to that use</w:t>
      </w:r>
      <w:r>
        <w:rPr>
          <w:rFonts w:eastAsia="Calibri"/>
        </w:rPr>
        <w:t>. All other embryo donations have ethical risks significant enough to be subject to ECART consideration and the HART Order should explicitly state</w:t>
      </w:r>
      <w:r w:rsidRPr="00890882">
        <w:rPr>
          <w:rFonts w:eastAsia="Calibri"/>
        </w:rPr>
        <w:t xml:space="preserve"> </w:t>
      </w:r>
      <w:r>
        <w:rPr>
          <w:rFonts w:eastAsia="Calibri"/>
        </w:rPr>
        <w:t>this requirement.</w:t>
      </w:r>
    </w:p>
    <w:p w14:paraId="6D3BDB3C" w14:textId="77777777" w:rsidR="00547D02" w:rsidRDefault="00547D02" w:rsidP="000B1E32">
      <w:pPr>
        <w:pStyle w:val="Number"/>
        <w:rPr>
          <w:rFonts w:eastAsia="Calibri"/>
        </w:rPr>
      </w:pPr>
      <w:r w:rsidRPr="004353EF">
        <w:t xml:space="preserve">In cases where </w:t>
      </w:r>
      <w:r w:rsidRPr="004353EF">
        <w:rPr>
          <w:rFonts w:eastAsia="Calibri"/>
        </w:rPr>
        <w:t xml:space="preserve">embryos will be used by a person for whom they were created but with a new partner (if the former partner has consented), </w:t>
      </w:r>
      <w:r w:rsidRPr="004353EF">
        <w:t>the ethical matters or risks would be insufficient to warrant the procedure being subject to ECART consideration</w:t>
      </w:r>
      <w:r w:rsidRPr="004353EF">
        <w:rPr>
          <w:rFonts w:eastAsia="Calibri"/>
        </w:rPr>
        <w:t>. In these situations, use is appropriately covered by the requirements of informed consent.</w:t>
      </w:r>
      <w:r w:rsidRPr="000B1E32">
        <w:rPr>
          <w:rStyle w:val="FootnoteReference"/>
          <w:rFonts w:eastAsia="Calibri"/>
        </w:rPr>
        <w:footnoteReference w:id="17"/>
      </w:r>
    </w:p>
    <w:p w14:paraId="2C568E80" w14:textId="77777777" w:rsidR="000B1E32" w:rsidRDefault="000B1E32" w:rsidP="000B1E32">
      <w:pPr>
        <w:rPr>
          <w:rFonts w:eastAsia="Calibri"/>
        </w:rPr>
      </w:pPr>
    </w:p>
    <w:p w14:paraId="0FA5882A" w14:textId="77777777" w:rsidR="00547D02" w:rsidRPr="008B177D" w:rsidRDefault="00547D02" w:rsidP="000B1E32">
      <w:pPr>
        <w:pStyle w:val="Heading3"/>
        <w:rPr>
          <w:rFonts w:eastAsia="Calibri"/>
        </w:rPr>
      </w:pPr>
      <w:r w:rsidRPr="008B177D">
        <w:rPr>
          <w:rFonts w:eastAsia="Calibri"/>
        </w:rPr>
        <w:t>The problem</w:t>
      </w:r>
      <w:r>
        <w:rPr>
          <w:rFonts w:eastAsia="Calibri"/>
        </w:rPr>
        <w:t>s</w:t>
      </w:r>
      <w:r w:rsidRPr="008B177D">
        <w:rPr>
          <w:rFonts w:eastAsia="Calibri"/>
        </w:rPr>
        <w:t xml:space="preserve"> </w:t>
      </w:r>
      <w:r>
        <w:rPr>
          <w:rFonts w:eastAsia="Calibri"/>
        </w:rPr>
        <w:t xml:space="preserve">– unclear legal status; </w:t>
      </w:r>
      <w:r w:rsidRPr="008B177D">
        <w:rPr>
          <w:rFonts w:eastAsia="Calibri"/>
        </w:rPr>
        <w:t>complexity and ethical considerations</w:t>
      </w:r>
    </w:p>
    <w:p w14:paraId="5C65678E" w14:textId="77777777" w:rsidR="00547D02" w:rsidRPr="00CF6746" w:rsidRDefault="00547D02" w:rsidP="000B1E32">
      <w:pPr>
        <w:pStyle w:val="Number"/>
        <w:rPr>
          <w:rFonts w:eastAsia="Calibri"/>
        </w:rPr>
      </w:pPr>
      <w:r>
        <w:rPr>
          <w:rFonts w:eastAsia="Calibri"/>
        </w:rPr>
        <w:t>N</w:t>
      </w:r>
      <w:r w:rsidRPr="00CF6746">
        <w:rPr>
          <w:rFonts w:eastAsia="Calibri"/>
        </w:rPr>
        <w:t xml:space="preserve">either the HART Act nor the HART Order </w:t>
      </w:r>
      <w:r>
        <w:rPr>
          <w:rFonts w:eastAsia="Calibri"/>
        </w:rPr>
        <w:t>is</w:t>
      </w:r>
      <w:r w:rsidRPr="00CF6746">
        <w:rPr>
          <w:rFonts w:eastAsia="Calibri"/>
        </w:rPr>
        <w:t xml:space="preserve"> </w:t>
      </w:r>
      <w:r>
        <w:rPr>
          <w:rFonts w:eastAsia="Calibri"/>
        </w:rPr>
        <w:t>explicit</w:t>
      </w:r>
      <w:r w:rsidRPr="00CF6746">
        <w:rPr>
          <w:rFonts w:eastAsia="Calibri"/>
        </w:rPr>
        <w:t xml:space="preserve"> about the status of embryo donation in the regulatory framework. While the HART Act includes a definition of </w:t>
      </w:r>
      <w:r w:rsidR="000A0B49">
        <w:rPr>
          <w:rFonts w:eastAsia="Calibri"/>
        </w:rPr>
        <w:t>‘</w:t>
      </w:r>
      <w:r w:rsidRPr="00CF6746">
        <w:rPr>
          <w:rFonts w:eastAsia="Calibri"/>
        </w:rPr>
        <w:t>donated embryo</w:t>
      </w:r>
      <w:r w:rsidR="000A0B49">
        <w:rPr>
          <w:rFonts w:eastAsia="Calibri"/>
        </w:rPr>
        <w:t>’</w:t>
      </w:r>
      <w:r w:rsidRPr="00CF6746">
        <w:rPr>
          <w:rFonts w:eastAsia="Calibri"/>
        </w:rPr>
        <w:t>,</w:t>
      </w:r>
      <w:r w:rsidRPr="000B1E32">
        <w:rPr>
          <w:rStyle w:val="FootnoteReference"/>
          <w:rFonts w:eastAsia="Calibri"/>
        </w:rPr>
        <w:footnoteReference w:id="18"/>
      </w:r>
      <w:r w:rsidRPr="00CF6746">
        <w:rPr>
          <w:rFonts w:eastAsia="Calibri"/>
        </w:rPr>
        <w:t xml:space="preserve"> the HART Order does not refer to embryo donation at all.</w:t>
      </w:r>
    </w:p>
    <w:p w14:paraId="3942AA8C" w14:textId="77777777" w:rsidR="00547D02" w:rsidRDefault="00547D02" w:rsidP="000B1E32">
      <w:pPr>
        <w:pStyle w:val="Number"/>
        <w:rPr>
          <w:rFonts w:eastAsia="Calibri"/>
        </w:rPr>
      </w:pPr>
      <w:r>
        <w:rPr>
          <w:rFonts w:eastAsia="Calibri"/>
        </w:rPr>
        <w:t>ACART has learned there is a degree of uncertainty about the legal status of embryo donation and so recommends a change to the HART Order to state that donation within a relationship is an established procedure (as explained above) and all other embryo donations are assisted reproductive procedures. ACART takes the view that embryo donation is an assisted reproductive procedure</w:t>
      </w:r>
      <w:r w:rsidDel="009A7A9A">
        <w:rPr>
          <w:rFonts w:eastAsia="Calibri"/>
        </w:rPr>
        <w:t xml:space="preserve"> </w:t>
      </w:r>
      <w:r>
        <w:rPr>
          <w:rFonts w:eastAsia="Calibri"/>
        </w:rPr>
        <w:t>and requires ECART approval and, for clarity, this status should be explicit in the HART Order.</w:t>
      </w:r>
    </w:p>
    <w:p w14:paraId="4D958F48" w14:textId="77777777" w:rsidR="00547D02" w:rsidRPr="00CF6746" w:rsidRDefault="00547D02" w:rsidP="000B1E32">
      <w:pPr>
        <w:pStyle w:val="Number"/>
        <w:keepNext/>
        <w:keepLines/>
        <w:rPr>
          <w:rFonts w:eastAsia="Calibri"/>
        </w:rPr>
      </w:pPr>
      <w:r w:rsidRPr="00CF6746">
        <w:rPr>
          <w:rFonts w:eastAsia="Calibri"/>
        </w:rPr>
        <w:lastRenderedPageBreak/>
        <w:t xml:space="preserve">When </w:t>
      </w:r>
      <w:r>
        <w:rPr>
          <w:rFonts w:eastAsia="Calibri"/>
        </w:rPr>
        <w:t xml:space="preserve">ACART issued </w:t>
      </w:r>
      <w:r w:rsidRPr="00CF6746">
        <w:rPr>
          <w:rFonts w:eastAsia="Calibri"/>
        </w:rPr>
        <w:t xml:space="preserve">the </w:t>
      </w:r>
      <w:r>
        <w:rPr>
          <w:rFonts w:eastAsia="Calibri"/>
        </w:rPr>
        <w:t xml:space="preserve">initial </w:t>
      </w:r>
      <w:r w:rsidRPr="00CF6746">
        <w:rPr>
          <w:rFonts w:eastAsia="Calibri"/>
        </w:rPr>
        <w:t xml:space="preserve">guidelines, embryo donation </w:t>
      </w:r>
      <w:proofErr w:type="gramStart"/>
      <w:r w:rsidRPr="00CF6746">
        <w:rPr>
          <w:rFonts w:eastAsia="Calibri"/>
        </w:rPr>
        <w:t>was seen as</w:t>
      </w:r>
      <w:proofErr w:type="gramEnd"/>
      <w:r w:rsidRPr="00CF6746">
        <w:rPr>
          <w:rFonts w:eastAsia="Calibri"/>
        </w:rPr>
        <w:t xml:space="preserve"> one of the most ethically complex procedures.</w:t>
      </w:r>
      <w:r w:rsidRPr="000B1E32">
        <w:rPr>
          <w:rStyle w:val="FootnoteReference"/>
          <w:rFonts w:eastAsia="Calibri"/>
        </w:rPr>
        <w:footnoteReference w:id="19"/>
      </w:r>
      <w:r w:rsidRPr="00CF6746">
        <w:rPr>
          <w:rFonts w:eastAsia="Calibri"/>
        </w:rPr>
        <w:t xml:space="preserve"> Recent research has highlighted the challenges for the parties involved in embryo donation and for resulting and existing children. These challenges include:</w:t>
      </w:r>
    </w:p>
    <w:p w14:paraId="7DA68F80" w14:textId="77777777" w:rsidR="00547D02" w:rsidRPr="00386E8E" w:rsidRDefault="00547D02" w:rsidP="000B1E32">
      <w:pPr>
        <w:pStyle w:val="Bullet"/>
      </w:pPr>
      <w:r w:rsidRPr="00386E8E">
        <w:t>uncertainty about how the relationship between donors and recipients will unfold in the future and how the children involved will see it (embryo donation is a comparatively new procedure, and the New Zealand model is unique)</w:t>
      </w:r>
    </w:p>
    <w:p w14:paraId="79DC133D" w14:textId="77777777" w:rsidR="00547D02" w:rsidRPr="00386E8E" w:rsidRDefault="00547D02" w:rsidP="000B1E32">
      <w:pPr>
        <w:pStyle w:val="Bullet"/>
      </w:pPr>
      <w:r w:rsidRPr="00386E8E">
        <w:t xml:space="preserve">for donors, a sense of connection to a resulting child who is </w:t>
      </w:r>
      <w:r>
        <w:t xml:space="preserve">a full </w:t>
      </w:r>
      <w:r w:rsidRPr="00386E8E">
        <w:t xml:space="preserve">genetic sibling to their own </w:t>
      </w:r>
      <w:r>
        <w:t>existing offspring</w:t>
      </w:r>
      <w:r w:rsidRPr="00386E8E">
        <w:t xml:space="preserve"> but </w:t>
      </w:r>
      <w:r>
        <w:t>with</w:t>
      </w:r>
      <w:r w:rsidRPr="00386E8E">
        <w:t xml:space="preserve"> whom they have no parental role</w:t>
      </w:r>
    </w:p>
    <w:p w14:paraId="0ADB012D" w14:textId="77777777" w:rsidR="00547D02" w:rsidRPr="00386E8E" w:rsidRDefault="00547D02" w:rsidP="000B1E32">
      <w:pPr>
        <w:pStyle w:val="Bullet"/>
      </w:pPr>
      <w:r w:rsidRPr="00386E8E">
        <w:t xml:space="preserve">for recipients, </w:t>
      </w:r>
      <w:r>
        <w:t>the recognition that</w:t>
      </w:r>
      <w:r w:rsidRPr="00386E8E">
        <w:t xml:space="preserve"> a resulting child will have links to another family and may want some degree o</w:t>
      </w:r>
      <w:r>
        <w:t>f contact with the donor family.</w:t>
      </w:r>
      <w:r w:rsidRPr="000B1E32">
        <w:rPr>
          <w:rStyle w:val="FootnoteReference"/>
        </w:rPr>
        <w:footnoteReference w:id="20"/>
      </w:r>
    </w:p>
    <w:p w14:paraId="0EC8D220" w14:textId="77777777" w:rsidR="00547D02" w:rsidRDefault="00547D02" w:rsidP="000B1E32">
      <w:pPr>
        <w:pStyle w:val="Number"/>
        <w:rPr>
          <w:rFonts w:eastAsia="Calibri"/>
        </w:rPr>
      </w:pPr>
      <w:r w:rsidRPr="00CF3FCB">
        <w:rPr>
          <w:rFonts w:eastAsia="Calibri"/>
        </w:rPr>
        <w:t xml:space="preserve">The </w:t>
      </w:r>
      <w:r>
        <w:rPr>
          <w:rFonts w:eastAsia="Calibri"/>
        </w:rPr>
        <w:t>previous guidelines precluded</w:t>
      </w:r>
      <w:r w:rsidRPr="00CF3FCB">
        <w:rPr>
          <w:rFonts w:eastAsia="Calibri"/>
        </w:rPr>
        <w:t xml:space="preserve"> some people from donating surplus embryos</w:t>
      </w:r>
      <w:r>
        <w:rPr>
          <w:rFonts w:eastAsia="Calibri"/>
        </w:rPr>
        <w:t xml:space="preserve"> because of the requirement</w:t>
      </w:r>
      <w:r w:rsidRPr="00CF3FCB">
        <w:rPr>
          <w:rFonts w:eastAsia="Calibri"/>
        </w:rPr>
        <w:t xml:space="preserve"> that donated embryos must have been created from the gamete</w:t>
      </w:r>
      <w:r>
        <w:rPr>
          <w:rFonts w:eastAsia="Calibri"/>
        </w:rPr>
        <w:t>s of a donating couple</w:t>
      </w:r>
      <w:r w:rsidRPr="00CF3FCB">
        <w:rPr>
          <w:rFonts w:eastAsia="Calibri"/>
        </w:rPr>
        <w:t>.</w:t>
      </w:r>
    </w:p>
    <w:p w14:paraId="4931C0A2" w14:textId="77777777" w:rsidR="00547D02" w:rsidRDefault="00547D02" w:rsidP="000B1E32">
      <w:pPr>
        <w:pStyle w:val="Number"/>
        <w:rPr>
          <w:rFonts w:eastAsia="Calibri"/>
        </w:rPr>
      </w:pPr>
      <w:r>
        <w:rPr>
          <w:rFonts w:eastAsia="Calibri"/>
        </w:rPr>
        <w:t xml:space="preserve">Now that ACART has rescinded the mandatory biological link policy, it is consistent that </w:t>
      </w:r>
      <w:r w:rsidRPr="00CF3FCB">
        <w:rPr>
          <w:rFonts w:eastAsia="Calibri"/>
        </w:rPr>
        <w:t xml:space="preserve">the guidelines should </w:t>
      </w:r>
      <w:r>
        <w:rPr>
          <w:rFonts w:eastAsia="Calibri"/>
        </w:rPr>
        <w:t xml:space="preserve">also </w:t>
      </w:r>
      <w:r w:rsidRPr="00CF3FCB">
        <w:rPr>
          <w:rFonts w:eastAsia="Calibri"/>
        </w:rPr>
        <w:t>enable</w:t>
      </w:r>
      <w:r>
        <w:rPr>
          <w:rFonts w:eastAsia="Calibri"/>
        </w:rPr>
        <w:t xml:space="preserve"> the</w:t>
      </w:r>
      <w:r w:rsidRPr="00CF3FCB">
        <w:rPr>
          <w:rFonts w:eastAsia="Calibri"/>
        </w:rPr>
        <w:t xml:space="preserve"> donation of surplus embryos </w:t>
      </w:r>
      <w:r>
        <w:rPr>
          <w:rFonts w:eastAsia="Calibri"/>
        </w:rPr>
        <w:t xml:space="preserve">that were </w:t>
      </w:r>
      <w:r w:rsidRPr="00CF3FCB">
        <w:rPr>
          <w:rFonts w:eastAsia="Calibri"/>
        </w:rPr>
        <w:t>created from donated gametes</w:t>
      </w:r>
      <w:r>
        <w:rPr>
          <w:rFonts w:eastAsia="Calibri"/>
        </w:rPr>
        <w:t xml:space="preserve">. However, it is essential that ECART </w:t>
      </w:r>
      <w:proofErr w:type="gramStart"/>
      <w:r>
        <w:rPr>
          <w:rFonts w:eastAsia="Calibri"/>
        </w:rPr>
        <w:t>takes</w:t>
      </w:r>
      <w:r w:rsidRPr="00CF3FCB">
        <w:rPr>
          <w:rFonts w:eastAsia="Calibri"/>
        </w:rPr>
        <w:t xml:space="preserve"> into account</w:t>
      </w:r>
      <w:proofErr w:type="gramEnd"/>
      <w:r w:rsidRPr="00CF3FCB">
        <w:rPr>
          <w:rFonts w:eastAsia="Calibri"/>
        </w:rPr>
        <w:t xml:space="preserve"> the potential complexity of resulting relationships and that the gamete donors have consented to the donation, either at the time of donat</w:t>
      </w:r>
      <w:r>
        <w:rPr>
          <w:rFonts w:eastAsia="Calibri"/>
        </w:rPr>
        <w:t>ing or later (in accord with ACART</w:t>
      </w:r>
      <w:r w:rsidR="000A0B49">
        <w:rPr>
          <w:rFonts w:eastAsia="Calibri"/>
        </w:rPr>
        <w:t>’</w:t>
      </w:r>
      <w:r>
        <w:rPr>
          <w:rFonts w:eastAsia="Calibri"/>
        </w:rPr>
        <w:t>s</w:t>
      </w:r>
      <w:r w:rsidRPr="00CF3FCB">
        <w:rPr>
          <w:rFonts w:eastAsia="Calibri"/>
        </w:rPr>
        <w:t xml:space="preserve"> </w:t>
      </w:r>
      <w:r>
        <w:rPr>
          <w:rFonts w:eastAsia="Calibri"/>
        </w:rPr>
        <w:t>new</w:t>
      </w:r>
      <w:r w:rsidRPr="00CF3FCB">
        <w:rPr>
          <w:rFonts w:eastAsia="Calibri"/>
        </w:rPr>
        <w:t xml:space="preserve"> consent provision</w:t>
      </w:r>
      <w:r>
        <w:rPr>
          <w:rFonts w:eastAsia="Calibri"/>
        </w:rPr>
        <w:t>s</w:t>
      </w:r>
      <w:r w:rsidRPr="00CF3FCB">
        <w:rPr>
          <w:rFonts w:eastAsia="Calibri"/>
        </w:rPr>
        <w:t xml:space="preserve"> applying to all procedures).</w:t>
      </w:r>
    </w:p>
    <w:p w14:paraId="14B7EABC" w14:textId="77777777" w:rsidR="00547D02" w:rsidRPr="00CF3FCB" w:rsidRDefault="00547D02" w:rsidP="000B1E32">
      <w:pPr>
        <w:rPr>
          <w:rFonts w:eastAsia="Calibri"/>
        </w:rPr>
      </w:pPr>
    </w:p>
    <w:p w14:paraId="6EB4E6A4" w14:textId="77777777" w:rsidR="00547D02" w:rsidRDefault="00547D02" w:rsidP="000B1E32">
      <w:pPr>
        <w:pStyle w:val="Heading3"/>
        <w:rPr>
          <w:rFonts w:eastAsia="Calibri"/>
        </w:rPr>
      </w:pPr>
      <w:r w:rsidRPr="00E6451D">
        <w:rPr>
          <w:rFonts w:eastAsia="Calibri"/>
        </w:rPr>
        <w:t xml:space="preserve">Benefits of ECART </w:t>
      </w:r>
      <w:r>
        <w:rPr>
          <w:rFonts w:eastAsia="Calibri"/>
        </w:rPr>
        <w:t>considering</w:t>
      </w:r>
      <w:r w:rsidRPr="00E6451D">
        <w:rPr>
          <w:rFonts w:eastAsia="Calibri"/>
        </w:rPr>
        <w:t xml:space="preserve"> all embryo donations</w:t>
      </w:r>
      <w:r>
        <w:rPr>
          <w:rFonts w:eastAsia="Calibri"/>
        </w:rPr>
        <w:t xml:space="preserve"> and of the exception</w:t>
      </w:r>
    </w:p>
    <w:p w14:paraId="2D011232" w14:textId="77777777" w:rsidR="00547D02" w:rsidRDefault="00547D02" w:rsidP="000B1E32">
      <w:pPr>
        <w:pStyle w:val="Number"/>
        <w:rPr>
          <w:rFonts w:eastAsia="Calibri"/>
        </w:rPr>
      </w:pPr>
      <w:r>
        <w:rPr>
          <w:rFonts w:eastAsia="Calibri"/>
        </w:rPr>
        <w:t>Amending the HART Order, to explicitly state that all embryo donations (with one exception) must be considered by ECART will remove any uncertainty about the requirement. Any risks associated with such donations are then likely to be identified and managed accordingly.</w:t>
      </w:r>
    </w:p>
    <w:p w14:paraId="1D23E24E" w14:textId="77777777" w:rsidR="00547D02" w:rsidRDefault="00547D02" w:rsidP="000B1E32">
      <w:pPr>
        <w:pStyle w:val="Number"/>
        <w:rPr>
          <w:rFonts w:eastAsia="Calibri"/>
        </w:rPr>
      </w:pPr>
      <w:r>
        <w:rPr>
          <w:rFonts w:eastAsia="Calibri"/>
        </w:rPr>
        <w:t xml:space="preserve">The benefit of not requiring ECART to consider cases where a person will use </w:t>
      </w:r>
      <w:r w:rsidRPr="00D62552">
        <w:rPr>
          <w:rFonts w:eastAsia="Calibri"/>
        </w:rPr>
        <w:t xml:space="preserve">embryos </w:t>
      </w:r>
      <w:r>
        <w:rPr>
          <w:rFonts w:eastAsia="Calibri"/>
        </w:rPr>
        <w:t>created for themselves, but with a new partner, is that the parties will not need to go through the time and cost of the ECART process. Such use</w:t>
      </w:r>
      <w:r w:rsidRPr="00D62552">
        <w:rPr>
          <w:rFonts w:eastAsia="Calibri"/>
        </w:rPr>
        <w:t xml:space="preserve"> is appropriately covered by the requirements of informed consent.</w:t>
      </w:r>
      <w:r w:rsidRPr="000B1E32">
        <w:rPr>
          <w:rStyle w:val="FootnoteReference"/>
          <w:rFonts w:eastAsia="Calibri"/>
        </w:rPr>
        <w:footnoteReference w:id="21"/>
      </w:r>
    </w:p>
    <w:p w14:paraId="04AD9186" w14:textId="77777777" w:rsidR="00547D02" w:rsidRPr="00D62552" w:rsidRDefault="00547D02" w:rsidP="00F224C7">
      <w:pPr>
        <w:rPr>
          <w:rFonts w:eastAsia="Calibri"/>
        </w:rPr>
      </w:pPr>
    </w:p>
    <w:p w14:paraId="11B4643A" w14:textId="77777777" w:rsidR="00547D02" w:rsidRPr="00263DD7" w:rsidRDefault="00547D02" w:rsidP="00F224C7">
      <w:pPr>
        <w:pStyle w:val="Heading3"/>
        <w:rPr>
          <w:rFonts w:eastAsia="Calibri"/>
        </w:rPr>
      </w:pPr>
      <w:r w:rsidRPr="00263DD7">
        <w:rPr>
          <w:rFonts w:eastAsia="Calibri"/>
        </w:rPr>
        <w:lastRenderedPageBreak/>
        <w:t>Risks of the changes</w:t>
      </w:r>
    </w:p>
    <w:p w14:paraId="5075AE6E" w14:textId="2EDBB268" w:rsidR="00547D02" w:rsidRDefault="00547D02" w:rsidP="00F224C7">
      <w:pPr>
        <w:pStyle w:val="Number"/>
        <w:rPr>
          <w:rFonts w:eastAsia="Calibri"/>
        </w:rPr>
      </w:pPr>
      <w:r w:rsidRPr="00263DD7">
        <w:rPr>
          <w:rFonts w:eastAsia="Calibri"/>
        </w:rPr>
        <w:t xml:space="preserve">The risks of allowing embryo donations in a greater range of situations are explained in </w:t>
      </w:r>
      <w:r w:rsidRPr="00027201">
        <w:rPr>
          <w:rFonts w:eastAsia="Calibri"/>
        </w:rPr>
        <w:t xml:space="preserve">paragraphs </w:t>
      </w:r>
      <w:r w:rsidR="00F224C7">
        <w:rPr>
          <w:rFonts w:eastAsia="Calibri"/>
        </w:rPr>
        <w:fldChar w:fldCharType="begin"/>
      </w:r>
      <w:r w:rsidR="00F224C7">
        <w:rPr>
          <w:rFonts w:eastAsia="Calibri"/>
        </w:rPr>
        <w:instrText xml:space="preserve"> REF _Ref14199616 \r \h </w:instrText>
      </w:r>
      <w:r w:rsidR="00F224C7">
        <w:rPr>
          <w:rFonts w:eastAsia="Calibri"/>
        </w:rPr>
      </w:r>
      <w:r w:rsidR="00F224C7">
        <w:rPr>
          <w:rFonts w:eastAsia="Calibri"/>
        </w:rPr>
        <w:fldChar w:fldCharType="separate"/>
      </w:r>
      <w:r w:rsidR="0093156E">
        <w:rPr>
          <w:rFonts w:eastAsia="Calibri"/>
        </w:rPr>
        <w:t>72</w:t>
      </w:r>
      <w:r w:rsidR="00F224C7">
        <w:rPr>
          <w:rFonts w:eastAsia="Calibri"/>
        </w:rPr>
        <w:fldChar w:fldCharType="end"/>
      </w:r>
      <w:r w:rsidRPr="00027201">
        <w:rPr>
          <w:rFonts w:eastAsia="Calibri"/>
        </w:rPr>
        <w:t xml:space="preserve"> to </w:t>
      </w:r>
      <w:r w:rsidR="00F224C7">
        <w:rPr>
          <w:rFonts w:eastAsia="Calibri"/>
        </w:rPr>
        <w:fldChar w:fldCharType="begin"/>
      </w:r>
      <w:r w:rsidR="00F224C7">
        <w:rPr>
          <w:rFonts w:eastAsia="Calibri"/>
        </w:rPr>
        <w:instrText xml:space="preserve"> REF _Ref73445182 \r \h </w:instrText>
      </w:r>
      <w:r w:rsidR="00F224C7">
        <w:rPr>
          <w:rFonts w:eastAsia="Calibri"/>
        </w:rPr>
      </w:r>
      <w:r w:rsidR="00F224C7">
        <w:rPr>
          <w:rFonts w:eastAsia="Calibri"/>
        </w:rPr>
        <w:fldChar w:fldCharType="separate"/>
      </w:r>
      <w:r w:rsidR="0093156E">
        <w:rPr>
          <w:rFonts w:eastAsia="Calibri"/>
        </w:rPr>
        <w:t>76</w:t>
      </w:r>
      <w:r w:rsidR="00F224C7">
        <w:rPr>
          <w:rFonts w:eastAsia="Calibri"/>
        </w:rPr>
        <w:fldChar w:fldCharType="end"/>
      </w:r>
      <w:r w:rsidRPr="00027201">
        <w:rPr>
          <w:rFonts w:eastAsia="Calibri"/>
        </w:rPr>
        <w:t xml:space="preserve"> (above) and </w:t>
      </w:r>
      <w:r w:rsidR="00F224C7">
        <w:rPr>
          <w:rFonts w:eastAsia="Calibri"/>
        </w:rPr>
        <w:fldChar w:fldCharType="begin"/>
      </w:r>
      <w:r w:rsidR="00F224C7">
        <w:rPr>
          <w:rFonts w:eastAsia="Calibri"/>
        </w:rPr>
        <w:instrText xml:space="preserve"> REF _Ref73445415 \r \h </w:instrText>
      </w:r>
      <w:r w:rsidR="00F224C7">
        <w:rPr>
          <w:rFonts w:eastAsia="Calibri"/>
        </w:rPr>
      </w:r>
      <w:r w:rsidR="00F224C7">
        <w:rPr>
          <w:rFonts w:eastAsia="Calibri"/>
        </w:rPr>
        <w:fldChar w:fldCharType="separate"/>
      </w:r>
      <w:r w:rsidR="0093156E">
        <w:rPr>
          <w:rFonts w:eastAsia="Calibri"/>
        </w:rPr>
        <w:t>125</w:t>
      </w:r>
      <w:r w:rsidR="00F224C7">
        <w:rPr>
          <w:rFonts w:eastAsia="Calibri"/>
        </w:rPr>
        <w:fldChar w:fldCharType="end"/>
      </w:r>
      <w:r>
        <w:rPr>
          <w:rFonts w:eastAsia="Calibri"/>
        </w:rPr>
        <w:t xml:space="preserve"> and </w:t>
      </w:r>
      <w:r w:rsidR="00F224C7">
        <w:rPr>
          <w:rFonts w:eastAsia="Calibri"/>
        </w:rPr>
        <w:fldChar w:fldCharType="begin"/>
      </w:r>
      <w:r w:rsidR="00F224C7">
        <w:rPr>
          <w:rFonts w:eastAsia="Calibri"/>
        </w:rPr>
        <w:instrText xml:space="preserve"> REF _Ref73445418 \r \h </w:instrText>
      </w:r>
      <w:r w:rsidR="00F224C7">
        <w:rPr>
          <w:rFonts w:eastAsia="Calibri"/>
        </w:rPr>
      </w:r>
      <w:r w:rsidR="00F224C7">
        <w:rPr>
          <w:rFonts w:eastAsia="Calibri"/>
        </w:rPr>
        <w:fldChar w:fldCharType="separate"/>
      </w:r>
      <w:r w:rsidR="0093156E">
        <w:rPr>
          <w:rFonts w:eastAsia="Calibri"/>
        </w:rPr>
        <w:t>126</w:t>
      </w:r>
      <w:r w:rsidR="00F224C7">
        <w:rPr>
          <w:rFonts w:eastAsia="Calibri"/>
        </w:rPr>
        <w:fldChar w:fldCharType="end"/>
      </w:r>
      <w:r w:rsidRPr="00027201">
        <w:rPr>
          <w:rFonts w:eastAsia="Calibri"/>
        </w:rPr>
        <w:t xml:space="preserve"> (below).</w:t>
      </w:r>
    </w:p>
    <w:p w14:paraId="4DB195FD" w14:textId="77777777" w:rsidR="00547D02" w:rsidRDefault="00547D02" w:rsidP="00F224C7">
      <w:pPr>
        <w:pStyle w:val="Number"/>
        <w:rPr>
          <w:rFonts w:eastAsia="Calibri"/>
        </w:rPr>
      </w:pPr>
      <w:r w:rsidRPr="00263DD7">
        <w:rPr>
          <w:rFonts w:eastAsia="Calibri"/>
        </w:rPr>
        <w:t xml:space="preserve">Because of these risks, and the possibility that embryo donation might become more common, ECART must be satisfied that any application to use a procedure that does not include a genetic or gestational link is the best or </w:t>
      </w:r>
      <w:r>
        <w:rPr>
          <w:rFonts w:eastAsia="Calibri"/>
        </w:rPr>
        <w:t xml:space="preserve">the </w:t>
      </w:r>
      <w:r w:rsidRPr="00263DD7">
        <w:rPr>
          <w:rFonts w:eastAsia="Calibri"/>
        </w:rPr>
        <w:t xml:space="preserve">only opportunity </w:t>
      </w:r>
      <w:r>
        <w:rPr>
          <w:rFonts w:eastAsia="Calibri"/>
        </w:rPr>
        <w:t xml:space="preserve">for the applicant </w:t>
      </w:r>
      <w:r w:rsidRPr="00263DD7">
        <w:rPr>
          <w:rFonts w:eastAsia="Calibri"/>
        </w:rPr>
        <w:t>to have a child.</w:t>
      </w:r>
    </w:p>
    <w:p w14:paraId="30D3F78F" w14:textId="77777777" w:rsidR="00547D02" w:rsidRDefault="00547D02" w:rsidP="00F224C7">
      <w:pPr>
        <w:rPr>
          <w:rFonts w:eastAsia="Calibri"/>
        </w:rPr>
      </w:pPr>
    </w:p>
    <w:p w14:paraId="4ECCEAF6" w14:textId="77777777" w:rsidR="00547D02" w:rsidRPr="00186CFA" w:rsidRDefault="00547D02" w:rsidP="00F224C7">
      <w:pPr>
        <w:pStyle w:val="Heading3"/>
        <w:rPr>
          <w:rFonts w:eastAsia="Calibri"/>
        </w:rPr>
      </w:pPr>
      <w:r w:rsidRPr="00186CFA">
        <w:rPr>
          <w:rFonts w:eastAsia="Calibri"/>
        </w:rPr>
        <w:t>Submitters</w:t>
      </w:r>
      <w:r w:rsidR="000A0B49">
        <w:rPr>
          <w:rFonts w:eastAsia="Calibri"/>
        </w:rPr>
        <w:t>’</w:t>
      </w:r>
      <w:r w:rsidRPr="00186CFA">
        <w:rPr>
          <w:rFonts w:eastAsia="Calibri"/>
        </w:rPr>
        <w:t xml:space="preserve"> views and ACART</w:t>
      </w:r>
      <w:r w:rsidR="000A0B49">
        <w:rPr>
          <w:rFonts w:eastAsia="Calibri"/>
        </w:rPr>
        <w:t>’</w:t>
      </w:r>
      <w:r w:rsidRPr="00186CFA">
        <w:rPr>
          <w:rFonts w:eastAsia="Calibri"/>
        </w:rPr>
        <w:t>s assessment of th</w:t>
      </w:r>
      <w:r>
        <w:rPr>
          <w:rFonts w:eastAsia="Calibri"/>
        </w:rPr>
        <w:t>em</w:t>
      </w:r>
    </w:p>
    <w:p w14:paraId="265EBA2F" w14:textId="77777777" w:rsidR="00547D02" w:rsidRPr="00A4147E" w:rsidRDefault="00547D02" w:rsidP="00F224C7">
      <w:pPr>
        <w:pStyle w:val="Number"/>
        <w:rPr>
          <w:rFonts w:eastAsia="Calibri"/>
        </w:rPr>
      </w:pPr>
      <w:r w:rsidRPr="00A4147E">
        <w:rPr>
          <w:rFonts w:eastAsia="Calibri"/>
        </w:rPr>
        <w:t>In ACART</w:t>
      </w:r>
      <w:r w:rsidR="000A0B49">
        <w:rPr>
          <w:rFonts w:eastAsia="Calibri"/>
        </w:rPr>
        <w:t>’</w:t>
      </w:r>
      <w:r w:rsidRPr="00A4147E">
        <w:rPr>
          <w:rFonts w:eastAsia="Calibri"/>
        </w:rPr>
        <w:t xml:space="preserve">s 2017 consultation, </w:t>
      </w:r>
      <w:r w:rsidR="00F224C7">
        <w:rPr>
          <w:rFonts w:eastAsia="Calibri"/>
        </w:rPr>
        <w:t>13 </w:t>
      </w:r>
      <w:r w:rsidRPr="00A4147E">
        <w:rPr>
          <w:rFonts w:eastAsia="Calibri"/>
        </w:rPr>
        <w:t>submitters supported the proposal and three opposed</w:t>
      </w:r>
      <w:r>
        <w:rPr>
          <w:rFonts w:eastAsia="Calibri"/>
        </w:rPr>
        <w:t xml:space="preserve"> it</w:t>
      </w:r>
      <w:r w:rsidRPr="00A4147E">
        <w:rPr>
          <w:rFonts w:eastAsia="Calibri"/>
        </w:rPr>
        <w:t>.</w:t>
      </w:r>
      <w:r>
        <w:rPr>
          <w:rFonts w:eastAsia="Calibri"/>
        </w:rPr>
        <w:t xml:space="preserve"> Those supporting the proposal stated</w:t>
      </w:r>
      <w:r w:rsidRPr="00A4147E">
        <w:rPr>
          <w:rFonts w:eastAsia="Calibri"/>
        </w:rPr>
        <w:t xml:space="preserve"> that because embryo donation is ethically complex</w:t>
      </w:r>
      <w:r>
        <w:rPr>
          <w:rFonts w:eastAsia="Calibri"/>
        </w:rPr>
        <w:t>,</w:t>
      </w:r>
      <w:r w:rsidRPr="00A4147E">
        <w:rPr>
          <w:rFonts w:eastAsia="Calibri"/>
        </w:rPr>
        <w:t xml:space="preserve"> it should be carefully managed.</w:t>
      </w:r>
    </w:p>
    <w:p w14:paraId="1B19563F" w14:textId="77777777" w:rsidR="00547D02" w:rsidRPr="00A4147E" w:rsidRDefault="00547D02" w:rsidP="00F224C7">
      <w:pPr>
        <w:pStyle w:val="Number"/>
        <w:rPr>
          <w:rFonts w:eastAsia="Calibri"/>
        </w:rPr>
      </w:pPr>
      <w:r w:rsidRPr="00A4147E">
        <w:rPr>
          <w:rFonts w:eastAsia="Calibri"/>
        </w:rPr>
        <w:t>One submitter opposed the proposal because they thought that all embryo donations should go to ECART</w:t>
      </w:r>
      <w:r>
        <w:rPr>
          <w:rFonts w:eastAsia="Calibri"/>
        </w:rPr>
        <w:t xml:space="preserve"> (</w:t>
      </w:r>
      <w:proofErr w:type="spellStart"/>
      <w:r>
        <w:rPr>
          <w:rFonts w:eastAsia="Calibri"/>
        </w:rPr>
        <w:t>ie</w:t>
      </w:r>
      <w:proofErr w:type="spellEnd"/>
      <w:r>
        <w:rPr>
          <w:rFonts w:eastAsia="Calibri"/>
        </w:rPr>
        <w:t>, that there should be no exemptions)</w:t>
      </w:r>
      <w:r w:rsidRPr="00A4147E">
        <w:rPr>
          <w:rFonts w:eastAsia="Calibri"/>
        </w:rPr>
        <w:t xml:space="preserve">. Another </w:t>
      </w:r>
      <w:r>
        <w:rPr>
          <w:rFonts w:eastAsia="Calibri"/>
        </w:rPr>
        <w:t>submitter who opposed</w:t>
      </w:r>
      <w:r w:rsidRPr="00A4147E">
        <w:rPr>
          <w:rFonts w:eastAsia="Calibri"/>
        </w:rPr>
        <w:t xml:space="preserve"> the proposal thought that virtually all cases could be handled by</w:t>
      </w:r>
      <w:r>
        <w:rPr>
          <w:rFonts w:eastAsia="Calibri"/>
        </w:rPr>
        <w:t xml:space="preserve"> clinics</w:t>
      </w:r>
      <w:r w:rsidRPr="00A4147E">
        <w:rPr>
          <w:rFonts w:eastAsia="Calibri"/>
        </w:rPr>
        <w:t xml:space="preserve"> and therefore </w:t>
      </w:r>
      <w:r>
        <w:rPr>
          <w:rFonts w:eastAsia="Calibri"/>
        </w:rPr>
        <w:t xml:space="preserve">should </w:t>
      </w:r>
      <w:r w:rsidRPr="00A4147E">
        <w:rPr>
          <w:rFonts w:eastAsia="Calibri"/>
        </w:rPr>
        <w:t>not need to go to ECART.</w:t>
      </w:r>
    </w:p>
    <w:p w14:paraId="360E7911" w14:textId="77777777" w:rsidR="00547D02" w:rsidRPr="00A4147E" w:rsidRDefault="00547D02" w:rsidP="00F224C7">
      <w:pPr>
        <w:pStyle w:val="Number"/>
        <w:rPr>
          <w:rFonts w:eastAsia="Calibri"/>
        </w:rPr>
      </w:pPr>
      <w:r w:rsidRPr="00A4147E">
        <w:rPr>
          <w:rFonts w:eastAsia="Calibri"/>
        </w:rPr>
        <w:t xml:space="preserve">ACART concluded </w:t>
      </w:r>
      <w:r>
        <w:rPr>
          <w:rFonts w:eastAsia="Calibri"/>
        </w:rPr>
        <w:t>the proposal was sound, that none of the submissions outweighed ACART</w:t>
      </w:r>
      <w:r w:rsidR="000A0B49">
        <w:rPr>
          <w:rFonts w:eastAsia="Calibri"/>
        </w:rPr>
        <w:t>’</w:t>
      </w:r>
      <w:r>
        <w:rPr>
          <w:rFonts w:eastAsia="Calibri"/>
        </w:rPr>
        <w:t>s rationale and the change should go ahead.</w:t>
      </w:r>
    </w:p>
    <w:p w14:paraId="64475445" w14:textId="77777777" w:rsidR="00547D02" w:rsidRPr="001423BA" w:rsidRDefault="00547D02" w:rsidP="00F224C7"/>
    <w:p w14:paraId="1F78C5C4" w14:textId="77777777" w:rsidR="00547D02" w:rsidRPr="00A2019D" w:rsidRDefault="00547D02" w:rsidP="00F224C7">
      <w:pPr>
        <w:pStyle w:val="Heading2"/>
        <w:rPr>
          <w:szCs w:val="24"/>
        </w:rPr>
      </w:pPr>
      <w:bookmarkStart w:id="90" w:name="_Toc17118581"/>
      <w:bookmarkStart w:id="91" w:name="_Toc73459723"/>
      <w:r>
        <w:t xml:space="preserve">Change </w:t>
      </w:r>
      <w:r w:rsidRPr="00BF218E">
        <w:t>3</w:t>
      </w:r>
      <w:r>
        <w:t>: C</w:t>
      </w:r>
      <w:r w:rsidRPr="006F09A8">
        <w:t xml:space="preserve">onsent requirements </w:t>
      </w:r>
      <w:r>
        <w:t>are more detailed</w:t>
      </w:r>
      <w:r w:rsidRPr="006F09A8">
        <w:t xml:space="preserve"> </w:t>
      </w:r>
      <w:r w:rsidRPr="006F16B7">
        <w:t>and there are now more options for donating embryos</w:t>
      </w:r>
      <w:bookmarkEnd w:id="90"/>
      <w:bookmarkEnd w:id="91"/>
    </w:p>
    <w:p w14:paraId="7747BCDA" w14:textId="77777777" w:rsidR="00547D02" w:rsidRDefault="00547D02" w:rsidP="00F224C7">
      <w:pPr>
        <w:pStyle w:val="Number"/>
        <w:rPr>
          <w:rFonts w:eastAsia="Calibri"/>
        </w:rPr>
      </w:pPr>
      <w:r>
        <w:rPr>
          <w:rFonts w:eastAsia="Calibri"/>
        </w:rPr>
        <w:t xml:space="preserve">This section covers two closely related changes. Change 3A covers </w:t>
      </w:r>
      <w:r w:rsidRPr="00186CFA">
        <w:rPr>
          <w:rFonts w:eastAsia="Calibri"/>
        </w:rPr>
        <w:t>ACART</w:t>
      </w:r>
      <w:r w:rsidR="000A0B49">
        <w:rPr>
          <w:rFonts w:eastAsia="Calibri"/>
        </w:rPr>
        <w:t>’</w:t>
      </w:r>
      <w:r>
        <w:rPr>
          <w:rFonts w:eastAsia="Calibri"/>
        </w:rPr>
        <w:t>s</w:t>
      </w:r>
      <w:r w:rsidRPr="00186CFA">
        <w:rPr>
          <w:rFonts w:eastAsia="Calibri"/>
        </w:rPr>
        <w:t xml:space="preserve"> new, </w:t>
      </w:r>
      <w:r>
        <w:rPr>
          <w:rFonts w:eastAsia="Calibri"/>
        </w:rPr>
        <w:t>detailed provisions for consent. Change 3B is a specific new provision that allows</w:t>
      </w:r>
      <w:r w:rsidRPr="00186CFA">
        <w:rPr>
          <w:rFonts w:eastAsia="Calibri"/>
        </w:rPr>
        <w:t xml:space="preserve"> people to donate </w:t>
      </w:r>
      <w:r>
        <w:rPr>
          <w:rFonts w:eastAsia="Calibri"/>
        </w:rPr>
        <w:t>on to further recipients</w:t>
      </w:r>
      <w:r w:rsidRPr="00186CFA">
        <w:rPr>
          <w:rFonts w:eastAsia="Calibri"/>
        </w:rPr>
        <w:t xml:space="preserve"> embryo</w:t>
      </w:r>
      <w:r>
        <w:rPr>
          <w:rFonts w:eastAsia="Calibri"/>
        </w:rPr>
        <w:t xml:space="preserve">s </w:t>
      </w:r>
      <w:r w:rsidRPr="00186CFA">
        <w:rPr>
          <w:rFonts w:eastAsia="Calibri"/>
        </w:rPr>
        <w:t xml:space="preserve">that they have received from </w:t>
      </w:r>
      <w:r>
        <w:rPr>
          <w:rFonts w:eastAsia="Calibri"/>
        </w:rPr>
        <w:t xml:space="preserve">original intending parents </w:t>
      </w:r>
      <w:r w:rsidRPr="00DE551E">
        <w:rPr>
          <w:rFonts w:eastAsia="Calibri"/>
        </w:rPr>
        <w:t>or other recipients</w:t>
      </w:r>
      <w:r>
        <w:rPr>
          <w:rFonts w:eastAsia="Calibri"/>
        </w:rPr>
        <w:t xml:space="preserve"> </w:t>
      </w:r>
      <w:r w:rsidRPr="009D1549">
        <w:rPr>
          <w:rFonts w:eastAsia="Calibri"/>
          <w:b/>
        </w:rPr>
        <w:t>if</w:t>
      </w:r>
      <w:r>
        <w:rPr>
          <w:rFonts w:eastAsia="Calibri"/>
        </w:rPr>
        <w:t xml:space="preserve"> certain criteria are met. These donations, referred to as </w:t>
      </w:r>
      <w:r w:rsidR="000A0B49">
        <w:rPr>
          <w:rFonts w:eastAsia="Calibri"/>
        </w:rPr>
        <w:t>‘</w:t>
      </w:r>
      <w:r>
        <w:rPr>
          <w:rFonts w:eastAsia="Calibri"/>
        </w:rPr>
        <w:t>on-donations</w:t>
      </w:r>
      <w:r w:rsidR="000A0B49">
        <w:rPr>
          <w:rFonts w:eastAsia="Calibri"/>
        </w:rPr>
        <w:t>’</w:t>
      </w:r>
      <w:r>
        <w:rPr>
          <w:rFonts w:eastAsia="Calibri"/>
        </w:rPr>
        <w:t>, could have significant implications and ACART has carefully considered stakeholders</w:t>
      </w:r>
      <w:r w:rsidR="000A0B49">
        <w:rPr>
          <w:rFonts w:eastAsia="Calibri"/>
        </w:rPr>
        <w:t>’</w:t>
      </w:r>
      <w:r>
        <w:rPr>
          <w:rFonts w:eastAsia="Calibri"/>
        </w:rPr>
        <w:t xml:space="preserve"> submissions. Re-donation (by the original intending parents) is also now permitted, as discussed under Change 3B.</w:t>
      </w:r>
    </w:p>
    <w:p w14:paraId="1624F06F" w14:textId="77777777" w:rsidR="00547D02" w:rsidRPr="00186CFA" w:rsidRDefault="00547D02" w:rsidP="00F224C7">
      <w:pPr>
        <w:rPr>
          <w:rFonts w:eastAsia="Calibri"/>
        </w:rPr>
      </w:pPr>
    </w:p>
    <w:p w14:paraId="222881E8" w14:textId="77777777" w:rsidR="00547D02" w:rsidRPr="00011A66" w:rsidRDefault="00547D02" w:rsidP="00724708">
      <w:pPr>
        <w:pStyle w:val="Heading2-notforToC"/>
      </w:pPr>
      <w:bookmarkStart w:id="92" w:name="_Toc73458955"/>
      <w:r>
        <w:lastRenderedPageBreak/>
        <w:t>3A</w:t>
      </w:r>
      <w:r>
        <w:tab/>
      </w:r>
      <w:r w:rsidRPr="00011A66">
        <w:t>New, detailed provisions for consent</w:t>
      </w:r>
      <w:bookmarkEnd w:id="92"/>
    </w:p>
    <w:p w14:paraId="070C61E0" w14:textId="77777777" w:rsidR="00547D02" w:rsidRPr="00A045B7" w:rsidRDefault="00547D02" w:rsidP="00F224C7">
      <w:pPr>
        <w:pStyle w:val="Heading3"/>
        <w:rPr>
          <w:rFonts w:eastAsia="Calibri"/>
        </w:rPr>
      </w:pPr>
      <w:r w:rsidRPr="00A045B7">
        <w:rPr>
          <w:rFonts w:eastAsia="Calibri"/>
        </w:rPr>
        <w:t>ACART</w:t>
      </w:r>
      <w:r w:rsidR="000A0B49">
        <w:rPr>
          <w:rFonts w:eastAsia="Calibri"/>
        </w:rPr>
        <w:t>’</w:t>
      </w:r>
      <w:r w:rsidRPr="00A045B7">
        <w:rPr>
          <w:rFonts w:eastAsia="Calibri"/>
        </w:rPr>
        <w:t>s conclusions/decisions</w:t>
      </w:r>
    </w:p>
    <w:p w14:paraId="01137185" w14:textId="77777777" w:rsidR="00547D02" w:rsidRDefault="00547D02" w:rsidP="00F224C7">
      <w:pPr>
        <w:pStyle w:val="Number"/>
        <w:keepNext/>
        <w:rPr>
          <w:rFonts w:eastAsia="Calibri"/>
        </w:rPr>
      </w:pPr>
      <w:r>
        <w:rPr>
          <w:rFonts w:eastAsia="Calibri"/>
        </w:rPr>
        <w:t>ACART decided to include new and more detailed provisions for consent in the amended guidelines, with some changes for clarification.</w:t>
      </w:r>
    </w:p>
    <w:p w14:paraId="61F6B60F" w14:textId="77777777" w:rsidR="00547D02" w:rsidRDefault="00547D02" w:rsidP="00F224C7">
      <w:pPr>
        <w:pStyle w:val="Number"/>
        <w:rPr>
          <w:rFonts w:eastAsia="Calibri"/>
        </w:rPr>
      </w:pPr>
      <w:r>
        <w:rPr>
          <w:rFonts w:eastAsia="Calibri"/>
        </w:rPr>
        <w:t>The new provisions carefully set out who must consent to which activities, and when that consent must be given, if a procedure is to go ahead.</w:t>
      </w:r>
    </w:p>
    <w:p w14:paraId="50B346E0" w14:textId="77777777" w:rsidR="00547D02" w:rsidRPr="008B7A07" w:rsidRDefault="00547D02" w:rsidP="00F224C7">
      <w:pPr>
        <w:pStyle w:val="Number"/>
        <w:rPr>
          <w:rFonts w:eastAsia="Calibri"/>
        </w:rPr>
      </w:pPr>
      <w:r w:rsidRPr="008B7A07">
        <w:rPr>
          <w:rFonts w:eastAsia="Calibri"/>
        </w:rPr>
        <w:t>As is the case now, gamete donors will be able to change or withdraw their consent up to the point the gametes are used</w:t>
      </w:r>
      <w:r>
        <w:rPr>
          <w:rFonts w:eastAsia="Calibri"/>
        </w:rPr>
        <w:t xml:space="preserve"> to create an embryo. However, because the guidelines introduce new donation scenarios, ACART has also introduced a consent provision to cover potential retrospective effects of the new guidelines. That is, </w:t>
      </w:r>
      <w:r w:rsidRPr="00DA3787">
        <w:rPr>
          <w:rFonts w:eastAsia="Calibri"/>
        </w:rPr>
        <w:t xml:space="preserve">when a person or </w:t>
      </w:r>
      <w:r>
        <w:rPr>
          <w:rFonts w:eastAsia="Calibri"/>
        </w:rPr>
        <w:t>people</w:t>
      </w:r>
      <w:r w:rsidRPr="00DA3787">
        <w:rPr>
          <w:rFonts w:eastAsia="Calibri"/>
        </w:rPr>
        <w:t xml:space="preserve"> had donated gametes or embryos </w:t>
      </w:r>
      <w:r w:rsidRPr="00B821E1">
        <w:rPr>
          <w:rFonts w:eastAsia="Calibri"/>
          <w:b/>
        </w:rPr>
        <w:t xml:space="preserve">before these new guidelines were issued </w:t>
      </w:r>
      <w:r w:rsidRPr="00DA3787">
        <w:rPr>
          <w:rFonts w:eastAsia="Calibri"/>
        </w:rPr>
        <w:t>and a procedure is now intended that had not been possible under the previous guidelines</w:t>
      </w:r>
      <w:r>
        <w:rPr>
          <w:rFonts w:eastAsia="Calibri"/>
        </w:rPr>
        <w:t>,</w:t>
      </w:r>
      <w:r w:rsidRPr="00DA3787">
        <w:rPr>
          <w:rFonts w:eastAsia="Calibri"/>
        </w:rPr>
        <w:t xml:space="preserve"> the donors must give new consent. This requirement for a new consent applies even when donated gametes have already been used to create embryos</w:t>
      </w:r>
      <w:r>
        <w:rPr>
          <w:rFonts w:eastAsia="Calibri"/>
        </w:rPr>
        <w:t xml:space="preserve"> under the previous guidelines </w:t>
      </w:r>
      <w:r w:rsidRPr="00DA3787">
        <w:rPr>
          <w:rFonts w:eastAsia="Calibri"/>
        </w:rPr>
        <w:t xml:space="preserve">because the gamete donors might not have considered or consented to the use of </w:t>
      </w:r>
      <w:r>
        <w:rPr>
          <w:rFonts w:eastAsia="Calibri"/>
        </w:rPr>
        <w:t>the embryo that is now intended</w:t>
      </w:r>
      <w:r w:rsidRPr="00DA3787">
        <w:rPr>
          <w:rFonts w:eastAsia="Calibri"/>
        </w:rPr>
        <w:t>.</w:t>
      </w:r>
    </w:p>
    <w:p w14:paraId="08B2D41F" w14:textId="77777777" w:rsidR="00547D02" w:rsidRDefault="00547D02" w:rsidP="00F224C7">
      <w:pPr>
        <w:pStyle w:val="Number"/>
        <w:rPr>
          <w:rFonts w:eastAsia="Calibri"/>
        </w:rPr>
      </w:pPr>
      <w:r w:rsidRPr="002D4602">
        <w:rPr>
          <w:rFonts w:eastAsia="Calibri"/>
        </w:rPr>
        <w:t xml:space="preserve">ACART will provide </w:t>
      </w:r>
      <w:r>
        <w:rPr>
          <w:rFonts w:eastAsia="Calibri"/>
        </w:rPr>
        <w:t>a supplementary</w:t>
      </w:r>
      <w:r w:rsidRPr="002D4602">
        <w:rPr>
          <w:rFonts w:eastAsia="Calibri"/>
        </w:rPr>
        <w:t xml:space="preserve"> narrative to stakeholders when it publishes the guidelines</w:t>
      </w:r>
      <w:r>
        <w:rPr>
          <w:rFonts w:eastAsia="Calibri"/>
        </w:rPr>
        <w:t>,</w:t>
      </w:r>
      <w:r w:rsidRPr="002D4602">
        <w:rPr>
          <w:rFonts w:eastAsia="Calibri"/>
        </w:rPr>
        <w:t xml:space="preserve"> to ensure they understand how the consent process works. </w:t>
      </w:r>
      <w:r>
        <w:rPr>
          <w:rFonts w:eastAsia="Calibri"/>
        </w:rPr>
        <w:t>Some submitters suggested this option</w:t>
      </w:r>
      <w:r w:rsidRPr="002D4602">
        <w:rPr>
          <w:rFonts w:eastAsia="Calibri"/>
        </w:rPr>
        <w:t xml:space="preserve"> </w:t>
      </w:r>
      <w:r>
        <w:rPr>
          <w:rFonts w:eastAsia="Calibri"/>
        </w:rPr>
        <w:t xml:space="preserve">and ACART agrees that this is a good idea. A draft of the supplementary narrative </w:t>
      </w:r>
      <w:r w:rsidRPr="00027201">
        <w:rPr>
          <w:rFonts w:eastAsia="Calibri"/>
        </w:rPr>
        <w:t>is attached for your information</w:t>
      </w:r>
      <w:r>
        <w:rPr>
          <w:rFonts w:eastAsia="Calibri"/>
        </w:rPr>
        <w:t xml:space="preserve"> and ACART expects to have it finalised by October 2019.</w:t>
      </w:r>
    </w:p>
    <w:p w14:paraId="4F806D72" w14:textId="77777777" w:rsidR="00547D02" w:rsidRDefault="00547D02" w:rsidP="00F224C7">
      <w:pPr>
        <w:rPr>
          <w:rFonts w:eastAsia="Calibri"/>
        </w:rPr>
      </w:pPr>
    </w:p>
    <w:p w14:paraId="0CF3937F" w14:textId="77777777" w:rsidR="00547D02" w:rsidRPr="002D4602" w:rsidRDefault="00547D02" w:rsidP="00F224C7">
      <w:pPr>
        <w:pStyle w:val="Heading3"/>
        <w:rPr>
          <w:rFonts w:eastAsia="Calibri"/>
        </w:rPr>
      </w:pPr>
      <w:r w:rsidRPr="002D4602">
        <w:rPr>
          <w:rFonts w:eastAsia="Calibri"/>
        </w:rPr>
        <w:t>The problem</w:t>
      </w:r>
    </w:p>
    <w:p w14:paraId="776E23E2" w14:textId="77777777" w:rsidR="00547D02" w:rsidRDefault="00547D02" w:rsidP="00F224C7">
      <w:pPr>
        <w:pStyle w:val="Number"/>
        <w:rPr>
          <w:rFonts w:eastAsia="Calibri"/>
        </w:rPr>
      </w:pPr>
      <w:r>
        <w:rPr>
          <w:rFonts w:eastAsia="Calibri"/>
        </w:rPr>
        <w:t>Because ACART has rescinded th</w:t>
      </w:r>
      <w:r w:rsidRPr="006F09A8">
        <w:rPr>
          <w:rFonts w:eastAsia="Calibri"/>
        </w:rPr>
        <w:t>e mandatory biological link</w:t>
      </w:r>
      <w:r>
        <w:rPr>
          <w:rFonts w:eastAsia="Calibri"/>
        </w:rPr>
        <w:t xml:space="preserve"> policy,</w:t>
      </w:r>
      <w:r w:rsidRPr="006F09A8">
        <w:rPr>
          <w:rFonts w:eastAsia="Calibri"/>
        </w:rPr>
        <w:t xml:space="preserve"> </w:t>
      </w:r>
      <w:r>
        <w:rPr>
          <w:rFonts w:eastAsia="Calibri"/>
        </w:rPr>
        <w:t xml:space="preserve">it </w:t>
      </w:r>
      <w:r w:rsidRPr="006F09A8">
        <w:rPr>
          <w:rFonts w:eastAsia="Calibri"/>
        </w:rPr>
        <w:t xml:space="preserve">is now </w:t>
      </w:r>
      <w:r>
        <w:rPr>
          <w:rFonts w:eastAsia="Calibri"/>
        </w:rPr>
        <w:t>possible</w:t>
      </w:r>
      <w:r w:rsidRPr="006F09A8">
        <w:rPr>
          <w:rFonts w:eastAsia="Calibri"/>
        </w:rPr>
        <w:t xml:space="preserve"> for a greater range of donations </w:t>
      </w:r>
      <w:r>
        <w:rPr>
          <w:rFonts w:eastAsia="Calibri"/>
        </w:rPr>
        <w:t xml:space="preserve">to be made </w:t>
      </w:r>
      <w:r w:rsidRPr="006F09A8">
        <w:rPr>
          <w:rFonts w:eastAsia="Calibri"/>
        </w:rPr>
        <w:t xml:space="preserve">and </w:t>
      </w:r>
      <w:r>
        <w:rPr>
          <w:rFonts w:eastAsia="Calibri"/>
        </w:rPr>
        <w:t xml:space="preserve">for </w:t>
      </w:r>
      <w:r w:rsidRPr="006F09A8">
        <w:rPr>
          <w:rFonts w:eastAsia="Calibri"/>
        </w:rPr>
        <w:t>more com</w:t>
      </w:r>
      <w:r>
        <w:rPr>
          <w:rFonts w:eastAsia="Calibri"/>
        </w:rPr>
        <w:t>plex relationships to be created</w:t>
      </w:r>
      <w:r w:rsidRPr="006F09A8">
        <w:rPr>
          <w:rFonts w:eastAsia="Calibri"/>
        </w:rPr>
        <w:t xml:space="preserve">. Consequently, </w:t>
      </w:r>
      <w:r>
        <w:rPr>
          <w:rFonts w:eastAsia="Calibri"/>
        </w:rPr>
        <w:t xml:space="preserve">ACART needed to change the </w:t>
      </w:r>
      <w:r w:rsidRPr="006F09A8">
        <w:rPr>
          <w:rFonts w:eastAsia="Calibri"/>
        </w:rPr>
        <w:t xml:space="preserve">consent requirements </w:t>
      </w:r>
      <w:r>
        <w:rPr>
          <w:rFonts w:eastAsia="Calibri"/>
        </w:rPr>
        <w:t xml:space="preserve">to ensure they address the </w:t>
      </w:r>
      <w:r w:rsidRPr="006F09A8">
        <w:rPr>
          <w:rFonts w:eastAsia="Calibri"/>
        </w:rPr>
        <w:t>new donation scenarios</w:t>
      </w:r>
      <w:r>
        <w:rPr>
          <w:rFonts w:eastAsia="Calibri"/>
        </w:rPr>
        <w:t xml:space="preserve"> and to ensure that all parties give informed consent and that clinics and ECART understand who can or must consent to an activity.</w:t>
      </w:r>
    </w:p>
    <w:p w14:paraId="57639082" w14:textId="77777777" w:rsidR="00547D02" w:rsidRDefault="00547D02" w:rsidP="00F224C7">
      <w:pPr>
        <w:pStyle w:val="Number"/>
        <w:rPr>
          <w:rFonts w:eastAsia="Calibri"/>
        </w:rPr>
      </w:pPr>
      <w:r>
        <w:rPr>
          <w:rFonts w:eastAsia="Calibri"/>
        </w:rPr>
        <w:t>More specifically, a</w:t>
      </w:r>
      <w:r w:rsidRPr="00F073C5">
        <w:rPr>
          <w:rFonts w:eastAsia="Calibri"/>
        </w:rPr>
        <w:t xml:space="preserve">llowing procedures in which there </w:t>
      </w:r>
      <w:r>
        <w:rPr>
          <w:rFonts w:eastAsia="Calibri"/>
        </w:rPr>
        <w:t>is</w:t>
      </w:r>
      <w:r w:rsidRPr="00F073C5">
        <w:rPr>
          <w:rFonts w:eastAsia="Calibri"/>
        </w:rPr>
        <w:t xml:space="preserve"> no genetic or gestational link between the intending parents and offspring is likely to increase the complexity </w:t>
      </w:r>
      <w:r>
        <w:rPr>
          <w:rFonts w:eastAsia="Calibri"/>
        </w:rPr>
        <w:t>of their relationships and of relationships between them and gamete or embryo donors and surrogates. I</w:t>
      </w:r>
      <w:r w:rsidRPr="00F073C5">
        <w:rPr>
          <w:rFonts w:eastAsia="Calibri"/>
        </w:rPr>
        <w:t>n cases involving surrogacy, the legal complexity</w:t>
      </w:r>
      <w:r>
        <w:rPr>
          <w:rFonts w:eastAsia="Calibri"/>
        </w:rPr>
        <w:t xml:space="preserve"> will also increase.</w:t>
      </w:r>
    </w:p>
    <w:p w14:paraId="21ABAB5D" w14:textId="77777777" w:rsidR="00547D02" w:rsidRDefault="00547D02" w:rsidP="00F224C7">
      <w:pPr>
        <w:pStyle w:val="Number"/>
        <w:rPr>
          <w:rFonts w:eastAsia="Calibri"/>
        </w:rPr>
      </w:pPr>
      <w:r>
        <w:rPr>
          <w:rFonts w:eastAsia="Calibri"/>
        </w:rPr>
        <w:t>Additionally, the introduction of new donation and surrogacy options meant that people might wish to use stored gametes or embryos in a way that the donors had not considered when they initially donated the gametes or embryos. Therefore, ACART needed to introduce a new provision for donor consent to cover potential retrospective effects of the new guidelines.</w:t>
      </w:r>
    </w:p>
    <w:p w14:paraId="51D9C3FC" w14:textId="77777777" w:rsidR="00547D02" w:rsidRPr="003D1E8E" w:rsidRDefault="00547D02" w:rsidP="00F224C7">
      <w:pPr>
        <w:pStyle w:val="Heading3"/>
        <w:spacing w:before="600"/>
        <w:rPr>
          <w:rFonts w:eastAsia="Calibri"/>
        </w:rPr>
      </w:pPr>
      <w:r w:rsidRPr="003D1E8E">
        <w:rPr>
          <w:rFonts w:eastAsia="Calibri"/>
        </w:rPr>
        <w:lastRenderedPageBreak/>
        <w:t>ACART</w:t>
      </w:r>
      <w:r w:rsidR="000A0B49">
        <w:rPr>
          <w:rFonts w:eastAsia="Calibri"/>
        </w:rPr>
        <w:t>’</w:t>
      </w:r>
      <w:r w:rsidRPr="003D1E8E">
        <w:rPr>
          <w:rFonts w:eastAsia="Calibri"/>
        </w:rPr>
        <w:t>s initial and subsequent proposals</w:t>
      </w:r>
    </w:p>
    <w:p w14:paraId="2A40730A" w14:textId="77777777" w:rsidR="00547D02" w:rsidRDefault="00547D02" w:rsidP="00F224C7">
      <w:pPr>
        <w:pStyle w:val="Number"/>
        <w:rPr>
          <w:rFonts w:eastAsia="Calibri"/>
        </w:rPr>
      </w:pPr>
      <w:r w:rsidRPr="002D4602">
        <w:rPr>
          <w:rFonts w:eastAsia="Calibri"/>
        </w:rPr>
        <w:t>ACART</w:t>
      </w:r>
      <w:r w:rsidR="000A0B49">
        <w:rPr>
          <w:rFonts w:eastAsia="Calibri"/>
        </w:rPr>
        <w:t>’</w:t>
      </w:r>
      <w:r w:rsidRPr="002D4602">
        <w:rPr>
          <w:rFonts w:eastAsia="Calibri"/>
        </w:rPr>
        <w:t xml:space="preserve">s 2017 consultation </w:t>
      </w:r>
      <w:r>
        <w:rPr>
          <w:rFonts w:eastAsia="Calibri"/>
        </w:rPr>
        <w:t>asked submitters to comment on</w:t>
      </w:r>
      <w:r w:rsidRPr="002D4602">
        <w:rPr>
          <w:rFonts w:eastAsia="Calibri"/>
        </w:rPr>
        <w:t xml:space="preserve"> </w:t>
      </w:r>
      <w:r>
        <w:rPr>
          <w:rFonts w:eastAsia="Calibri"/>
        </w:rPr>
        <w:t xml:space="preserve">the proposed </w:t>
      </w:r>
      <w:r w:rsidRPr="002D4602">
        <w:rPr>
          <w:rFonts w:eastAsia="Calibri"/>
        </w:rPr>
        <w:t xml:space="preserve">provisions for </w:t>
      </w:r>
      <w:r>
        <w:rPr>
          <w:rFonts w:eastAsia="Calibri"/>
        </w:rPr>
        <w:t xml:space="preserve">obtaining consent </w:t>
      </w:r>
      <w:r w:rsidRPr="002D4602">
        <w:rPr>
          <w:rFonts w:eastAsia="Calibri"/>
        </w:rPr>
        <w:t>from gamete and embryo donors</w:t>
      </w:r>
      <w:r>
        <w:rPr>
          <w:rFonts w:eastAsia="Calibri"/>
        </w:rPr>
        <w:t xml:space="preserve"> and any other parties to a fertility procedure</w:t>
      </w:r>
      <w:r w:rsidRPr="002D4602">
        <w:rPr>
          <w:rFonts w:eastAsia="Calibri"/>
        </w:rPr>
        <w:t xml:space="preserve">. </w:t>
      </w:r>
      <w:r>
        <w:rPr>
          <w:rFonts w:eastAsia="Calibri"/>
        </w:rPr>
        <w:t>T</w:t>
      </w:r>
      <w:r w:rsidRPr="002D4602">
        <w:rPr>
          <w:rFonts w:eastAsia="Calibri"/>
        </w:rPr>
        <w:t xml:space="preserve">he submissions made it apparent that some people had interpreted the provisions in ways ACART had not anticipated </w:t>
      </w:r>
      <w:proofErr w:type="gramStart"/>
      <w:r w:rsidRPr="002D4602">
        <w:rPr>
          <w:rFonts w:eastAsia="Calibri"/>
        </w:rPr>
        <w:t xml:space="preserve">and </w:t>
      </w:r>
      <w:r>
        <w:rPr>
          <w:rFonts w:eastAsia="Calibri"/>
        </w:rPr>
        <w:t>also</w:t>
      </w:r>
      <w:proofErr w:type="gramEnd"/>
      <w:r>
        <w:rPr>
          <w:rFonts w:eastAsia="Calibri"/>
        </w:rPr>
        <w:t xml:space="preserve"> that some submitters </w:t>
      </w:r>
      <w:r w:rsidRPr="002D4602">
        <w:rPr>
          <w:rFonts w:eastAsia="Calibri"/>
        </w:rPr>
        <w:t>had not understood some of ACART</w:t>
      </w:r>
      <w:r w:rsidR="000A0B49">
        <w:rPr>
          <w:rFonts w:eastAsia="Calibri"/>
        </w:rPr>
        <w:t>’</w:t>
      </w:r>
      <w:r w:rsidRPr="002D4602">
        <w:rPr>
          <w:rFonts w:eastAsia="Calibri"/>
        </w:rPr>
        <w:t>s intentions.</w:t>
      </w:r>
    </w:p>
    <w:p w14:paraId="058A0DF8" w14:textId="77777777" w:rsidR="00547D02" w:rsidRDefault="00547D02" w:rsidP="00F224C7">
      <w:pPr>
        <w:pStyle w:val="Number"/>
        <w:rPr>
          <w:rFonts w:eastAsia="Calibri"/>
        </w:rPr>
      </w:pPr>
      <w:r w:rsidRPr="002D4602">
        <w:rPr>
          <w:rFonts w:eastAsia="Calibri"/>
        </w:rPr>
        <w:t>Consequently, ACART further amended the consent requirements and consulted on these in 2019.</w:t>
      </w:r>
      <w:r>
        <w:rPr>
          <w:rFonts w:eastAsia="Calibri"/>
        </w:rPr>
        <w:t xml:space="preserve"> </w:t>
      </w:r>
      <w:r w:rsidRPr="002D4602">
        <w:rPr>
          <w:rFonts w:eastAsia="Calibri"/>
        </w:rPr>
        <w:t xml:space="preserve">The consent provisions in the 2019 consultation </w:t>
      </w:r>
      <w:r>
        <w:rPr>
          <w:rFonts w:eastAsia="Calibri"/>
        </w:rPr>
        <w:t>are</w:t>
      </w:r>
      <w:r w:rsidRPr="002D4602">
        <w:rPr>
          <w:rFonts w:eastAsia="Calibri"/>
        </w:rPr>
        <w:t xml:space="preserve"> </w:t>
      </w:r>
      <w:r>
        <w:rPr>
          <w:rFonts w:eastAsia="Calibri"/>
        </w:rPr>
        <w:t xml:space="preserve">more </w:t>
      </w:r>
      <w:r w:rsidRPr="002D4602">
        <w:rPr>
          <w:rFonts w:eastAsia="Calibri"/>
        </w:rPr>
        <w:t>detail</w:t>
      </w:r>
      <w:r>
        <w:rPr>
          <w:rFonts w:eastAsia="Calibri"/>
        </w:rPr>
        <w:t>ed than those in the 2017 consultation</w:t>
      </w:r>
      <w:r w:rsidRPr="002D4602">
        <w:rPr>
          <w:rFonts w:eastAsia="Calibri"/>
        </w:rPr>
        <w:t xml:space="preserve"> and cover </w:t>
      </w:r>
      <w:proofErr w:type="gramStart"/>
      <w:r w:rsidRPr="002D4602">
        <w:rPr>
          <w:rFonts w:eastAsia="Calibri"/>
        </w:rPr>
        <w:t>all of</w:t>
      </w:r>
      <w:proofErr w:type="gramEnd"/>
      <w:r w:rsidRPr="002D4602">
        <w:rPr>
          <w:rFonts w:eastAsia="Calibri"/>
        </w:rPr>
        <w:t xml:space="preserve"> the types of donation that could arise</w:t>
      </w:r>
      <w:r>
        <w:rPr>
          <w:rFonts w:eastAsia="Calibri"/>
        </w:rPr>
        <w:t>.</w:t>
      </w:r>
    </w:p>
    <w:p w14:paraId="1C469393" w14:textId="77777777" w:rsidR="00547D02" w:rsidRDefault="00547D02" w:rsidP="00F224C7">
      <w:pPr>
        <w:rPr>
          <w:rFonts w:eastAsia="Calibri"/>
        </w:rPr>
      </w:pPr>
    </w:p>
    <w:p w14:paraId="5A9835E2" w14:textId="77777777" w:rsidR="00547D02" w:rsidRDefault="00547D02" w:rsidP="00F224C7">
      <w:pPr>
        <w:pStyle w:val="Heading3"/>
        <w:rPr>
          <w:rFonts w:eastAsia="Calibri"/>
        </w:rPr>
      </w:pPr>
      <w:r w:rsidRPr="00F073C5">
        <w:rPr>
          <w:rFonts w:eastAsia="Calibri"/>
        </w:rPr>
        <w:t>Benefits of the changes</w:t>
      </w:r>
    </w:p>
    <w:p w14:paraId="1C5803E2" w14:textId="77777777" w:rsidR="00547D02" w:rsidRDefault="00547D02" w:rsidP="00F224C7">
      <w:pPr>
        <w:pStyle w:val="Number"/>
        <w:rPr>
          <w:rFonts w:eastAsia="Calibri"/>
        </w:rPr>
      </w:pPr>
      <w:r w:rsidRPr="00DF7FCA">
        <w:rPr>
          <w:rFonts w:eastAsia="Calibri"/>
        </w:rPr>
        <w:t xml:space="preserve">The amended provisions will </w:t>
      </w:r>
      <w:r>
        <w:rPr>
          <w:rFonts w:eastAsia="Calibri"/>
        </w:rPr>
        <w:t xml:space="preserve">account for </w:t>
      </w:r>
      <w:proofErr w:type="gramStart"/>
      <w:r>
        <w:rPr>
          <w:rFonts w:eastAsia="Calibri"/>
        </w:rPr>
        <w:t>all of</w:t>
      </w:r>
      <w:proofErr w:type="gramEnd"/>
      <w:r>
        <w:rPr>
          <w:rFonts w:eastAsia="Calibri"/>
        </w:rPr>
        <w:t xml:space="preserve"> the new donation scenarios and </w:t>
      </w:r>
      <w:r w:rsidRPr="00DF7FCA">
        <w:rPr>
          <w:rFonts w:eastAsia="Calibri"/>
        </w:rPr>
        <w:t>ensure parties make informed choices about the specific use of their gametes or embryos, taking into account the long-term implications.</w:t>
      </w:r>
      <w:r>
        <w:rPr>
          <w:rFonts w:eastAsia="Calibri"/>
        </w:rPr>
        <w:t xml:space="preserve"> </w:t>
      </w:r>
      <w:r w:rsidRPr="00DF7FCA">
        <w:rPr>
          <w:rFonts w:eastAsia="Calibri"/>
        </w:rPr>
        <w:t>The provisions make it clear when certain donations are not permitted, giving all parties a clear understanding of the</w:t>
      </w:r>
      <w:r>
        <w:rPr>
          <w:rFonts w:eastAsia="Calibri"/>
        </w:rPr>
        <w:t>ir</w:t>
      </w:r>
      <w:r w:rsidRPr="00DF7FCA">
        <w:rPr>
          <w:rFonts w:eastAsia="Calibri"/>
        </w:rPr>
        <w:t xml:space="preserve"> options.</w:t>
      </w:r>
    </w:p>
    <w:p w14:paraId="7799B457" w14:textId="77777777" w:rsidR="00F224C7" w:rsidRPr="00F224C7" w:rsidRDefault="00F224C7" w:rsidP="00F224C7">
      <w:pPr>
        <w:rPr>
          <w:rFonts w:eastAsia="Calibri"/>
        </w:rPr>
      </w:pPr>
    </w:p>
    <w:p w14:paraId="5EA85322" w14:textId="77777777" w:rsidR="00547D02" w:rsidRDefault="00547D02" w:rsidP="00F224C7">
      <w:pPr>
        <w:pStyle w:val="Heading3"/>
        <w:rPr>
          <w:rFonts w:eastAsia="Calibri"/>
        </w:rPr>
      </w:pPr>
      <w:r w:rsidRPr="00F073C5">
        <w:rPr>
          <w:rFonts w:eastAsia="Calibri"/>
        </w:rPr>
        <w:t>Risks of the changes</w:t>
      </w:r>
    </w:p>
    <w:p w14:paraId="7A8A1DFC" w14:textId="77777777" w:rsidR="00547D02" w:rsidRDefault="00547D02" w:rsidP="00F224C7">
      <w:pPr>
        <w:pStyle w:val="Number"/>
        <w:rPr>
          <w:rFonts w:eastAsia="Calibri"/>
        </w:rPr>
      </w:pPr>
      <w:r w:rsidRPr="003340A2">
        <w:rPr>
          <w:rFonts w:eastAsia="Calibri"/>
        </w:rPr>
        <w:t>ACART has not identified any risks associated with th</w:t>
      </w:r>
      <w:r>
        <w:rPr>
          <w:rFonts w:eastAsia="Calibri"/>
        </w:rPr>
        <w:t>e new consent provisions</w:t>
      </w:r>
      <w:r w:rsidRPr="003340A2">
        <w:rPr>
          <w:rFonts w:eastAsia="Calibri"/>
        </w:rPr>
        <w:t>.</w:t>
      </w:r>
      <w:r>
        <w:rPr>
          <w:rFonts w:eastAsia="Calibri"/>
        </w:rPr>
        <w:t xml:space="preserve"> They exist to mitigate potential risks from the greater variety of donation scenarios possible. Although the consent provisions are detailed, and in some cases refer to one another, they are clear and logical.</w:t>
      </w:r>
    </w:p>
    <w:p w14:paraId="1FAD3633" w14:textId="77777777" w:rsidR="00547D02" w:rsidRPr="003340A2" w:rsidRDefault="00547D02" w:rsidP="00F224C7">
      <w:pPr>
        <w:rPr>
          <w:rFonts w:eastAsia="Calibri"/>
        </w:rPr>
      </w:pPr>
    </w:p>
    <w:p w14:paraId="5304FA7F" w14:textId="77777777" w:rsidR="00547D02" w:rsidRPr="00186CFA" w:rsidRDefault="00547D02" w:rsidP="00F224C7">
      <w:pPr>
        <w:pStyle w:val="Heading3"/>
        <w:rPr>
          <w:rFonts w:eastAsia="Calibri"/>
        </w:rPr>
      </w:pPr>
      <w:r w:rsidRPr="00186CFA">
        <w:rPr>
          <w:rFonts w:eastAsia="Calibri"/>
        </w:rPr>
        <w:t>Submitters</w:t>
      </w:r>
      <w:r w:rsidR="000A0B49">
        <w:rPr>
          <w:rFonts w:eastAsia="Calibri"/>
        </w:rPr>
        <w:t>’</w:t>
      </w:r>
      <w:r w:rsidRPr="00186CFA">
        <w:rPr>
          <w:rFonts w:eastAsia="Calibri"/>
        </w:rPr>
        <w:t xml:space="preserve"> views and ACART</w:t>
      </w:r>
      <w:r w:rsidR="000A0B49">
        <w:rPr>
          <w:rFonts w:eastAsia="Calibri"/>
        </w:rPr>
        <w:t>’</w:t>
      </w:r>
      <w:r w:rsidRPr="00186CFA">
        <w:rPr>
          <w:rFonts w:eastAsia="Calibri"/>
        </w:rPr>
        <w:t>s assessment of th</w:t>
      </w:r>
      <w:r>
        <w:rPr>
          <w:rFonts w:eastAsia="Calibri"/>
        </w:rPr>
        <w:t>em</w:t>
      </w:r>
    </w:p>
    <w:p w14:paraId="010ACE48" w14:textId="77777777" w:rsidR="00547D02" w:rsidRDefault="00547D02" w:rsidP="00F224C7">
      <w:pPr>
        <w:pStyle w:val="Number"/>
        <w:rPr>
          <w:rFonts w:eastAsia="Calibri"/>
        </w:rPr>
      </w:pPr>
      <w:r>
        <w:rPr>
          <w:rFonts w:eastAsia="Calibri"/>
        </w:rPr>
        <w:t xml:space="preserve">When ACART consulted in 2017, 80 percent (16 of 20) of submitters supported the proposed provisions. The four who were not in favour were not opposed in principle but rather they wanted clarifications. Some submitters asked whether re-consenting would be </w:t>
      </w:r>
      <w:proofErr w:type="gramStart"/>
      <w:r>
        <w:rPr>
          <w:rFonts w:eastAsia="Calibri"/>
        </w:rPr>
        <w:t>needed</w:t>
      </w:r>
      <w:proofErr w:type="gramEnd"/>
      <w:r>
        <w:rPr>
          <w:rFonts w:eastAsia="Calibri"/>
        </w:rPr>
        <w:t xml:space="preserve"> and some submitters appeared not to have fully understood ACART</w:t>
      </w:r>
      <w:r w:rsidR="000A0B49">
        <w:rPr>
          <w:rFonts w:eastAsia="Calibri"/>
        </w:rPr>
        <w:t>’</w:t>
      </w:r>
      <w:r>
        <w:rPr>
          <w:rFonts w:eastAsia="Calibri"/>
        </w:rPr>
        <w:t>s intentions.</w:t>
      </w:r>
    </w:p>
    <w:p w14:paraId="1698421A" w14:textId="77777777" w:rsidR="00547D02" w:rsidRDefault="00547D02" w:rsidP="00F224C7">
      <w:pPr>
        <w:pStyle w:val="Number"/>
        <w:rPr>
          <w:rFonts w:eastAsia="Calibri"/>
        </w:rPr>
      </w:pPr>
      <w:r>
        <w:rPr>
          <w:rFonts w:eastAsia="Calibri"/>
        </w:rPr>
        <w:t xml:space="preserve">Consequently, ACART consulted again in 2019 to clarify its intentions and provide clearer, more detailed consent provisions. </w:t>
      </w:r>
      <w:r w:rsidRPr="00186CFA">
        <w:rPr>
          <w:rFonts w:eastAsia="Calibri"/>
        </w:rPr>
        <w:t>Nine submitters supported the</w:t>
      </w:r>
      <w:r>
        <w:rPr>
          <w:rFonts w:eastAsia="Calibri"/>
        </w:rPr>
        <w:t>se revised</w:t>
      </w:r>
      <w:r w:rsidRPr="00186CFA">
        <w:rPr>
          <w:rFonts w:eastAsia="Calibri"/>
        </w:rPr>
        <w:t xml:space="preserve"> provisions, two opposed, and three commented on the timing of consent and the need to ensure that the right people could consent at the right time.</w:t>
      </w:r>
    </w:p>
    <w:p w14:paraId="6A2C9DC9" w14:textId="77777777" w:rsidR="00547D02" w:rsidRDefault="00547D02" w:rsidP="00F224C7">
      <w:pPr>
        <w:pStyle w:val="Number"/>
        <w:rPr>
          <w:rFonts w:eastAsia="Calibri"/>
        </w:rPr>
      </w:pPr>
      <w:r>
        <w:rPr>
          <w:rFonts w:eastAsia="Calibri"/>
        </w:rPr>
        <w:t>One opposing submitter was concerned about the increased complexity of relationships and considered that there will be more families with donor-conceived children than ACART anticipates.</w:t>
      </w:r>
    </w:p>
    <w:p w14:paraId="4CAE1228" w14:textId="77777777" w:rsidR="00547D02" w:rsidRDefault="00547D02" w:rsidP="00F224C7">
      <w:pPr>
        <w:pStyle w:val="Number"/>
        <w:rPr>
          <w:rFonts w:eastAsia="Calibri"/>
        </w:rPr>
      </w:pPr>
      <w:r>
        <w:rPr>
          <w:rFonts w:eastAsia="Calibri"/>
        </w:rPr>
        <w:lastRenderedPageBreak/>
        <w:t xml:space="preserve">ACART concluded that the provisions are </w:t>
      </w:r>
      <w:proofErr w:type="gramStart"/>
      <w:r>
        <w:rPr>
          <w:rFonts w:eastAsia="Calibri"/>
        </w:rPr>
        <w:t>suitable</w:t>
      </w:r>
      <w:proofErr w:type="gramEnd"/>
      <w:r>
        <w:rPr>
          <w:rFonts w:eastAsia="Calibri"/>
        </w:rPr>
        <w:t xml:space="preserve"> and any risks will be managed with proper, informed consent, counselling and the ECART process. </w:t>
      </w:r>
      <w:r w:rsidRPr="00DE551E">
        <w:rPr>
          <w:rFonts w:eastAsia="Calibri"/>
        </w:rPr>
        <w:t xml:space="preserve">Based on the responses to the 2019 consultation, </w:t>
      </w:r>
      <w:r>
        <w:rPr>
          <w:rFonts w:eastAsia="Calibri"/>
        </w:rPr>
        <w:t xml:space="preserve">ACART made minor changes to improve clarity and believes the provisions are fit for purpose. ACART agrees that it is important that all parties understand the timing of consent and will include commentary on that in its </w:t>
      </w:r>
      <w:r w:rsidRPr="00027201">
        <w:rPr>
          <w:rFonts w:eastAsia="Calibri"/>
        </w:rPr>
        <w:t>supplementary narrative.</w:t>
      </w:r>
    </w:p>
    <w:p w14:paraId="4CFB5A81" w14:textId="77777777" w:rsidR="00547D02" w:rsidRDefault="00547D02" w:rsidP="00F224C7">
      <w:pPr>
        <w:rPr>
          <w:rFonts w:eastAsia="Calibri"/>
        </w:rPr>
      </w:pPr>
    </w:p>
    <w:p w14:paraId="61CBD5C3" w14:textId="77777777" w:rsidR="00547D02" w:rsidRPr="00011A66" w:rsidRDefault="00547D02" w:rsidP="00724708">
      <w:pPr>
        <w:pStyle w:val="Heading2-notforToC"/>
      </w:pPr>
      <w:bookmarkStart w:id="93" w:name="_Toc73458956"/>
      <w:r w:rsidRPr="00011A66">
        <w:t>3B</w:t>
      </w:r>
      <w:r w:rsidRPr="00011A66">
        <w:tab/>
        <w:t>Authority regarding use of embryos, on-donation and re</w:t>
      </w:r>
      <w:r w:rsidR="00F224C7">
        <w:noBreakHyphen/>
      </w:r>
      <w:r w:rsidRPr="00011A66">
        <w:t>donation</w:t>
      </w:r>
      <w:bookmarkEnd w:id="93"/>
    </w:p>
    <w:p w14:paraId="63D47DF1" w14:textId="77777777" w:rsidR="00547D02" w:rsidRPr="00A045B7" w:rsidRDefault="00547D02" w:rsidP="00F224C7">
      <w:pPr>
        <w:pStyle w:val="Heading3"/>
        <w:rPr>
          <w:rFonts w:eastAsia="Calibri"/>
        </w:rPr>
      </w:pPr>
      <w:r w:rsidRPr="00A045B7">
        <w:rPr>
          <w:rFonts w:eastAsia="Calibri"/>
        </w:rPr>
        <w:t>ACART</w:t>
      </w:r>
      <w:r w:rsidR="000A0B49">
        <w:rPr>
          <w:rFonts w:eastAsia="Calibri"/>
        </w:rPr>
        <w:t>’</w:t>
      </w:r>
      <w:r w:rsidRPr="00A045B7">
        <w:rPr>
          <w:rFonts w:eastAsia="Calibri"/>
        </w:rPr>
        <w:t>s conclusions/decisions</w:t>
      </w:r>
    </w:p>
    <w:p w14:paraId="69F07A2A" w14:textId="77777777" w:rsidR="00547D02" w:rsidRDefault="00547D02" w:rsidP="00F224C7">
      <w:pPr>
        <w:pStyle w:val="Number"/>
      </w:pPr>
      <w:r>
        <w:t>ACART</w:t>
      </w:r>
      <w:r w:rsidR="000A0B49">
        <w:t>’</w:t>
      </w:r>
      <w:r>
        <w:t>s conclusion is that the</w:t>
      </w:r>
      <w:r w:rsidRPr="00C072BA">
        <w:t xml:space="preserve"> </w:t>
      </w:r>
      <w:r w:rsidRPr="00180538">
        <w:rPr>
          <w:rFonts w:eastAsia="Calibri"/>
          <w:szCs w:val="24"/>
        </w:rPr>
        <w:t>provision</w:t>
      </w:r>
      <w:r>
        <w:rPr>
          <w:rFonts w:eastAsia="Calibri"/>
          <w:szCs w:val="24"/>
        </w:rPr>
        <w:t xml:space="preserve"> for consenting to the donation of embryos</w:t>
      </w:r>
      <w:r w:rsidRPr="00C072BA">
        <w:t xml:space="preserve"> </w:t>
      </w:r>
      <w:r>
        <w:t>is fit for purpose. The provision will ensure that when embryos are donated, under the conditions discussed below (such as on-donation and re-donation), the party that agrees to make that donation is the appropriate one to do so.</w:t>
      </w:r>
    </w:p>
    <w:p w14:paraId="498B8183" w14:textId="77777777" w:rsidR="00547D02" w:rsidRDefault="00547D02" w:rsidP="00F224C7">
      <w:pPr>
        <w:pStyle w:val="Number"/>
      </w:pPr>
      <w:r>
        <w:t>In most cases, the original intending parents (for whom the embryos were created) will have the authority to donate or re-donate embryos. Such donations will be possible if the criteria are met, including the two-families limit for full genetic siblings.</w:t>
      </w:r>
    </w:p>
    <w:p w14:paraId="07F459C8" w14:textId="77777777" w:rsidR="00547D02" w:rsidRPr="00DF7FCA" w:rsidRDefault="00547D02" w:rsidP="00F224C7">
      <w:pPr>
        <w:pStyle w:val="Number"/>
      </w:pPr>
      <w:r>
        <w:t>While other parties might believe they could or should have a say in the use of the embryo, the counselling process will ensure parties are aware of the potential donation of embryos when they first take part in fertility treatment. Parties will be made aware that an embryo donation might happen that they could have no control over, although they could place conditions on their initial donation to preclude further donations.</w:t>
      </w:r>
    </w:p>
    <w:p w14:paraId="4425034E" w14:textId="77777777" w:rsidR="00547D02" w:rsidRDefault="00547D02" w:rsidP="00F224C7">
      <w:pPr>
        <w:pStyle w:val="Number"/>
      </w:pPr>
      <w:r w:rsidRPr="00C072BA">
        <w:t xml:space="preserve">ACART decided it </w:t>
      </w:r>
      <w:r w:rsidRPr="00C072BA">
        <w:rPr>
          <w:rFonts w:eastAsia="Calibri"/>
        </w:rPr>
        <w:t>would</w:t>
      </w:r>
      <w:r w:rsidRPr="00C072BA">
        <w:t xml:space="preserve"> also add narrative to the </w:t>
      </w:r>
      <w:r>
        <w:t>supplementary</w:t>
      </w:r>
      <w:r w:rsidRPr="00C072BA">
        <w:t xml:space="preserve"> advice to clinics so that</w:t>
      </w:r>
      <w:r>
        <w:t xml:space="preserve"> they understand</w:t>
      </w:r>
      <w:r w:rsidRPr="00C072BA">
        <w:t xml:space="preserve"> the purpose of the provision and </w:t>
      </w:r>
      <w:r w:rsidRPr="00C072BA">
        <w:rPr>
          <w:rFonts w:eastAsia="Calibri"/>
        </w:rPr>
        <w:t>any</w:t>
      </w:r>
      <w:r w:rsidRPr="00C072BA">
        <w:t xml:space="preserve"> expectations on ECART and clinics.</w:t>
      </w:r>
    </w:p>
    <w:p w14:paraId="5AFCA346" w14:textId="77777777" w:rsidR="00547D02" w:rsidRPr="00C072BA" w:rsidRDefault="00547D02" w:rsidP="00F224C7"/>
    <w:p w14:paraId="29108966" w14:textId="77777777" w:rsidR="00547D02" w:rsidRDefault="00547D02" w:rsidP="00F224C7">
      <w:pPr>
        <w:pStyle w:val="Heading3"/>
        <w:rPr>
          <w:rFonts w:eastAsia="Calibri"/>
        </w:rPr>
      </w:pPr>
      <w:r w:rsidRPr="00365D29">
        <w:rPr>
          <w:rFonts w:eastAsia="Calibri"/>
        </w:rPr>
        <w:t>The problem</w:t>
      </w:r>
    </w:p>
    <w:p w14:paraId="7A73E724" w14:textId="77777777" w:rsidR="00547D02" w:rsidRDefault="00547D02" w:rsidP="00F224C7">
      <w:pPr>
        <w:pStyle w:val="Number"/>
        <w:rPr>
          <w:rFonts w:eastAsia="Calibri"/>
        </w:rPr>
      </w:pPr>
      <w:r>
        <w:rPr>
          <w:rFonts w:eastAsia="Calibri"/>
        </w:rPr>
        <w:t>Removing</w:t>
      </w:r>
      <w:r w:rsidRPr="0045149F">
        <w:rPr>
          <w:rFonts w:eastAsia="Calibri"/>
        </w:rPr>
        <w:t xml:space="preserve"> the mandatory biological link </w:t>
      </w:r>
      <w:r>
        <w:rPr>
          <w:rFonts w:eastAsia="Calibri"/>
        </w:rPr>
        <w:t>extends the</w:t>
      </w:r>
      <w:r w:rsidRPr="0045149F">
        <w:rPr>
          <w:rFonts w:eastAsia="Calibri"/>
        </w:rPr>
        <w:t xml:space="preserve"> range of donations </w:t>
      </w:r>
      <w:r>
        <w:rPr>
          <w:rFonts w:eastAsia="Calibri"/>
        </w:rPr>
        <w:t xml:space="preserve">that </w:t>
      </w:r>
      <w:r w:rsidRPr="0045149F">
        <w:rPr>
          <w:rFonts w:eastAsia="Calibri"/>
        </w:rPr>
        <w:t xml:space="preserve">can be made and </w:t>
      </w:r>
      <w:r>
        <w:rPr>
          <w:rFonts w:eastAsia="Calibri"/>
        </w:rPr>
        <w:t xml:space="preserve">allows </w:t>
      </w:r>
      <w:r w:rsidRPr="0045149F">
        <w:rPr>
          <w:rFonts w:eastAsia="Calibri"/>
        </w:rPr>
        <w:t xml:space="preserve">more complex family arrangements </w:t>
      </w:r>
      <w:r>
        <w:rPr>
          <w:rFonts w:eastAsia="Calibri"/>
        </w:rPr>
        <w:t>to</w:t>
      </w:r>
      <w:r w:rsidRPr="0045149F">
        <w:rPr>
          <w:rFonts w:eastAsia="Calibri"/>
        </w:rPr>
        <w:t xml:space="preserve"> be created. </w:t>
      </w:r>
      <w:r>
        <w:rPr>
          <w:rFonts w:eastAsia="Calibri"/>
        </w:rPr>
        <w:t>ACART needed to elaborate on the provisions for donating embryos and consenting and make them clearer so that parties could readily understand which donations were permitted, which were not, and whose consent needed to be obtained in the different scenarios.</w:t>
      </w:r>
    </w:p>
    <w:p w14:paraId="4B774F28" w14:textId="77777777" w:rsidR="00547D02" w:rsidRDefault="00547D02" w:rsidP="00F224C7">
      <w:pPr>
        <w:rPr>
          <w:rFonts w:eastAsia="Calibri"/>
        </w:rPr>
      </w:pPr>
    </w:p>
    <w:p w14:paraId="3B248DC5" w14:textId="77777777" w:rsidR="00547D02" w:rsidRPr="003D1E8E" w:rsidRDefault="00547D02" w:rsidP="00F224C7">
      <w:pPr>
        <w:pStyle w:val="Heading3"/>
        <w:rPr>
          <w:rFonts w:eastAsia="Calibri"/>
        </w:rPr>
      </w:pPr>
      <w:r w:rsidRPr="003D1E8E">
        <w:rPr>
          <w:rFonts w:eastAsia="Calibri"/>
        </w:rPr>
        <w:lastRenderedPageBreak/>
        <w:t>ACART</w:t>
      </w:r>
      <w:r w:rsidR="000A0B49">
        <w:rPr>
          <w:rFonts w:eastAsia="Calibri"/>
        </w:rPr>
        <w:t>’</w:t>
      </w:r>
      <w:r w:rsidRPr="003D1E8E">
        <w:rPr>
          <w:rFonts w:eastAsia="Calibri"/>
        </w:rPr>
        <w:t>s proposed changes</w:t>
      </w:r>
    </w:p>
    <w:p w14:paraId="045F890D" w14:textId="77777777" w:rsidR="00547D02" w:rsidRDefault="00547D02" w:rsidP="00F224C7">
      <w:pPr>
        <w:pStyle w:val="Number"/>
        <w:rPr>
          <w:rFonts w:eastAsia="Calibri"/>
        </w:rPr>
      </w:pPr>
      <w:r w:rsidRPr="000E0111">
        <w:rPr>
          <w:rFonts w:eastAsia="Calibri"/>
        </w:rPr>
        <w:t>In 2017, ACART</w:t>
      </w:r>
      <w:r w:rsidR="000A0B49">
        <w:rPr>
          <w:rFonts w:eastAsia="Calibri"/>
        </w:rPr>
        <w:t>’</w:t>
      </w:r>
      <w:r w:rsidRPr="000E0111">
        <w:rPr>
          <w:rFonts w:eastAsia="Calibri"/>
        </w:rPr>
        <w:t xml:space="preserve">s consultation noted that rescinding the mandatory biological link policy raised the possibility that recipients of donated embryos might wish to </w:t>
      </w:r>
      <w:r w:rsidR="000A0B49">
        <w:rPr>
          <w:rFonts w:eastAsia="Calibri"/>
        </w:rPr>
        <w:t>‘</w:t>
      </w:r>
      <w:r w:rsidRPr="000E0111">
        <w:rPr>
          <w:rFonts w:eastAsia="Calibri"/>
        </w:rPr>
        <w:t>on-donate</w:t>
      </w:r>
      <w:r w:rsidR="000A0B49">
        <w:rPr>
          <w:rFonts w:eastAsia="Calibri"/>
        </w:rPr>
        <w:t>’</w:t>
      </w:r>
      <w:r w:rsidRPr="000E0111">
        <w:rPr>
          <w:rFonts w:eastAsia="Calibri"/>
        </w:rPr>
        <w:t xml:space="preserve"> embryos they have not used. ACART proposed that on-donation would be precluded, even if the two</w:t>
      </w:r>
      <w:r>
        <w:rPr>
          <w:rFonts w:eastAsia="Calibri"/>
        </w:rPr>
        <w:t>-</w:t>
      </w:r>
      <w:r w:rsidRPr="000E0111">
        <w:rPr>
          <w:rFonts w:eastAsia="Calibri"/>
        </w:rPr>
        <w:t>famil</w:t>
      </w:r>
      <w:r>
        <w:rPr>
          <w:rFonts w:eastAsia="Calibri"/>
        </w:rPr>
        <w:t>y</w:t>
      </w:r>
      <w:r w:rsidRPr="000E0111">
        <w:rPr>
          <w:rFonts w:eastAsia="Calibri"/>
        </w:rPr>
        <w:t xml:space="preserve"> limit would not be breached. ACART proposed that the original intending parents would always have the authority to decide</w:t>
      </w:r>
      <w:r>
        <w:rPr>
          <w:rFonts w:eastAsia="Calibri"/>
        </w:rPr>
        <w:t xml:space="preserve"> on</w:t>
      </w:r>
      <w:r w:rsidRPr="000E0111">
        <w:rPr>
          <w:rFonts w:eastAsia="Calibri"/>
        </w:rPr>
        <w:t xml:space="preserve"> the use of donated embryos.</w:t>
      </w:r>
    </w:p>
    <w:p w14:paraId="601959F7" w14:textId="77777777" w:rsidR="00547D02" w:rsidRPr="00011A66" w:rsidRDefault="00547D02" w:rsidP="00F224C7">
      <w:pPr>
        <w:pStyle w:val="Number"/>
        <w:rPr>
          <w:rFonts w:eastAsia="Calibri"/>
        </w:rPr>
      </w:pPr>
      <w:r w:rsidRPr="006D6334">
        <w:rPr>
          <w:rFonts w:eastAsia="Calibri"/>
        </w:rPr>
        <w:t>After that initial consultation, ACART further considered the provisions for embryo donation and concluded that</w:t>
      </w:r>
      <w:r>
        <w:rPr>
          <w:rFonts w:eastAsia="Calibri"/>
        </w:rPr>
        <w:t xml:space="preserve"> </w:t>
      </w:r>
      <w:r w:rsidRPr="006D6334">
        <w:rPr>
          <w:rFonts w:eastAsia="Calibri"/>
        </w:rPr>
        <w:t xml:space="preserve">the authority over embryos should lie with the </w:t>
      </w:r>
      <w:r w:rsidRPr="006D6334">
        <w:rPr>
          <w:rFonts w:eastAsia="Calibri"/>
          <w:b/>
        </w:rPr>
        <w:t>recipients</w:t>
      </w:r>
      <w:r w:rsidRPr="006D6334">
        <w:rPr>
          <w:rFonts w:eastAsia="Calibri"/>
        </w:rPr>
        <w:t xml:space="preserve"> of donated embryos </w:t>
      </w:r>
      <w:r w:rsidRPr="006D6334">
        <w:rPr>
          <w:rFonts w:eastAsia="Calibri"/>
          <w:b/>
        </w:rPr>
        <w:t>if</w:t>
      </w:r>
      <w:r w:rsidRPr="00011A66">
        <w:rPr>
          <w:rFonts w:eastAsia="Calibri"/>
        </w:rPr>
        <w:t>:</w:t>
      </w:r>
    </w:p>
    <w:p w14:paraId="479D32F2" w14:textId="77777777" w:rsidR="00547D02" w:rsidRDefault="00547D02" w:rsidP="00F224C7">
      <w:pPr>
        <w:pStyle w:val="Bullet"/>
      </w:pPr>
      <w:r w:rsidRPr="006D6334">
        <w:t xml:space="preserve">the original intending parents did not have any gametes in the embryos </w:t>
      </w:r>
      <w:r w:rsidRPr="006D6334">
        <w:rPr>
          <w:b/>
        </w:rPr>
        <w:t>and</w:t>
      </w:r>
    </w:p>
    <w:p w14:paraId="74B83C10" w14:textId="77777777" w:rsidR="00547D02" w:rsidRDefault="00547D02" w:rsidP="00F224C7">
      <w:pPr>
        <w:pStyle w:val="Bullet"/>
      </w:pPr>
      <w:r w:rsidRPr="006D6334">
        <w:t>no more than one party had had a child using embryos that would be a full sibling to the child that would be born from the embryos to be donated.</w:t>
      </w:r>
    </w:p>
    <w:p w14:paraId="5AE51CF5" w14:textId="77777777" w:rsidR="00547D02" w:rsidRDefault="00547D02" w:rsidP="00F224C7"/>
    <w:p w14:paraId="2294D99E" w14:textId="77777777" w:rsidR="00547D02" w:rsidRPr="00DF7FCA" w:rsidRDefault="00547D02" w:rsidP="00F224C7">
      <w:pPr>
        <w:pStyle w:val="Heading3"/>
        <w:rPr>
          <w:rFonts w:eastAsia="Calibri"/>
        </w:rPr>
      </w:pPr>
      <w:r w:rsidRPr="00DF7FCA">
        <w:rPr>
          <w:rFonts w:eastAsia="Calibri"/>
        </w:rPr>
        <w:t>Benefits of the change</w:t>
      </w:r>
    </w:p>
    <w:p w14:paraId="436D4A7B" w14:textId="77777777" w:rsidR="00547D02" w:rsidRDefault="00547D02" w:rsidP="00F224C7">
      <w:pPr>
        <w:pStyle w:val="Number"/>
        <w:rPr>
          <w:rFonts w:eastAsia="Calibri"/>
        </w:rPr>
      </w:pPr>
      <w:r w:rsidRPr="0045149F">
        <w:rPr>
          <w:rFonts w:eastAsia="Calibri"/>
        </w:rPr>
        <w:t xml:space="preserve">This </w:t>
      </w:r>
      <w:r>
        <w:rPr>
          <w:rFonts w:eastAsia="Calibri"/>
        </w:rPr>
        <w:t>provision reflects the</w:t>
      </w:r>
      <w:r w:rsidRPr="0045149F">
        <w:rPr>
          <w:rFonts w:eastAsia="Calibri"/>
        </w:rPr>
        <w:t xml:space="preserve"> stronger interest </w:t>
      </w:r>
      <w:r>
        <w:rPr>
          <w:rFonts w:eastAsia="Calibri"/>
        </w:rPr>
        <w:t xml:space="preserve">of the first recipients </w:t>
      </w:r>
      <w:r w:rsidRPr="0045149F">
        <w:rPr>
          <w:rFonts w:eastAsia="Calibri"/>
        </w:rPr>
        <w:t xml:space="preserve">in the embryos, as a result of the genetic relationship that would </w:t>
      </w:r>
      <w:r>
        <w:rPr>
          <w:rFonts w:eastAsia="Calibri"/>
        </w:rPr>
        <w:t>be created</w:t>
      </w:r>
      <w:r w:rsidRPr="0045149F">
        <w:rPr>
          <w:rFonts w:eastAsia="Calibri"/>
        </w:rPr>
        <w:t xml:space="preserve"> between their existing children and any child </w:t>
      </w:r>
      <w:r>
        <w:rPr>
          <w:rFonts w:eastAsia="Calibri"/>
        </w:rPr>
        <w:t xml:space="preserve">subsequently </w:t>
      </w:r>
      <w:r w:rsidRPr="0045149F">
        <w:rPr>
          <w:rFonts w:eastAsia="Calibri"/>
        </w:rPr>
        <w:t>born from those embryos.</w:t>
      </w:r>
    </w:p>
    <w:p w14:paraId="52CF207B" w14:textId="77777777" w:rsidR="00547D02" w:rsidRDefault="00547D02" w:rsidP="00F224C7">
      <w:pPr>
        <w:rPr>
          <w:rFonts w:eastAsia="Calibri"/>
        </w:rPr>
      </w:pPr>
    </w:p>
    <w:p w14:paraId="6F1DF9AE" w14:textId="77777777" w:rsidR="00547D02" w:rsidRPr="00DF7FCA" w:rsidRDefault="00547D02" w:rsidP="00F224C7">
      <w:pPr>
        <w:pStyle w:val="Heading3"/>
        <w:rPr>
          <w:rFonts w:eastAsia="Calibri"/>
        </w:rPr>
      </w:pPr>
      <w:r w:rsidRPr="00DF7FCA">
        <w:rPr>
          <w:rFonts w:eastAsia="Calibri"/>
        </w:rPr>
        <w:t>Risks of the change</w:t>
      </w:r>
    </w:p>
    <w:p w14:paraId="6C0070BC" w14:textId="77777777" w:rsidR="00547D02" w:rsidRPr="0012283E" w:rsidRDefault="00547D02" w:rsidP="00F224C7">
      <w:pPr>
        <w:pStyle w:val="Number"/>
        <w:rPr>
          <w:rFonts w:eastAsia="Calibri"/>
        </w:rPr>
      </w:pPr>
      <w:bookmarkStart w:id="94" w:name="_Ref73445415"/>
      <w:r>
        <w:rPr>
          <w:rFonts w:eastAsia="Calibri"/>
        </w:rPr>
        <w:t xml:space="preserve">A risk of this change is that the people who originally had the embryos created for themselves might feel they have a special connection to the embryos but will not have any say in how the embryos are used in this scenario. This risk is mitigated by the counselling and informed consent required before they make the donation. </w:t>
      </w:r>
      <w:r w:rsidRPr="0012283E">
        <w:rPr>
          <w:rFonts w:eastAsia="Calibri"/>
        </w:rPr>
        <w:t xml:space="preserve">In contrast, in cases of </w:t>
      </w:r>
      <w:r w:rsidRPr="00383D97">
        <w:rPr>
          <w:rFonts w:eastAsia="Calibri"/>
          <w:b/>
        </w:rPr>
        <w:t>re</w:t>
      </w:r>
      <w:r w:rsidRPr="0012283E">
        <w:rPr>
          <w:rFonts w:eastAsia="Calibri"/>
        </w:rPr>
        <w:t>-donation the original embryo donors would continue to choose who receives their surplus embryos.</w:t>
      </w:r>
      <w:bookmarkEnd w:id="94"/>
    </w:p>
    <w:p w14:paraId="67F1C51F" w14:textId="77777777" w:rsidR="00547D02" w:rsidRDefault="00547D02" w:rsidP="00F224C7">
      <w:pPr>
        <w:pStyle w:val="Number"/>
        <w:rPr>
          <w:rFonts w:eastAsia="Calibri"/>
        </w:rPr>
      </w:pPr>
      <w:bookmarkStart w:id="95" w:name="_Ref73445418"/>
      <w:r>
        <w:rPr>
          <w:rFonts w:eastAsia="Calibri"/>
        </w:rPr>
        <w:t>Risks of</w:t>
      </w:r>
      <w:r w:rsidRPr="0012283E">
        <w:rPr>
          <w:rFonts w:eastAsia="Calibri"/>
        </w:rPr>
        <w:t xml:space="preserve"> on-donation</w:t>
      </w:r>
      <w:r>
        <w:rPr>
          <w:rFonts w:eastAsia="Calibri"/>
        </w:rPr>
        <w:t xml:space="preserve"> also include</w:t>
      </w:r>
      <w:r w:rsidRPr="0012283E">
        <w:rPr>
          <w:rFonts w:eastAsia="Calibri"/>
        </w:rPr>
        <w:t>:</w:t>
      </w:r>
      <w:bookmarkEnd w:id="95"/>
    </w:p>
    <w:p w14:paraId="41241499" w14:textId="77777777" w:rsidR="00547D02" w:rsidRDefault="00547D02" w:rsidP="00F224C7">
      <w:pPr>
        <w:pStyle w:val="Bullet"/>
      </w:pPr>
      <w:r w:rsidRPr="008E1111">
        <w:t>added complexity to resulting relationships</w:t>
      </w:r>
    </w:p>
    <w:p w14:paraId="2036FF5C" w14:textId="77777777" w:rsidR="00547D02" w:rsidRDefault="00547D02" w:rsidP="00F224C7">
      <w:pPr>
        <w:pStyle w:val="Bullet"/>
      </w:pPr>
      <w:r w:rsidRPr="008E1111">
        <w:t>offspring having concerns about their origins and identity.</w:t>
      </w:r>
    </w:p>
    <w:p w14:paraId="78EF34B9" w14:textId="77777777" w:rsidR="00547D02" w:rsidRDefault="00547D02" w:rsidP="00F224C7"/>
    <w:p w14:paraId="0BC6A847" w14:textId="77777777" w:rsidR="00547D02" w:rsidRPr="00186CFA" w:rsidRDefault="00547D02" w:rsidP="00F224C7">
      <w:pPr>
        <w:pStyle w:val="Heading3"/>
        <w:rPr>
          <w:rFonts w:eastAsia="Calibri"/>
        </w:rPr>
      </w:pPr>
      <w:r w:rsidRPr="00186CFA">
        <w:rPr>
          <w:rFonts w:eastAsia="Calibri"/>
        </w:rPr>
        <w:t>Submitters</w:t>
      </w:r>
      <w:r w:rsidR="000A0B49">
        <w:rPr>
          <w:rFonts w:eastAsia="Calibri"/>
        </w:rPr>
        <w:t>’</w:t>
      </w:r>
      <w:r w:rsidRPr="00186CFA">
        <w:rPr>
          <w:rFonts w:eastAsia="Calibri"/>
        </w:rPr>
        <w:t xml:space="preserve"> views and ACART</w:t>
      </w:r>
      <w:r w:rsidR="000A0B49">
        <w:rPr>
          <w:rFonts w:eastAsia="Calibri"/>
        </w:rPr>
        <w:t>’</w:t>
      </w:r>
      <w:r w:rsidRPr="00186CFA">
        <w:rPr>
          <w:rFonts w:eastAsia="Calibri"/>
        </w:rPr>
        <w:t>s assessment of th</w:t>
      </w:r>
      <w:r>
        <w:rPr>
          <w:rFonts w:eastAsia="Calibri"/>
        </w:rPr>
        <w:t>em</w:t>
      </w:r>
    </w:p>
    <w:p w14:paraId="5F326410" w14:textId="77777777" w:rsidR="00547D02" w:rsidRDefault="00547D02" w:rsidP="00F224C7">
      <w:pPr>
        <w:pStyle w:val="Number"/>
        <w:rPr>
          <w:rFonts w:eastAsia="Calibri"/>
        </w:rPr>
      </w:pPr>
      <w:r w:rsidRPr="00180538">
        <w:rPr>
          <w:rFonts w:eastAsia="Calibri"/>
        </w:rPr>
        <w:t>Nine submitters supported this provision, one opposed it and four made additional comments.</w:t>
      </w:r>
    </w:p>
    <w:p w14:paraId="2B35A377" w14:textId="77777777" w:rsidR="00547D02" w:rsidRPr="00180538" w:rsidRDefault="00547D02" w:rsidP="00F224C7">
      <w:pPr>
        <w:pStyle w:val="Number"/>
        <w:rPr>
          <w:rFonts w:eastAsia="Calibri"/>
        </w:rPr>
      </w:pPr>
      <w:r w:rsidRPr="00180538">
        <w:rPr>
          <w:rFonts w:eastAsia="Calibri"/>
        </w:rPr>
        <w:t xml:space="preserve">A common theme from the submitters who were opposed to the provision or had other comments was </w:t>
      </w:r>
      <w:r>
        <w:rPr>
          <w:rFonts w:eastAsia="Calibri"/>
        </w:rPr>
        <w:t xml:space="preserve">a </w:t>
      </w:r>
      <w:r w:rsidRPr="00180538">
        <w:rPr>
          <w:rFonts w:eastAsia="Calibri"/>
        </w:rPr>
        <w:t xml:space="preserve">concern that people who are unknown to the gamete donors might receive the embryos. ACART is aware of this possibility and </w:t>
      </w:r>
      <w:r>
        <w:rPr>
          <w:rFonts w:eastAsia="Calibri"/>
        </w:rPr>
        <w:t xml:space="preserve">will add text to its </w:t>
      </w:r>
      <w:r>
        <w:rPr>
          <w:rFonts w:eastAsia="Calibri"/>
        </w:rPr>
        <w:lastRenderedPageBreak/>
        <w:t xml:space="preserve">supplementary narrative to explain that </w:t>
      </w:r>
      <w:r w:rsidRPr="008B7A07">
        <w:rPr>
          <w:rFonts w:eastAsia="Calibri"/>
        </w:rPr>
        <w:t xml:space="preserve">gamete donors </w:t>
      </w:r>
      <w:r>
        <w:rPr>
          <w:rFonts w:eastAsia="Calibri"/>
        </w:rPr>
        <w:t xml:space="preserve">must </w:t>
      </w:r>
      <w:r w:rsidRPr="008B7A07">
        <w:rPr>
          <w:rFonts w:eastAsia="Calibri"/>
        </w:rPr>
        <w:t xml:space="preserve">be </w:t>
      </w:r>
      <w:r>
        <w:rPr>
          <w:rFonts w:eastAsia="Calibri"/>
        </w:rPr>
        <w:t xml:space="preserve">made </w:t>
      </w:r>
      <w:r w:rsidRPr="008B7A07">
        <w:rPr>
          <w:rFonts w:eastAsia="Calibri"/>
        </w:rPr>
        <w:t>aware</w:t>
      </w:r>
      <w:r>
        <w:rPr>
          <w:rFonts w:eastAsia="Calibri"/>
        </w:rPr>
        <w:t>,</w:t>
      </w:r>
      <w:r w:rsidRPr="008B7A07">
        <w:rPr>
          <w:rFonts w:eastAsia="Calibri"/>
        </w:rPr>
        <w:t xml:space="preserve"> </w:t>
      </w:r>
      <w:r>
        <w:rPr>
          <w:rFonts w:eastAsia="Calibri"/>
        </w:rPr>
        <w:t xml:space="preserve">by counsellors, </w:t>
      </w:r>
      <w:r w:rsidRPr="008B7A07">
        <w:rPr>
          <w:rFonts w:eastAsia="Calibri"/>
        </w:rPr>
        <w:t xml:space="preserve">that an embryo might be donated and possibly re-donated </w:t>
      </w:r>
      <w:r>
        <w:rPr>
          <w:rFonts w:eastAsia="Calibri"/>
        </w:rPr>
        <w:t xml:space="preserve">or on-donated </w:t>
      </w:r>
      <w:r w:rsidRPr="008B7A07">
        <w:rPr>
          <w:rFonts w:eastAsia="Calibri"/>
        </w:rPr>
        <w:t>and that they will have no say in any donation (other than through conditions they might have placed before their gametes are used).</w:t>
      </w:r>
    </w:p>
    <w:p w14:paraId="43CCC40D" w14:textId="77777777" w:rsidR="00547D02" w:rsidRPr="00180538" w:rsidRDefault="00547D02" w:rsidP="00F224C7">
      <w:pPr>
        <w:pStyle w:val="Number"/>
        <w:rPr>
          <w:rFonts w:eastAsia="Calibri"/>
        </w:rPr>
      </w:pPr>
      <w:r>
        <w:rPr>
          <w:rFonts w:eastAsia="Calibri"/>
        </w:rPr>
        <w:t xml:space="preserve">Another matter one submitter raised was that </w:t>
      </w:r>
      <w:r w:rsidRPr="00180538">
        <w:rPr>
          <w:rFonts w:eastAsia="Calibri"/>
        </w:rPr>
        <w:t>on-donations</w:t>
      </w:r>
      <w:r>
        <w:rPr>
          <w:rFonts w:eastAsia="Calibri"/>
        </w:rPr>
        <w:t xml:space="preserve"> should only be allowed once. After considering this matter, ACART has concluded that ECART should have the discretion to assess each case on its merits and decide whether any additional on-donation should be permitted. ACART believes that on-donations and any subsequent on-donations are likely to be very rare.</w:t>
      </w:r>
    </w:p>
    <w:p w14:paraId="218A0CED" w14:textId="77777777" w:rsidR="00547D02" w:rsidRPr="00011A66" w:rsidRDefault="00547D02" w:rsidP="00F224C7">
      <w:pPr>
        <w:pStyle w:val="Number"/>
      </w:pPr>
      <w:r w:rsidRPr="004B050C">
        <w:rPr>
          <w:rFonts w:eastAsia="Calibri"/>
        </w:rPr>
        <w:t>ACART consulted the Department of Internal Affairs (DIA) on the legal requirements for recording donations and offspring on the HART register when new types of gamete and embryo donations, and re-donation and on-donation, become options. The DIA advised ACART that there are no legal barriers to recording this information</w:t>
      </w:r>
      <w:r w:rsidRPr="00011A66">
        <w:rPr>
          <w:rFonts w:eastAsia="Calibri"/>
        </w:rPr>
        <w:t>.</w:t>
      </w:r>
    </w:p>
    <w:p w14:paraId="481EB0A5" w14:textId="77777777" w:rsidR="00547D02" w:rsidRDefault="00547D02" w:rsidP="00F224C7"/>
    <w:p w14:paraId="5C6B8DE5" w14:textId="77777777" w:rsidR="00547D02" w:rsidRDefault="00547D02" w:rsidP="00F224C7">
      <w:pPr>
        <w:pStyle w:val="Heading2"/>
      </w:pPr>
      <w:bookmarkStart w:id="96" w:name="_Toc17118582"/>
      <w:bookmarkStart w:id="97" w:name="_Toc73459724"/>
      <w:r>
        <w:t xml:space="preserve">Change </w:t>
      </w:r>
      <w:r w:rsidRPr="00986EB9">
        <w:t>4</w:t>
      </w:r>
      <w:r>
        <w:t>: Make all clinic assisted surrogacies subject to ECART consideration and remove the requirement that a surrogate must have completed her family</w:t>
      </w:r>
      <w:bookmarkEnd w:id="96"/>
      <w:bookmarkEnd w:id="97"/>
    </w:p>
    <w:p w14:paraId="252F6FDF" w14:textId="77777777" w:rsidR="00547D02" w:rsidRPr="00DF2381" w:rsidRDefault="00547D02" w:rsidP="00F224C7">
      <w:pPr>
        <w:pStyle w:val="Number"/>
        <w:rPr>
          <w:rFonts w:eastAsia="Calibri"/>
        </w:rPr>
      </w:pPr>
      <w:r w:rsidRPr="00DF2381">
        <w:rPr>
          <w:rFonts w:eastAsia="Calibri"/>
        </w:rPr>
        <w:t>ACART has introduced or amended three provisions for clinic assisted surrogacy</w:t>
      </w:r>
      <w:r>
        <w:rPr>
          <w:rFonts w:eastAsia="Calibri"/>
        </w:rPr>
        <w:t>. It also</w:t>
      </w:r>
      <w:r w:rsidRPr="00DF2381">
        <w:rPr>
          <w:rFonts w:eastAsia="Calibri"/>
        </w:rPr>
        <w:t xml:space="preserve"> recommends one change</w:t>
      </w:r>
      <w:r>
        <w:rPr>
          <w:rFonts w:eastAsia="Calibri"/>
        </w:rPr>
        <w:t xml:space="preserve"> to the HART Order.</w:t>
      </w:r>
    </w:p>
    <w:p w14:paraId="27E38425" w14:textId="77777777" w:rsidR="00547D02" w:rsidRPr="00EA1DE2" w:rsidRDefault="00547D02" w:rsidP="00F224C7">
      <w:pPr>
        <w:pStyle w:val="Number"/>
        <w:rPr>
          <w:rFonts w:eastAsia="Calibri"/>
        </w:rPr>
      </w:pPr>
      <w:r w:rsidRPr="007B668D">
        <w:rPr>
          <w:rFonts w:eastAsia="Calibri"/>
        </w:rPr>
        <w:t>ACAR</w:t>
      </w:r>
      <w:r>
        <w:rPr>
          <w:rFonts w:eastAsia="Calibri"/>
        </w:rPr>
        <w:t>T</w:t>
      </w:r>
      <w:r w:rsidR="000A0B49">
        <w:rPr>
          <w:rFonts w:eastAsia="Calibri"/>
        </w:rPr>
        <w:t>’</w:t>
      </w:r>
      <w:r>
        <w:rPr>
          <w:rFonts w:eastAsia="Calibri"/>
        </w:rPr>
        <w:t xml:space="preserve">s </w:t>
      </w:r>
      <w:r w:rsidRPr="006F16B7">
        <w:rPr>
          <w:rFonts w:eastAsia="Calibri"/>
          <w:b/>
        </w:rPr>
        <w:t>recommendation</w:t>
      </w:r>
      <w:r>
        <w:rPr>
          <w:rFonts w:eastAsia="Calibri"/>
        </w:rPr>
        <w:t xml:space="preserve"> for surrogacy is</w:t>
      </w:r>
      <w:r w:rsidRPr="00964218">
        <w:rPr>
          <w:rFonts w:eastAsia="Calibri"/>
        </w:rPr>
        <w:t xml:space="preserve"> </w:t>
      </w:r>
      <w:r>
        <w:rPr>
          <w:rFonts w:eastAsia="Calibri"/>
        </w:rPr>
        <w:t>to:</w:t>
      </w:r>
    </w:p>
    <w:p w14:paraId="5E5159E1" w14:textId="77777777" w:rsidR="00547D02" w:rsidRPr="0088549D" w:rsidRDefault="00547D02" w:rsidP="00F224C7">
      <w:pPr>
        <w:pStyle w:val="Bullet"/>
        <w:rPr>
          <w:rFonts w:eastAsia="Calibri"/>
        </w:rPr>
      </w:pPr>
      <w:r>
        <w:rPr>
          <w:rFonts w:eastAsia="Calibri"/>
        </w:rPr>
        <w:t xml:space="preserve">amend </w:t>
      </w:r>
      <w:r w:rsidRPr="0088549D">
        <w:rPr>
          <w:rFonts w:eastAsia="Calibri"/>
        </w:rPr>
        <w:t xml:space="preserve">the HART Order so that ACART can issue guidelines that would require </w:t>
      </w:r>
      <w:r w:rsidRPr="00955407">
        <w:rPr>
          <w:rFonts w:eastAsia="Calibri"/>
          <w:b/>
        </w:rPr>
        <w:t>all</w:t>
      </w:r>
      <w:r w:rsidRPr="0088549D">
        <w:rPr>
          <w:rFonts w:eastAsia="Calibri"/>
        </w:rPr>
        <w:t xml:space="preserve"> clinic assisted surrogacies to be considered by ECART</w:t>
      </w:r>
      <w:r>
        <w:rPr>
          <w:rFonts w:eastAsia="Calibri"/>
        </w:rPr>
        <w:t>.</w:t>
      </w:r>
    </w:p>
    <w:p w14:paraId="71F1EFCA" w14:textId="77777777" w:rsidR="00547D02" w:rsidRPr="007B668D" w:rsidRDefault="00547D02" w:rsidP="00F224C7">
      <w:pPr>
        <w:pStyle w:val="Number"/>
        <w:rPr>
          <w:rFonts w:eastAsia="Calibri"/>
        </w:rPr>
      </w:pPr>
      <w:r>
        <w:rPr>
          <w:rFonts w:eastAsia="Calibri"/>
        </w:rPr>
        <w:t xml:space="preserve">The two </w:t>
      </w:r>
      <w:r w:rsidRPr="007B668D">
        <w:rPr>
          <w:rFonts w:eastAsia="Calibri"/>
        </w:rPr>
        <w:t xml:space="preserve">changes </w:t>
      </w:r>
      <w:r>
        <w:rPr>
          <w:rFonts w:eastAsia="Calibri"/>
        </w:rPr>
        <w:t>to the guidelines mean that</w:t>
      </w:r>
      <w:r w:rsidRPr="007B668D">
        <w:rPr>
          <w:rFonts w:eastAsia="Calibri"/>
        </w:rPr>
        <w:t>:</w:t>
      </w:r>
    </w:p>
    <w:p w14:paraId="69891D87" w14:textId="77777777" w:rsidR="00547D02" w:rsidRDefault="00547D02" w:rsidP="00F224C7">
      <w:pPr>
        <w:pStyle w:val="Bullet"/>
        <w:rPr>
          <w:rFonts w:eastAsia="Calibri"/>
        </w:rPr>
      </w:pPr>
      <w:r>
        <w:rPr>
          <w:rFonts w:eastAsia="Calibri"/>
        </w:rPr>
        <w:t xml:space="preserve">a </w:t>
      </w:r>
      <w:r w:rsidRPr="0088549D">
        <w:rPr>
          <w:rFonts w:eastAsia="Calibri"/>
        </w:rPr>
        <w:t>surrogate</w:t>
      </w:r>
      <w:r>
        <w:rPr>
          <w:rFonts w:eastAsia="Calibri"/>
        </w:rPr>
        <w:t xml:space="preserve"> is</w:t>
      </w:r>
      <w:r w:rsidRPr="0088549D">
        <w:rPr>
          <w:rFonts w:eastAsia="Calibri"/>
        </w:rPr>
        <w:t xml:space="preserve"> </w:t>
      </w:r>
      <w:r>
        <w:rPr>
          <w:rFonts w:eastAsia="Calibri"/>
        </w:rPr>
        <w:t>no longer required to complete her family and instead must</w:t>
      </w:r>
      <w:r w:rsidRPr="0088549D">
        <w:rPr>
          <w:rFonts w:eastAsia="Calibri"/>
        </w:rPr>
        <w:t xml:space="preserve"> consider </w:t>
      </w:r>
      <w:r>
        <w:rPr>
          <w:rFonts w:eastAsia="Calibri"/>
        </w:rPr>
        <w:t>her</w:t>
      </w:r>
      <w:r w:rsidRPr="0088549D">
        <w:rPr>
          <w:rFonts w:eastAsia="Calibri"/>
        </w:rPr>
        <w:t xml:space="preserve"> future reproductive capacity</w:t>
      </w:r>
    </w:p>
    <w:p w14:paraId="4C3EBBB4" w14:textId="77777777" w:rsidR="00547D02" w:rsidRDefault="00547D02" w:rsidP="00F224C7">
      <w:pPr>
        <w:pStyle w:val="Bullet"/>
        <w:rPr>
          <w:rFonts w:eastAsia="Calibri"/>
        </w:rPr>
      </w:pPr>
      <w:r w:rsidRPr="0088549D">
        <w:rPr>
          <w:rFonts w:eastAsia="Calibri"/>
        </w:rPr>
        <w:t xml:space="preserve">all parties </w:t>
      </w:r>
      <w:r>
        <w:rPr>
          <w:rFonts w:eastAsia="Calibri"/>
        </w:rPr>
        <w:t xml:space="preserve">must </w:t>
      </w:r>
      <w:r w:rsidRPr="0088549D">
        <w:rPr>
          <w:rFonts w:eastAsia="Calibri"/>
        </w:rPr>
        <w:t>consider how their residency will affect relationships in the future.</w:t>
      </w:r>
    </w:p>
    <w:p w14:paraId="1DB3C54E" w14:textId="77777777" w:rsidR="00547D02" w:rsidRPr="0088549D" w:rsidRDefault="00547D02" w:rsidP="00F224C7">
      <w:pPr>
        <w:rPr>
          <w:rFonts w:eastAsia="Calibri"/>
        </w:rPr>
      </w:pPr>
    </w:p>
    <w:p w14:paraId="14A4FDCE" w14:textId="77777777" w:rsidR="00547D02" w:rsidRPr="00EA1DE2" w:rsidRDefault="00547D02" w:rsidP="00724708">
      <w:pPr>
        <w:pStyle w:val="Heading2-notforToC"/>
      </w:pPr>
      <w:bookmarkStart w:id="98" w:name="_Toc73458958"/>
      <w:r w:rsidRPr="00EA1DE2">
        <w:t>4A</w:t>
      </w:r>
      <w:r w:rsidRPr="00EA1DE2">
        <w:tab/>
        <w:t>Recommendation: amend the HART Order so that all clinic assisted surrogacies must be considered by ECART</w:t>
      </w:r>
      <w:bookmarkEnd w:id="98"/>
    </w:p>
    <w:p w14:paraId="18A991B8" w14:textId="77777777" w:rsidR="00547D02" w:rsidRPr="003D1E8E" w:rsidRDefault="00547D02" w:rsidP="00F224C7">
      <w:pPr>
        <w:pStyle w:val="Heading3"/>
        <w:rPr>
          <w:rFonts w:eastAsia="Calibri"/>
        </w:rPr>
      </w:pPr>
      <w:r w:rsidRPr="003D1E8E">
        <w:rPr>
          <w:rFonts w:eastAsia="Calibri"/>
        </w:rPr>
        <w:t>ACART</w:t>
      </w:r>
      <w:r w:rsidR="000A0B49">
        <w:rPr>
          <w:rFonts w:eastAsia="Calibri"/>
        </w:rPr>
        <w:t>’</w:t>
      </w:r>
      <w:r w:rsidRPr="003D1E8E">
        <w:rPr>
          <w:rFonts w:eastAsia="Calibri"/>
        </w:rPr>
        <w:t>s conclusion/recommendation</w:t>
      </w:r>
    </w:p>
    <w:p w14:paraId="3C47F711" w14:textId="77777777" w:rsidR="00547D02" w:rsidRPr="00EA1DE2" w:rsidRDefault="00547D02" w:rsidP="00F224C7">
      <w:pPr>
        <w:pStyle w:val="Number"/>
        <w:rPr>
          <w:rFonts w:ascii="Arial Mäori" w:hAnsi="Arial Mäori"/>
          <w:sz w:val="20"/>
        </w:rPr>
      </w:pPr>
      <w:r w:rsidRPr="00AB51E5">
        <w:rPr>
          <w:rFonts w:ascii="Arial Mäori" w:hAnsi="Arial Mäori"/>
          <w:sz w:val="20"/>
        </w:rPr>
        <w:t xml:space="preserve">ACART </w:t>
      </w:r>
      <w:r w:rsidRPr="00AB51E5">
        <w:rPr>
          <w:rFonts w:eastAsia="Calibri"/>
        </w:rPr>
        <w:t>concluded</w:t>
      </w:r>
      <w:r w:rsidRPr="00AB51E5">
        <w:rPr>
          <w:rFonts w:ascii="Arial Mäori" w:hAnsi="Arial Mäori"/>
          <w:sz w:val="20"/>
        </w:rPr>
        <w:t xml:space="preserve"> </w:t>
      </w:r>
      <w:r w:rsidRPr="00AB51E5">
        <w:rPr>
          <w:rFonts w:eastAsia="Calibri"/>
        </w:rPr>
        <w:t>the proposal is sound and recommends that the HART Order be amended so that all clinic assisted surrogacies must be considered by ECART.</w:t>
      </w:r>
    </w:p>
    <w:p w14:paraId="2FDE1BFF" w14:textId="77777777" w:rsidR="00547D02" w:rsidRPr="00AB51E5" w:rsidRDefault="00547D02" w:rsidP="00F224C7"/>
    <w:p w14:paraId="76E4D0C9" w14:textId="77777777" w:rsidR="00547D02" w:rsidRPr="003D1E8E" w:rsidRDefault="00547D02" w:rsidP="00F224C7">
      <w:pPr>
        <w:pStyle w:val="Heading3"/>
        <w:rPr>
          <w:rFonts w:eastAsia="Calibri"/>
        </w:rPr>
      </w:pPr>
      <w:r w:rsidRPr="003D1E8E">
        <w:rPr>
          <w:rFonts w:eastAsia="Calibri"/>
        </w:rPr>
        <w:lastRenderedPageBreak/>
        <w:t>The problem</w:t>
      </w:r>
    </w:p>
    <w:p w14:paraId="432AB657" w14:textId="77777777" w:rsidR="00547D02" w:rsidRDefault="00547D02" w:rsidP="00F224C7">
      <w:pPr>
        <w:pStyle w:val="Number"/>
        <w:rPr>
          <w:rFonts w:eastAsia="Calibri"/>
        </w:rPr>
      </w:pPr>
      <w:r>
        <w:rPr>
          <w:rFonts w:eastAsia="Calibri"/>
        </w:rPr>
        <w:t>A</w:t>
      </w:r>
      <w:r w:rsidRPr="00C75ADF">
        <w:rPr>
          <w:rFonts w:eastAsia="Calibri"/>
        </w:rPr>
        <w:t>ll surrogacies can be ethically complex</w:t>
      </w:r>
      <w:r>
        <w:rPr>
          <w:rFonts w:eastAsia="Calibri"/>
        </w:rPr>
        <w:t xml:space="preserve"> and involve</w:t>
      </w:r>
      <w:r w:rsidRPr="00C75ADF">
        <w:rPr>
          <w:rFonts w:eastAsia="Calibri"/>
        </w:rPr>
        <w:t xml:space="preserve"> both a woman</w:t>
      </w:r>
      <w:r w:rsidR="000A0B49">
        <w:rPr>
          <w:rFonts w:eastAsia="Calibri"/>
        </w:rPr>
        <w:t>’</w:t>
      </w:r>
      <w:r w:rsidRPr="00C75ADF">
        <w:rPr>
          <w:rFonts w:eastAsia="Calibri"/>
        </w:rPr>
        <w:t>s choices about her body</w:t>
      </w:r>
      <w:r>
        <w:rPr>
          <w:rFonts w:eastAsia="Calibri"/>
        </w:rPr>
        <w:t>,</w:t>
      </w:r>
      <w:r w:rsidRPr="00C75ADF">
        <w:rPr>
          <w:rFonts w:eastAsia="Calibri"/>
        </w:rPr>
        <w:t xml:space="preserve"> and the </w:t>
      </w:r>
      <w:proofErr w:type="gramStart"/>
      <w:r w:rsidRPr="00C75ADF">
        <w:rPr>
          <w:rFonts w:eastAsia="Calibri"/>
        </w:rPr>
        <w:t>sometimes conflicting</w:t>
      </w:r>
      <w:proofErr w:type="gramEnd"/>
      <w:r w:rsidRPr="00C75ADF">
        <w:rPr>
          <w:rFonts w:eastAsia="Calibri"/>
        </w:rPr>
        <w:t xml:space="preserve"> interests of the potential child and the intending parents. </w:t>
      </w:r>
      <w:r>
        <w:rPr>
          <w:rFonts w:eastAsia="Calibri"/>
        </w:rPr>
        <w:t>Despite this, n</w:t>
      </w:r>
      <w:r w:rsidRPr="00EA0F1D">
        <w:rPr>
          <w:rFonts w:eastAsia="Calibri"/>
        </w:rPr>
        <w:t>ot all clinic</w:t>
      </w:r>
      <w:r>
        <w:rPr>
          <w:rFonts w:eastAsia="Calibri"/>
        </w:rPr>
        <w:t xml:space="preserve"> </w:t>
      </w:r>
      <w:r w:rsidRPr="00EA0F1D">
        <w:rPr>
          <w:rFonts w:eastAsia="Calibri"/>
        </w:rPr>
        <w:t xml:space="preserve">assisted surrogacies </w:t>
      </w:r>
      <w:r>
        <w:rPr>
          <w:rFonts w:eastAsia="Calibri"/>
        </w:rPr>
        <w:t>require</w:t>
      </w:r>
      <w:r w:rsidRPr="00EA0F1D">
        <w:rPr>
          <w:rFonts w:eastAsia="Calibri"/>
        </w:rPr>
        <w:t xml:space="preserve"> ECART approval, </w:t>
      </w:r>
      <w:r>
        <w:rPr>
          <w:rFonts w:eastAsia="Calibri"/>
        </w:rPr>
        <w:t>because</w:t>
      </w:r>
      <w:r w:rsidRPr="00964218">
        <w:rPr>
          <w:rFonts w:eastAsia="Calibri"/>
        </w:rPr>
        <w:t xml:space="preserve"> </w:t>
      </w:r>
      <w:r w:rsidR="000A0B49">
        <w:rPr>
          <w:rFonts w:eastAsia="Calibri"/>
        </w:rPr>
        <w:t>‘</w:t>
      </w:r>
      <w:r w:rsidRPr="009475B6">
        <w:rPr>
          <w:rFonts w:eastAsia="Calibri"/>
        </w:rPr>
        <w:t>traditional surrogacy</w:t>
      </w:r>
      <w:r w:rsidR="000A0B49">
        <w:rPr>
          <w:rFonts w:eastAsia="Calibri"/>
        </w:rPr>
        <w:t>’</w:t>
      </w:r>
      <w:r w:rsidRPr="00964218">
        <w:rPr>
          <w:rFonts w:eastAsia="Calibri"/>
        </w:rPr>
        <w:t xml:space="preserve"> </w:t>
      </w:r>
      <w:r>
        <w:rPr>
          <w:rFonts w:eastAsia="Calibri"/>
        </w:rPr>
        <w:t xml:space="preserve">(surrogacy where the surrogate uses her </w:t>
      </w:r>
      <w:r w:rsidRPr="00EA0F1D">
        <w:rPr>
          <w:rFonts w:eastAsia="Calibri"/>
        </w:rPr>
        <w:t>own eggs</w:t>
      </w:r>
      <w:r>
        <w:rPr>
          <w:rFonts w:eastAsia="Calibri"/>
        </w:rPr>
        <w:t>)</w:t>
      </w:r>
      <w:r w:rsidRPr="00EA0F1D">
        <w:rPr>
          <w:rFonts w:eastAsia="Calibri"/>
        </w:rPr>
        <w:t xml:space="preserve"> is not considered to be an </w:t>
      </w:r>
      <w:r w:rsidR="000A0B49">
        <w:rPr>
          <w:rFonts w:eastAsia="Calibri"/>
        </w:rPr>
        <w:t>‘</w:t>
      </w:r>
      <w:r w:rsidRPr="00EA0F1D">
        <w:rPr>
          <w:rFonts w:eastAsia="Calibri"/>
        </w:rPr>
        <w:t>assisted reproductive procedure</w:t>
      </w:r>
      <w:r w:rsidR="000A0B49">
        <w:rPr>
          <w:rFonts w:eastAsia="Calibri"/>
        </w:rPr>
        <w:t>’</w:t>
      </w:r>
      <w:r w:rsidRPr="00EA0F1D">
        <w:rPr>
          <w:rFonts w:eastAsia="Calibri"/>
        </w:rPr>
        <w:t xml:space="preserve"> as defined in the HART Act.</w:t>
      </w:r>
      <w:r w:rsidRPr="00EA1DE2">
        <w:rPr>
          <w:rStyle w:val="FootnoteReference"/>
          <w:rFonts w:eastAsia="Calibri"/>
        </w:rPr>
        <w:footnoteReference w:id="22"/>
      </w:r>
      <w:r w:rsidRPr="00EA0F1D">
        <w:rPr>
          <w:rFonts w:eastAsia="Calibri"/>
        </w:rPr>
        <w:t xml:space="preserve"> </w:t>
      </w:r>
      <w:r>
        <w:rPr>
          <w:rFonts w:eastAsia="Calibri"/>
        </w:rPr>
        <w:t xml:space="preserve">Similarly, </w:t>
      </w:r>
      <w:r w:rsidRPr="00AB51E5">
        <w:rPr>
          <w:rFonts w:eastAsia="Calibri"/>
        </w:rPr>
        <w:t>surrogacies in which the surrogate uses a donor egg (that is, the intending mother</w:t>
      </w:r>
      <w:r w:rsidR="000A0B49">
        <w:rPr>
          <w:rFonts w:eastAsia="Calibri"/>
        </w:rPr>
        <w:t>’</w:t>
      </w:r>
      <w:r w:rsidRPr="00AB51E5">
        <w:rPr>
          <w:rFonts w:eastAsia="Calibri"/>
        </w:rPr>
        <w:t>s egg) and her own partner</w:t>
      </w:r>
      <w:r w:rsidR="000A0B49">
        <w:rPr>
          <w:rFonts w:eastAsia="Calibri"/>
        </w:rPr>
        <w:t>’</w:t>
      </w:r>
      <w:r w:rsidRPr="00AB51E5">
        <w:rPr>
          <w:rFonts w:eastAsia="Calibri"/>
        </w:rPr>
        <w:t xml:space="preserve">s sperm </w:t>
      </w:r>
      <w:r>
        <w:rPr>
          <w:rFonts w:eastAsia="Calibri"/>
        </w:rPr>
        <w:t>are</w:t>
      </w:r>
      <w:r w:rsidRPr="00AB51E5">
        <w:rPr>
          <w:rFonts w:eastAsia="Calibri"/>
        </w:rPr>
        <w:t xml:space="preserve"> </w:t>
      </w:r>
      <w:r>
        <w:rPr>
          <w:rFonts w:eastAsia="Calibri"/>
        </w:rPr>
        <w:t xml:space="preserve">also established procedures and therefore </w:t>
      </w:r>
      <w:r w:rsidRPr="00AB51E5">
        <w:rPr>
          <w:rFonts w:eastAsia="Calibri"/>
        </w:rPr>
        <w:t>not subject to ECART consideration.</w:t>
      </w:r>
      <w:r w:rsidRPr="00F224C7">
        <w:rPr>
          <w:rStyle w:val="FootnoteReference"/>
          <w:rFonts w:eastAsia="Calibri"/>
        </w:rPr>
        <w:footnoteReference w:id="23"/>
      </w:r>
    </w:p>
    <w:p w14:paraId="58A2033E" w14:textId="77777777" w:rsidR="00547D02" w:rsidRDefault="00547D02" w:rsidP="00F224C7">
      <w:pPr>
        <w:pStyle w:val="Number"/>
        <w:rPr>
          <w:rFonts w:eastAsia="Calibri"/>
        </w:rPr>
      </w:pPr>
      <w:r>
        <w:rPr>
          <w:rFonts w:eastAsia="Calibri"/>
        </w:rPr>
        <w:t>Also,</w:t>
      </w:r>
      <w:r w:rsidRPr="008C65CD">
        <w:rPr>
          <w:rFonts w:eastAsia="Calibri"/>
        </w:rPr>
        <w:t xml:space="preserve"> if clinic assisted surrogacies were not subject to ECART approval, the </w:t>
      </w:r>
      <w:r>
        <w:rPr>
          <w:rFonts w:eastAsia="Calibri"/>
        </w:rPr>
        <w:t xml:space="preserve">responsibility for </w:t>
      </w:r>
      <w:r w:rsidRPr="008C65CD">
        <w:rPr>
          <w:rFonts w:eastAsia="Calibri"/>
        </w:rPr>
        <w:t>manag</w:t>
      </w:r>
      <w:r>
        <w:rPr>
          <w:rFonts w:eastAsia="Calibri"/>
        </w:rPr>
        <w:t>ing</w:t>
      </w:r>
      <w:r w:rsidRPr="008C65CD">
        <w:rPr>
          <w:rFonts w:eastAsia="Calibri"/>
        </w:rPr>
        <w:t xml:space="preserve"> those surrogacies would lie entirely with the clinics.</w:t>
      </w:r>
    </w:p>
    <w:p w14:paraId="5A6340FB" w14:textId="77777777" w:rsidR="00547D02" w:rsidRPr="00F9367A" w:rsidRDefault="00547D02" w:rsidP="00F224C7">
      <w:pPr>
        <w:rPr>
          <w:rFonts w:eastAsia="Calibri"/>
        </w:rPr>
      </w:pPr>
    </w:p>
    <w:p w14:paraId="2CC0C6C2" w14:textId="77777777" w:rsidR="00547D02" w:rsidRPr="003D1E8E" w:rsidRDefault="00547D02" w:rsidP="00F224C7">
      <w:pPr>
        <w:pStyle w:val="Heading3"/>
        <w:rPr>
          <w:rFonts w:eastAsia="Calibri"/>
        </w:rPr>
      </w:pPr>
      <w:r w:rsidRPr="003D1E8E">
        <w:rPr>
          <w:rFonts w:eastAsia="Calibri"/>
        </w:rPr>
        <w:t>ACART</w:t>
      </w:r>
      <w:r w:rsidR="000A0B49">
        <w:rPr>
          <w:rFonts w:eastAsia="Calibri"/>
        </w:rPr>
        <w:t>’</w:t>
      </w:r>
      <w:r w:rsidRPr="003D1E8E">
        <w:rPr>
          <w:rFonts w:eastAsia="Calibri"/>
        </w:rPr>
        <w:t>s proposal</w:t>
      </w:r>
    </w:p>
    <w:p w14:paraId="7A95D7B1" w14:textId="77777777" w:rsidR="00547D02" w:rsidRDefault="00547D02" w:rsidP="00F224C7">
      <w:pPr>
        <w:pStyle w:val="Number"/>
        <w:rPr>
          <w:rFonts w:eastAsia="Calibri"/>
        </w:rPr>
      </w:pPr>
      <w:r w:rsidRPr="008973E6">
        <w:rPr>
          <w:rFonts w:eastAsia="Calibri"/>
        </w:rPr>
        <w:t>ACART</w:t>
      </w:r>
      <w:r w:rsidR="000A0B49">
        <w:rPr>
          <w:rFonts w:eastAsia="Calibri"/>
        </w:rPr>
        <w:t>’</w:t>
      </w:r>
      <w:r w:rsidRPr="008973E6">
        <w:rPr>
          <w:rFonts w:eastAsia="Calibri"/>
        </w:rPr>
        <w:t xml:space="preserve">s 2017 consultation asked readers if they agreed with the recommendation </w:t>
      </w:r>
      <w:r>
        <w:rPr>
          <w:rFonts w:eastAsia="Calibri"/>
        </w:rPr>
        <w:t>to amend</w:t>
      </w:r>
      <w:r w:rsidRPr="008973E6">
        <w:rPr>
          <w:rFonts w:eastAsia="Calibri"/>
        </w:rPr>
        <w:t xml:space="preserve"> the HART Order to state that </w:t>
      </w:r>
      <w:r w:rsidR="000A0B49">
        <w:rPr>
          <w:rFonts w:eastAsia="Calibri"/>
        </w:rPr>
        <w:t>‘</w:t>
      </w:r>
      <w:r w:rsidRPr="009475B6">
        <w:rPr>
          <w:rFonts w:eastAsia="Calibri"/>
        </w:rPr>
        <w:t>all clinic assisted surrogacies should be subject to ECART consideration</w:t>
      </w:r>
      <w:r w:rsidR="000A0B49">
        <w:rPr>
          <w:rFonts w:eastAsia="Calibri"/>
        </w:rPr>
        <w:t>’</w:t>
      </w:r>
      <w:r w:rsidRPr="008973E6">
        <w:rPr>
          <w:rFonts w:eastAsia="Calibri"/>
        </w:rPr>
        <w:t xml:space="preserve">. </w:t>
      </w:r>
      <w:r>
        <w:rPr>
          <w:rFonts w:eastAsia="Calibri"/>
        </w:rPr>
        <w:t>Its</w:t>
      </w:r>
      <w:r w:rsidRPr="008973E6">
        <w:rPr>
          <w:rFonts w:eastAsia="Calibri"/>
        </w:rPr>
        <w:t xml:space="preserve"> 2019 consultation restated the proposal.</w:t>
      </w:r>
    </w:p>
    <w:p w14:paraId="61808B9F" w14:textId="77777777" w:rsidR="00547D02" w:rsidRPr="008973E6" w:rsidRDefault="00547D02" w:rsidP="00F224C7">
      <w:pPr>
        <w:rPr>
          <w:rFonts w:eastAsia="Calibri"/>
        </w:rPr>
      </w:pPr>
    </w:p>
    <w:p w14:paraId="1B794960" w14:textId="77777777" w:rsidR="00547D02" w:rsidRPr="003D1E8E" w:rsidRDefault="00547D02" w:rsidP="00F224C7">
      <w:pPr>
        <w:pStyle w:val="Heading3"/>
        <w:rPr>
          <w:rFonts w:eastAsia="Calibri"/>
        </w:rPr>
      </w:pPr>
      <w:r w:rsidRPr="003D1E8E">
        <w:rPr>
          <w:rFonts w:eastAsia="Calibri"/>
        </w:rPr>
        <w:t>Benefits of the change</w:t>
      </w:r>
    </w:p>
    <w:p w14:paraId="1700AFF5" w14:textId="77777777" w:rsidR="00547D02" w:rsidRDefault="00547D02" w:rsidP="00F224C7">
      <w:pPr>
        <w:pStyle w:val="Number"/>
        <w:rPr>
          <w:rFonts w:eastAsia="Calibri"/>
        </w:rPr>
      </w:pPr>
      <w:r>
        <w:rPr>
          <w:rFonts w:eastAsia="Calibri"/>
        </w:rPr>
        <w:t>Many submitters stated the counselling required for ECART applications was beneficial to people taking part in a surrogacy and safeguarded the arrangement. Once the HART Order is amended, ACART will be able to amend the guidelines to require</w:t>
      </w:r>
      <w:r w:rsidRPr="00F9367A">
        <w:rPr>
          <w:rFonts w:eastAsia="Calibri"/>
        </w:rPr>
        <w:t xml:space="preserve"> all clinic</w:t>
      </w:r>
      <w:r>
        <w:rPr>
          <w:rFonts w:eastAsia="Calibri"/>
        </w:rPr>
        <w:t xml:space="preserve"> </w:t>
      </w:r>
      <w:r w:rsidRPr="00F9367A">
        <w:rPr>
          <w:rFonts w:eastAsia="Calibri"/>
        </w:rPr>
        <w:t>assisted surrogacies</w:t>
      </w:r>
      <w:r>
        <w:rPr>
          <w:rFonts w:eastAsia="Calibri"/>
        </w:rPr>
        <w:t xml:space="preserve"> to be considered by ECART. ECART</w:t>
      </w:r>
      <w:r w:rsidR="000A0B49">
        <w:rPr>
          <w:rFonts w:eastAsia="Calibri"/>
        </w:rPr>
        <w:t>’</w:t>
      </w:r>
      <w:r>
        <w:rPr>
          <w:rFonts w:eastAsia="Calibri"/>
        </w:rPr>
        <w:t>s oversight of these cases will be an ideal way of managing the risks associated with surrogacy.</w:t>
      </w:r>
    </w:p>
    <w:p w14:paraId="106B19CE" w14:textId="77777777" w:rsidR="00547D02" w:rsidRDefault="00547D02" w:rsidP="00F224C7">
      <w:pPr>
        <w:rPr>
          <w:rFonts w:eastAsia="Calibri"/>
        </w:rPr>
      </w:pPr>
    </w:p>
    <w:p w14:paraId="77C9B878" w14:textId="77777777" w:rsidR="00547D02" w:rsidRPr="003D1E8E" w:rsidRDefault="00547D02" w:rsidP="00F224C7">
      <w:pPr>
        <w:pStyle w:val="Heading3"/>
        <w:rPr>
          <w:rFonts w:eastAsia="Calibri"/>
        </w:rPr>
      </w:pPr>
      <w:r w:rsidRPr="003D1E8E">
        <w:rPr>
          <w:rFonts w:eastAsia="Calibri"/>
        </w:rPr>
        <w:t>Risks of the change</w:t>
      </w:r>
    </w:p>
    <w:p w14:paraId="10B6BC1F" w14:textId="77777777" w:rsidR="00547D02" w:rsidRPr="00F224C7" w:rsidRDefault="00547D02" w:rsidP="00F224C7">
      <w:pPr>
        <w:pStyle w:val="Number"/>
      </w:pPr>
      <w:r>
        <w:rPr>
          <w:rFonts w:eastAsia="Calibri"/>
        </w:rPr>
        <w:t>Requiring all surrogacy cases to go to ECART might delay people</w:t>
      </w:r>
      <w:r w:rsidR="000A0B49">
        <w:rPr>
          <w:rFonts w:eastAsia="Calibri"/>
        </w:rPr>
        <w:t>’</w:t>
      </w:r>
      <w:r>
        <w:rPr>
          <w:rFonts w:eastAsia="Calibri"/>
        </w:rPr>
        <w:t xml:space="preserve">s treatment and cause them stress. As a result, some people might choose not to go through fertility clinics and instead use </w:t>
      </w:r>
      <w:r w:rsidR="000A0B49">
        <w:rPr>
          <w:rFonts w:eastAsia="Calibri"/>
        </w:rPr>
        <w:t>‘</w:t>
      </w:r>
      <w:r>
        <w:rPr>
          <w:rFonts w:eastAsia="Calibri"/>
        </w:rPr>
        <w:t>home insemination</w:t>
      </w:r>
      <w:r w:rsidR="000A0B49">
        <w:rPr>
          <w:rFonts w:eastAsia="Calibri"/>
        </w:rPr>
        <w:t>’</w:t>
      </w:r>
      <w:r>
        <w:rPr>
          <w:rFonts w:eastAsia="Calibri"/>
        </w:rPr>
        <w:t>. The change would not make more work for ECART and clinics because, in practice, clinics tend to refer all clinic assisted surrogacies to ECART for review.</w:t>
      </w:r>
    </w:p>
    <w:p w14:paraId="4D5BB3B9" w14:textId="77777777" w:rsidR="00547D02" w:rsidRPr="003D1E8E" w:rsidRDefault="00547D02" w:rsidP="00F224C7">
      <w:pPr>
        <w:pStyle w:val="Heading3"/>
        <w:spacing w:before="600"/>
        <w:rPr>
          <w:rFonts w:eastAsia="Calibri"/>
        </w:rPr>
      </w:pPr>
      <w:r w:rsidRPr="003D1E8E">
        <w:rPr>
          <w:rFonts w:eastAsia="Calibri"/>
        </w:rPr>
        <w:lastRenderedPageBreak/>
        <w:t>Submitters</w:t>
      </w:r>
      <w:r w:rsidR="000A0B49">
        <w:rPr>
          <w:rFonts w:eastAsia="Calibri"/>
        </w:rPr>
        <w:t>’</w:t>
      </w:r>
      <w:r w:rsidRPr="003D1E8E">
        <w:rPr>
          <w:rFonts w:eastAsia="Calibri"/>
        </w:rPr>
        <w:t xml:space="preserve"> views and ACART</w:t>
      </w:r>
      <w:r w:rsidR="000A0B49">
        <w:rPr>
          <w:rFonts w:eastAsia="Calibri"/>
        </w:rPr>
        <w:t>’</w:t>
      </w:r>
      <w:r w:rsidRPr="003D1E8E">
        <w:rPr>
          <w:rFonts w:eastAsia="Calibri"/>
        </w:rPr>
        <w:t>s assessment of th</w:t>
      </w:r>
      <w:r>
        <w:rPr>
          <w:rFonts w:eastAsia="Calibri"/>
        </w:rPr>
        <w:t>em</w:t>
      </w:r>
    </w:p>
    <w:p w14:paraId="520A9E77" w14:textId="77777777" w:rsidR="00547D02" w:rsidRDefault="00547D02" w:rsidP="00F224C7">
      <w:pPr>
        <w:pStyle w:val="Number"/>
        <w:rPr>
          <w:rFonts w:eastAsia="Calibri"/>
        </w:rPr>
      </w:pPr>
      <w:r w:rsidRPr="00677A69">
        <w:rPr>
          <w:rFonts w:eastAsia="Calibri"/>
        </w:rPr>
        <w:t xml:space="preserve">Of those who submitted to the 2017 consultation, seventeen supported the proposal and three opposed it. </w:t>
      </w:r>
      <w:r>
        <w:rPr>
          <w:rFonts w:eastAsia="Calibri"/>
        </w:rPr>
        <w:t>Those opposing stated that requiring all surrogacy cases to go to ECART would cause delays and stress, make more work for ECART and clinics, and potentially dissuade people from going to clinics.</w:t>
      </w:r>
    </w:p>
    <w:p w14:paraId="7C6E2866" w14:textId="77777777" w:rsidR="00547D02" w:rsidRDefault="00547D02" w:rsidP="00F224C7">
      <w:pPr>
        <w:pStyle w:val="Number"/>
        <w:rPr>
          <w:rFonts w:eastAsia="Calibri"/>
        </w:rPr>
      </w:pPr>
      <w:r w:rsidRPr="00677A69">
        <w:rPr>
          <w:rFonts w:eastAsia="Calibri"/>
        </w:rPr>
        <w:t>Of</w:t>
      </w:r>
      <w:r>
        <w:rPr>
          <w:rFonts w:eastAsia="Calibri"/>
        </w:rPr>
        <w:t xml:space="preserve"> those who submitted to the 2019</w:t>
      </w:r>
      <w:r w:rsidRPr="00677A69">
        <w:rPr>
          <w:rFonts w:eastAsia="Calibri"/>
        </w:rPr>
        <w:t xml:space="preserve"> consultation</w:t>
      </w:r>
      <w:r>
        <w:rPr>
          <w:rFonts w:eastAsia="Calibri"/>
        </w:rPr>
        <w:t>, 14</w:t>
      </w:r>
      <w:r w:rsidRPr="00677A69">
        <w:rPr>
          <w:rFonts w:eastAsia="Calibri"/>
        </w:rPr>
        <w:t xml:space="preserve"> </w:t>
      </w:r>
      <w:r>
        <w:rPr>
          <w:rFonts w:eastAsia="Calibri"/>
        </w:rPr>
        <w:t>were</w:t>
      </w:r>
      <w:r w:rsidRPr="00677A69">
        <w:rPr>
          <w:rFonts w:eastAsia="Calibri"/>
        </w:rPr>
        <w:t xml:space="preserve"> in favour. None of the 2019 submitters opposed the proposal, but </w:t>
      </w:r>
      <w:r>
        <w:rPr>
          <w:rFonts w:eastAsia="Calibri"/>
        </w:rPr>
        <w:t>in a</w:t>
      </w:r>
      <w:r w:rsidRPr="00677A69">
        <w:rPr>
          <w:rFonts w:eastAsia="Calibri"/>
        </w:rPr>
        <w:t xml:space="preserve"> survey of the public an academic</w:t>
      </w:r>
      <w:r w:rsidRPr="00F224C7">
        <w:rPr>
          <w:rStyle w:val="FootnoteReference"/>
          <w:rFonts w:eastAsia="Calibri"/>
        </w:rPr>
        <w:footnoteReference w:id="24"/>
      </w:r>
      <w:r w:rsidRPr="00677A69">
        <w:rPr>
          <w:rFonts w:eastAsia="Calibri"/>
        </w:rPr>
        <w:t xml:space="preserve"> found some respondents do not support </w:t>
      </w:r>
      <w:r>
        <w:rPr>
          <w:rFonts w:eastAsia="Calibri"/>
        </w:rPr>
        <w:t xml:space="preserve">having ECART consider </w:t>
      </w:r>
      <w:r w:rsidRPr="00677A69">
        <w:rPr>
          <w:rFonts w:eastAsia="Calibri"/>
        </w:rPr>
        <w:t>all clinic assisted surrogacies. These people believe</w:t>
      </w:r>
      <w:r>
        <w:rPr>
          <w:rFonts w:eastAsia="Calibri"/>
        </w:rPr>
        <w:t>d</w:t>
      </w:r>
      <w:r w:rsidRPr="00677A69">
        <w:rPr>
          <w:rFonts w:eastAsia="Calibri"/>
        </w:rPr>
        <w:t xml:space="preserve"> that other mechanisms can be used to address risk, such as counselling, discussions between parties if they already know one another, or having clinical experts rather than ECART assess cases. They noted that the ECART process can be daunting.</w:t>
      </w:r>
      <w:r>
        <w:rPr>
          <w:rFonts w:eastAsia="Calibri"/>
        </w:rPr>
        <w:t xml:space="preserve"> A submitter to the 2017 proposal had made the same points when opposing it.</w:t>
      </w:r>
    </w:p>
    <w:p w14:paraId="2910C3D9" w14:textId="77777777" w:rsidR="00547D02" w:rsidRDefault="00547D02" w:rsidP="00F224C7">
      <w:pPr>
        <w:pStyle w:val="Number"/>
        <w:rPr>
          <w:rFonts w:eastAsia="Calibri"/>
        </w:rPr>
      </w:pPr>
      <w:r>
        <w:rPr>
          <w:rFonts w:eastAsia="Calibri"/>
        </w:rPr>
        <w:t>ACART accepts the validity of the opposition but believes the risks of the problem that need to be managed outweigh the arguments against the proposal.</w:t>
      </w:r>
    </w:p>
    <w:p w14:paraId="033619CD" w14:textId="77777777" w:rsidR="00547D02" w:rsidRPr="00677A69" w:rsidRDefault="00547D02" w:rsidP="00F224C7">
      <w:pPr>
        <w:rPr>
          <w:rFonts w:eastAsia="Calibri"/>
        </w:rPr>
      </w:pPr>
    </w:p>
    <w:p w14:paraId="4D888944" w14:textId="77777777" w:rsidR="00547D02" w:rsidRPr="00EA1DE2" w:rsidRDefault="00547D02" w:rsidP="00724708">
      <w:pPr>
        <w:pStyle w:val="Heading2-notforToC"/>
      </w:pPr>
      <w:bookmarkStart w:id="99" w:name="_Toc73458959"/>
      <w:r w:rsidRPr="00EA1DE2">
        <w:t>4B</w:t>
      </w:r>
      <w:r w:rsidRPr="00EA1DE2">
        <w:tab/>
        <w:t>Surrogates should consider their future reproductive capacity</w:t>
      </w:r>
      <w:bookmarkEnd w:id="99"/>
    </w:p>
    <w:p w14:paraId="0A06CD9A" w14:textId="77777777" w:rsidR="00547D02" w:rsidRPr="00A045B7" w:rsidRDefault="00547D02" w:rsidP="00F224C7">
      <w:pPr>
        <w:pStyle w:val="Heading3"/>
        <w:rPr>
          <w:rFonts w:eastAsia="Calibri"/>
        </w:rPr>
      </w:pPr>
      <w:r w:rsidRPr="00A045B7">
        <w:rPr>
          <w:rFonts w:eastAsia="Calibri"/>
        </w:rPr>
        <w:t>ACART</w:t>
      </w:r>
      <w:r w:rsidR="000A0B49">
        <w:rPr>
          <w:rFonts w:eastAsia="Calibri"/>
        </w:rPr>
        <w:t>’</w:t>
      </w:r>
      <w:r w:rsidRPr="00A045B7">
        <w:rPr>
          <w:rFonts w:eastAsia="Calibri"/>
        </w:rPr>
        <w:t>s conclusions/decisions</w:t>
      </w:r>
    </w:p>
    <w:p w14:paraId="420A3389" w14:textId="77777777" w:rsidR="00547D02" w:rsidRDefault="00547D02" w:rsidP="00F224C7">
      <w:pPr>
        <w:pStyle w:val="Number"/>
        <w:rPr>
          <w:rFonts w:eastAsia="Calibri"/>
        </w:rPr>
      </w:pPr>
      <w:r>
        <w:rPr>
          <w:rFonts w:eastAsia="Calibri"/>
        </w:rPr>
        <w:t>ACART has removed the provision that a</w:t>
      </w:r>
      <w:r w:rsidRPr="00234C41">
        <w:rPr>
          <w:rFonts w:eastAsia="Calibri"/>
        </w:rPr>
        <w:t xml:space="preserve"> woman must have finished her family before acting </w:t>
      </w:r>
      <w:r>
        <w:rPr>
          <w:rFonts w:eastAsia="Calibri"/>
        </w:rPr>
        <w:t>as a surrogate</w:t>
      </w:r>
      <w:r w:rsidRPr="0088549D">
        <w:rPr>
          <w:rFonts w:eastAsia="Calibri"/>
        </w:rPr>
        <w:t xml:space="preserve"> </w:t>
      </w:r>
      <w:r>
        <w:rPr>
          <w:rFonts w:eastAsia="Calibri"/>
        </w:rPr>
        <w:t xml:space="preserve">and replaced it with a provision that a woman must </w:t>
      </w:r>
      <w:r w:rsidRPr="0088549D">
        <w:rPr>
          <w:rFonts w:eastAsia="Calibri"/>
        </w:rPr>
        <w:t>consider her future reproductive capacity</w:t>
      </w:r>
      <w:r>
        <w:rPr>
          <w:rFonts w:eastAsia="Calibri"/>
        </w:rPr>
        <w:t xml:space="preserve"> before acting as a surrogate.</w:t>
      </w:r>
    </w:p>
    <w:p w14:paraId="1C67D727" w14:textId="77777777" w:rsidR="00547D02" w:rsidRPr="0088549D" w:rsidRDefault="00547D02" w:rsidP="00F224C7">
      <w:pPr>
        <w:rPr>
          <w:rFonts w:eastAsia="Calibri"/>
        </w:rPr>
      </w:pPr>
    </w:p>
    <w:p w14:paraId="56B5B87A" w14:textId="77777777" w:rsidR="00547D02" w:rsidRDefault="00547D02" w:rsidP="00F224C7">
      <w:pPr>
        <w:pStyle w:val="Heading3"/>
        <w:rPr>
          <w:rFonts w:eastAsia="Calibri"/>
        </w:rPr>
      </w:pPr>
      <w:r w:rsidRPr="00365D29">
        <w:rPr>
          <w:rFonts w:eastAsia="Calibri"/>
        </w:rPr>
        <w:t>The problem</w:t>
      </w:r>
    </w:p>
    <w:p w14:paraId="1472FAD6" w14:textId="77777777" w:rsidR="00547D02" w:rsidRDefault="00547D02" w:rsidP="00F224C7">
      <w:pPr>
        <w:pStyle w:val="Number"/>
        <w:rPr>
          <w:rFonts w:eastAsia="Calibri"/>
        </w:rPr>
      </w:pPr>
      <w:r>
        <w:rPr>
          <w:rFonts w:eastAsia="Calibri"/>
        </w:rPr>
        <w:t xml:space="preserve">The previous </w:t>
      </w:r>
      <w:r w:rsidRPr="00234C41">
        <w:rPr>
          <w:rFonts w:eastAsia="Calibri"/>
        </w:rPr>
        <w:t xml:space="preserve">requirement that a woman must have finished her family before acting </w:t>
      </w:r>
      <w:r>
        <w:rPr>
          <w:rFonts w:eastAsia="Calibri"/>
        </w:rPr>
        <w:t xml:space="preserve">as a surrogate was not actually enforceable </w:t>
      </w:r>
      <w:r w:rsidRPr="00234C41">
        <w:rPr>
          <w:rFonts w:eastAsia="Calibri"/>
        </w:rPr>
        <w:t>or measurable</w:t>
      </w:r>
      <w:r>
        <w:rPr>
          <w:rFonts w:eastAsia="Calibri"/>
        </w:rPr>
        <w:t>.</w:t>
      </w:r>
      <w:r w:rsidRPr="00234C41">
        <w:rPr>
          <w:rFonts w:eastAsia="Calibri"/>
        </w:rPr>
        <w:t xml:space="preserve"> </w:t>
      </w:r>
      <w:r>
        <w:rPr>
          <w:rFonts w:eastAsia="Calibri"/>
        </w:rPr>
        <w:t>A</w:t>
      </w:r>
      <w:r w:rsidRPr="00234C41">
        <w:rPr>
          <w:rFonts w:eastAsia="Calibri"/>
        </w:rPr>
        <w:t xml:space="preserve"> woman might have another child for herself after being a surrogate</w:t>
      </w:r>
      <w:r>
        <w:rPr>
          <w:rFonts w:eastAsia="Calibri"/>
        </w:rPr>
        <w:t xml:space="preserve"> and might change her mind at any time.</w:t>
      </w:r>
    </w:p>
    <w:p w14:paraId="1A0DA768" w14:textId="77777777" w:rsidR="00547D02" w:rsidRDefault="00547D02" w:rsidP="00F224C7">
      <w:pPr>
        <w:pStyle w:val="Number"/>
        <w:rPr>
          <w:rFonts w:eastAsia="Calibri"/>
        </w:rPr>
      </w:pPr>
      <w:r>
        <w:rPr>
          <w:rFonts w:eastAsia="Calibri"/>
        </w:rPr>
        <w:t>Nonetheless</w:t>
      </w:r>
      <w:r w:rsidRPr="00234C41">
        <w:rPr>
          <w:rFonts w:eastAsia="Calibri"/>
        </w:rPr>
        <w:t xml:space="preserve">, ACART believes </w:t>
      </w:r>
      <w:r>
        <w:rPr>
          <w:rFonts w:eastAsia="Calibri"/>
        </w:rPr>
        <w:t xml:space="preserve">that before acting as a surrogate </w:t>
      </w:r>
      <w:r w:rsidRPr="00234C41">
        <w:rPr>
          <w:rFonts w:eastAsia="Calibri"/>
        </w:rPr>
        <w:t>a woman should have considered the implications of not having finished her own family. Such a provision makes it clear that there are important matters for the parties to consider but at the same time it does not prohibit a woman from being a surrogate without first finishing her family</w:t>
      </w:r>
      <w:r>
        <w:rPr>
          <w:rFonts w:eastAsia="Calibri"/>
        </w:rPr>
        <w:t xml:space="preserve"> – the woman</w:t>
      </w:r>
      <w:r w:rsidR="000A0B49">
        <w:rPr>
          <w:rFonts w:eastAsia="Calibri"/>
        </w:rPr>
        <w:t>’</w:t>
      </w:r>
      <w:r>
        <w:rPr>
          <w:rFonts w:eastAsia="Calibri"/>
        </w:rPr>
        <w:t>s autonomy is maintained.</w:t>
      </w:r>
    </w:p>
    <w:p w14:paraId="18DBF515" w14:textId="77777777" w:rsidR="00F224C7" w:rsidRPr="00234C41" w:rsidRDefault="00F224C7" w:rsidP="00F224C7">
      <w:pPr>
        <w:rPr>
          <w:rFonts w:eastAsia="Calibri"/>
        </w:rPr>
      </w:pPr>
    </w:p>
    <w:p w14:paraId="4955F83A" w14:textId="77777777" w:rsidR="00547D02" w:rsidRPr="003D1E8E" w:rsidRDefault="00547D02" w:rsidP="00F224C7">
      <w:pPr>
        <w:pStyle w:val="Heading3"/>
        <w:rPr>
          <w:rFonts w:eastAsia="Calibri"/>
        </w:rPr>
      </w:pPr>
      <w:r w:rsidRPr="003D1E8E">
        <w:rPr>
          <w:rFonts w:eastAsia="Calibri"/>
        </w:rPr>
        <w:lastRenderedPageBreak/>
        <w:t>ACART</w:t>
      </w:r>
      <w:r w:rsidR="000A0B49">
        <w:rPr>
          <w:rFonts w:eastAsia="Calibri"/>
        </w:rPr>
        <w:t>’</w:t>
      </w:r>
      <w:r w:rsidRPr="003D1E8E">
        <w:rPr>
          <w:rFonts w:eastAsia="Calibri"/>
        </w:rPr>
        <w:t>s initial and subsequent proposals</w:t>
      </w:r>
    </w:p>
    <w:p w14:paraId="02209B7F" w14:textId="77777777" w:rsidR="00547D02" w:rsidRDefault="00547D02" w:rsidP="00F224C7">
      <w:pPr>
        <w:pStyle w:val="Number"/>
        <w:rPr>
          <w:rFonts w:eastAsia="Calibri"/>
        </w:rPr>
      </w:pPr>
      <w:r>
        <w:rPr>
          <w:rFonts w:eastAsia="Calibri"/>
        </w:rPr>
        <w:t xml:space="preserve">In </w:t>
      </w:r>
      <w:r w:rsidRPr="004A7719">
        <w:rPr>
          <w:rFonts w:eastAsia="Calibri"/>
        </w:rPr>
        <w:t>2017</w:t>
      </w:r>
      <w:r>
        <w:rPr>
          <w:rFonts w:eastAsia="Calibri"/>
        </w:rPr>
        <w:t>, ACART</w:t>
      </w:r>
      <w:r w:rsidR="000A0B49">
        <w:rPr>
          <w:rFonts w:eastAsia="Calibri"/>
        </w:rPr>
        <w:t>’</w:t>
      </w:r>
      <w:r>
        <w:rPr>
          <w:rFonts w:eastAsia="Calibri"/>
        </w:rPr>
        <w:t xml:space="preserve">s </w:t>
      </w:r>
      <w:r w:rsidRPr="004A7719">
        <w:rPr>
          <w:rFonts w:eastAsia="Calibri"/>
        </w:rPr>
        <w:t xml:space="preserve">consultation proposed </w:t>
      </w:r>
      <w:r>
        <w:rPr>
          <w:rFonts w:eastAsia="Calibri"/>
        </w:rPr>
        <w:t xml:space="preserve">retaining the </w:t>
      </w:r>
      <w:r w:rsidRPr="004A7719">
        <w:rPr>
          <w:rFonts w:eastAsia="Calibri"/>
        </w:rPr>
        <w:t>provision that a woman must have finished</w:t>
      </w:r>
      <w:r>
        <w:rPr>
          <w:rFonts w:eastAsia="Calibri"/>
          <w:i/>
        </w:rPr>
        <w:t xml:space="preserve"> </w:t>
      </w:r>
      <w:r w:rsidRPr="004A7719">
        <w:rPr>
          <w:rFonts w:eastAsia="Calibri"/>
        </w:rPr>
        <w:t>her family</w:t>
      </w:r>
      <w:r>
        <w:rPr>
          <w:rFonts w:eastAsia="Calibri"/>
        </w:rPr>
        <w:t>. On further reflection after the consultation, ACART concluded that the provision was not enforceable and that an alternative was needed. Consequently, ACART</w:t>
      </w:r>
      <w:r w:rsidR="000A0B49">
        <w:rPr>
          <w:rFonts w:eastAsia="Calibri"/>
        </w:rPr>
        <w:t>’</w:t>
      </w:r>
      <w:r>
        <w:rPr>
          <w:rFonts w:eastAsia="Calibri"/>
        </w:rPr>
        <w:t>s 2019 consultation proposed the new provision that surrogates should have considered their future reproductive capacity.</w:t>
      </w:r>
    </w:p>
    <w:p w14:paraId="37FA031F" w14:textId="77777777" w:rsidR="00547D02" w:rsidRPr="004A7719" w:rsidRDefault="00547D02" w:rsidP="00F224C7">
      <w:pPr>
        <w:rPr>
          <w:rFonts w:eastAsia="Calibri"/>
        </w:rPr>
      </w:pPr>
    </w:p>
    <w:p w14:paraId="0D5687A5" w14:textId="77777777" w:rsidR="00547D02" w:rsidRPr="00960CCE" w:rsidRDefault="00547D02" w:rsidP="00F224C7">
      <w:pPr>
        <w:pStyle w:val="Heading3"/>
        <w:rPr>
          <w:rFonts w:eastAsia="Calibri"/>
        </w:rPr>
      </w:pPr>
      <w:r w:rsidRPr="00960CCE">
        <w:rPr>
          <w:rFonts w:eastAsia="Calibri"/>
        </w:rPr>
        <w:t xml:space="preserve">Benefits </w:t>
      </w:r>
      <w:r>
        <w:rPr>
          <w:rFonts w:eastAsia="Calibri"/>
        </w:rPr>
        <w:t>of the change</w:t>
      </w:r>
    </w:p>
    <w:p w14:paraId="4B9E8514" w14:textId="77777777" w:rsidR="00547D02" w:rsidRDefault="00547D02" w:rsidP="00F224C7">
      <w:pPr>
        <w:pStyle w:val="Number"/>
        <w:rPr>
          <w:rFonts w:eastAsia="Calibri"/>
        </w:rPr>
      </w:pPr>
      <w:r>
        <w:rPr>
          <w:rFonts w:eastAsia="Calibri"/>
        </w:rPr>
        <w:t>By requiring women to consider the risks of carrying a child and relinquishing that child to another party, the new provision helps to ensure women will be adequately informed to give consent. The provision will ensure that women are aware of the various risks, particularly to their own fertility, and have considered them adequately.</w:t>
      </w:r>
    </w:p>
    <w:p w14:paraId="1B643CB0" w14:textId="77777777" w:rsidR="00547D02" w:rsidRDefault="00547D02" w:rsidP="00F224C7">
      <w:pPr>
        <w:pStyle w:val="Number"/>
        <w:rPr>
          <w:rFonts w:eastAsia="Calibri"/>
        </w:rPr>
      </w:pPr>
      <w:r w:rsidRPr="007E6E5B">
        <w:rPr>
          <w:rFonts w:eastAsia="Calibri"/>
        </w:rPr>
        <w:t>The provision helps all parties</w:t>
      </w:r>
      <w:r w:rsidRPr="00FC4695">
        <w:rPr>
          <w:rFonts w:eastAsia="Calibri"/>
        </w:rPr>
        <w:t xml:space="preserve"> </w:t>
      </w:r>
      <w:r w:rsidRPr="007E6E5B">
        <w:rPr>
          <w:rFonts w:eastAsia="Calibri"/>
        </w:rPr>
        <w:t xml:space="preserve">to understand the </w:t>
      </w:r>
      <w:r>
        <w:rPr>
          <w:rFonts w:eastAsia="Calibri"/>
        </w:rPr>
        <w:t>implications of surrogacy</w:t>
      </w:r>
      <w:r w:rsidRPr="007E6E5B">
        <w:rPr>
          <w:rFonts w:eastAsia="Calibri"/>
        </w:rPr>
        <w:t xml:space="preserve"> </w:t>
      </w:r>
      <w:r>
        <w:rPr>
          <w:rFonts w:eastAsia="Calibri"/>
        </w:rPr>
        <w:t>in order to give informed consent. T</w:t>
      </w:r>
      <w:r w:rsidRPr="007E6E5B">
        <w:rPr>
          <w:rFonts w:eastAsia="Calibri"/>
        </w:rPr>
        <w:t xml:space="preserve">he parties </w:t>
      </w:r>
      <w:r>
        <w:rPr>
          <w:rFonts w:eastAsia="Calibri"/>
        </w:rPr>
        <w:t>other than the surrogate</w:t>
      </w:r>
      <w:r w:rsidRPr="007E6E5B">
        <w:rPr>
          <w:rFonts w:eastAsia="Calibri"/>
        </w:rPr>
        <w:t xml:space="preserve"> also face risks (</w:t>
      </w:r>
      <w:proofErr w:type="spellStart"/>
      <w:r w:rsidRPr="007E6E5B">
        <w:rPr>
          <w:rFonts w:eastAsia="Calibri"/>
        </w:rPr>
        <w:t>eg</w:t>
      </w:r>
      <w:proofErr w:type="spellEnd"/>
      <w:r>
        <w:rPr>
          <w:rFonts w:eastAsia="Calibri"/>
        </w:rPr>
        <w:t>,</w:t>
      </w:r>
      <w:r w:rsidRPr="007E6E5B">
        <w:rPr>
          <w:rFonts w:eastAsia="Calibri"/>
        </w:rPr>
        <w:t xml:space="preserve"> providing sperm and/or eggs to a surrogate but then not becoming parents to the child if the surrogate chooses to keep it)</w:t>
      </w:r>
      <w:r>
        <w:rPr>
          <w:rFonts w:eastAsia="Calibri"/>
        </w:rPr>
        <w:t>.</w:t>
      </w:r>
    </w:p>
    <w:p w14:paraId="6F78FF68" w14:textId="77777777" w:rsidR="00547D02" w:rsidRPr="007E6E5B" w:rsidRDefault="00547D02" w:rsidP="00F224C7">
      <w:pPr>
        <w:rPr>
          <w:rFonts w:eastAsia="Calibri"/>
        </w:rPr>
      </w:pPr>
    </w:p>
    <w:p w14:paraId="0FEB1FF6" w14:textId="77777777" w:rsidR="00547D02" w:rsidRPr="003D1E8E" w:rsidRDefault="00547D02" w:rsidP="00F224C7">
      <w:pPr>
        <w:pStyle w:val="Heading3"/>
        <w:rPr>
          <w:rFonts w:eastAsia="Calibri"/>
        </w:rPr>
      </w:pPr>
      <w:r w:rsidRPr="003D1E8E">
        <w:rPr>
          <w:rFonts w:eastAsia="Calibri"/>
        </w:rPr>
        <w:t>Risks</w:t>
      </w:r>
    </w:p>
    <w:p w14:paraId="4A35D87D" w14:textId="77777777" w:rsidR="00547D02" w:rsidRDefault="00547D02" w:rsidP="00F224C7">
      <w:pPr>
        <w:pStyle w:val="Number"/>
        <w:rPr>
          <w:rFonts w:eastAsia="Calibri"/>
        </w:rPr>
      </w:pPr>
      <w:r>
        <w:rPr>
          <w:rFonts w:eastAsia="Calibri"/>
        </w:rPr>
        <w:t>S</w:t>
      </w:r>
      <w:r w:rsidRPr="007E6E5B">
        <w:rPr>
          <w:rFonts w:eastAsia="Calibri"/>
        </w:rPr>
        <w:t xml:space="preserve">urrogacies </w:t>
      </w:r>
      <w:r>
        <w:rPr>
          <w:rFonts w:eastAsia="Calibri"/>
        </w:rPr>
        <w:t>involve several risks,</w:t>
      </w:r>
      <w:r w:rsidRPr="00F224C7">
        <w:rPr>
          <w:rStyle w:val="FootnoteReference"/>
          <w:rFonts w:eastAsia="Calibri"/>
        </w:rPr>
        <w:footnoteReference w:id="25"/>
      </w:r>
      <w:r>
        <w:rPr>
          <w:rFonts w:eastAsia="Calibri"/>
        </w:rPr>
        <w:t xml:space="preserve"> including the risk addressed by this provision that a woman</w:t>
      </w:r>
      <w:r w:rsidR="000A0B49">
        <w:rPr>
          <w:rFonts w:eastAsia="Calibri"/>
        </w:rPr>
        <w:t>’</w:t>
      </w:r>
      <w:r>
        <w:rPr>
          <w:rFonts w:eastAsia="Calibri"/>
        </w:rPr>
        <w:t>s fertility might be compromised by carrying a child. If a woman acts as a surrogate and the pregnancy compromises her fertility, then she may be unable to have or finish a family of her own.</w:t>
      </w:r>
    </w:p>
    <w:p w14:paraId="0EBF0F20" w14:textId="77777777" w:rsidR="00547D02" w:rsidRDefault="00547D02" w:rsidP="00F224C7">
      <w:pPr>
        <w:pStyle w:val="Number"/>
        <w:rPr>
          <w:rFonts w:eastAsia="Calibri"/>
        </w:rPr>
      </w:pPr>
      <w:r>
        <w:rPr>
          <w:rFonts w:eastAsia="Calibri"/>
        </w:rPr>
        <w:t xml:space="preserve">Another risk is that a woman who has never had a baby may be a surrogate, so neither she nor the intending parents will know how her body reacts to pregnancy. This poses greater risks for all parties than using a surrogate who has experienced pregnancy and </w:t>
      </w:r>
      <w:proofErr w:type="gramStart"/>
      <w:r>
        <w:rPr>
          <w:rFonts w:eastAsia="Calibri"/>
        </w:rPr>
        <w:t>child birth</w:t>
      </w:r>
      <w:proofErr w:type="gramEnd"/>
      <w:r>
        <w:rPr>
          <w:rFonts w:eastAsia="Calibri"/>
        </w:rPr>
        <w:t>, as she would know more about what to expect and can make a more informed decision.</w:t>
      </w:r>
    </w:p>
    <w:p w14:paraId="52B3FEB0" w14:textId="77777777" w:rsidR="00547D02" w:rsidRDefault="00547D02" w:rsidP="00F224C7">
      <w:pPr>
        <w:rPr>
          <w:rFonts w:eastAsia="Calibri"/>
        </w:rPr>
      </w:pPr>
    </w:p>
    <w:p w14:paraId="5E3E8B64" w14:textId="77777777" w:rsidR="00547D02" w:rsidRPr="003D1E8E" w:rsidRDefault="00547D02" w:rsidP="00F224C7">
      <w:pPr>
        <w:pStyle w:val="Heading3"/>
        <w:rPr>
          <w:rFonts w:eastAsia="Calibri"/>
        </w:rPr>
      </w:pPr>
      <w:r w:rsidRPr="003D1E8E">
        <w:rPr>
          <w:rFonts w:eastAsia="Calibri"/>
        </w:rPr>
        <w:lastRenderedPageBreak/>
        <w:t>Submitters</w:t>
      </w:r>
      <w:r w:rsidR="000A0B49">
        <w:rPr>
          <w:rFonts w:eastAsia="Calibri"/>
        </w:rPr>
        <w:t>’</w:t>
      </w:r>
      <w:r w:rsidRPr="003D1E8E">
        <w:rPr>
          <w:rFonts w:eastAsia="Calibri"/>
        </w:rPr>
        <w:t xml:space="preserve"> views and ACART</w:t>
      </w:r>
      <w:r w:rsidR="000A0B49">
        <w:rPr>
          <w:rFonts w:eastAsia="Calibri"/>
        </w:rPr>
        <w:t>’</w:t>
      </w:r>
      <w:r w:rsidRPr="003D1E8E">
        <w:rPr>
          <w:rFonts w:eastAsia="Calibri"/>
        </w:rPr>
        <w:t>s assessment of th</w:t>
      </w:r>
      <w:r>
        <w:rPr>
          <w:rFonts w:eastAsia="Calibri"/>
        </w:rPr>
        <w:t>em</w:t>
      </w:r>
    </w:p>
    <w:p w14:paraId="207652EC" w14:textId="77777777" w:rsidR="00547D02" w:rsidRDefault="00547D02" w:rsidP="00F224C7">
      <w:pPr>
        <w:pStyle w:val="Number"/>
        <w:keepNext/>
        <w:rPr>
          <w:rFonts w:eastAsia="Calibri"/>
        </w:rPr>
      </w:pPr>
      <w:r w:rsidRPr="00AB51E5">
        <w:rPr>
          <w:rFonts w:eastAsia="Calibri"/>
        </w:rPr>
        <w:t xml:space="preserve">Eleven submitters supported </w:t>
      </w:r>
      <w:r>
        <w:rPr>
          <w:rFonts w:eastAsia="Calibri"/>
        </w:rPr>
        <w:t>ACART</w:t>
      </w:r>
      <w:r w:rsidR="000A0B49">
        <w:rPr>
          <w:rFonts w:eastAsia="Calibri"/>
        </w:rPr>
        <w:t>’</w:t>
      </w:r>
      <w:r>
        <w:rPr>
          <w:rFonts w:eastAsia="Calibri"/>
        </w:rPr>
        <w:t>s</w:t>
      </w:r>
      <w:r w:rsidRPr="00AB51E5">
        <w:rPr>
          <w:rFonts w:eastAsia="Calibri"/>
        </w:rPr>
        <w:t xml:space="preserve"> proposal, </w:t>
      </w:r>
      <w:r>
        <w:rPr>
          <w:rFonts w:eastAsia="Calibri"/>
        </w:rPr>
        <w:t xml:space="preserve">while </w:t>
      </w:r>
      <w:r w:rsidRPr="00AB51E5">
        <w:rPr>
          <w:rFonts w:eastAsia="Calibri"/>
        </w:rPr>
        <w:t>three opposed it.</w:t>
      </w:r>
    </w:p>
    <w:p w14:paraId="7657E82B" w14:textId="77777777" w:rsidR="00547D02" w:rsidRDefault="00547D02" w:rsidP="00F224C7">
      <w:pPr>
        <w:pStyle w:val="Number"/>
        <w:rPr>
          <w:rFonts w:eastAsia="Calibri"/>
        </w:rPr>
      </w:pPr>
      <w:r w:rsidRPr="00AB51E5">
        <w:rPr>
          <w:rFonts w:eastAsia="Calibri"/>
        </w:rPr>
        <w:t xml:space="preserve">Those agreeing with </w:t>
      </w:r>
      <w:r>
        <w:rPr>
          <w:rFonts w:eastAsia="Calibri"/>
        </w:rPr>
        <w:t>the proposal</w:t>
      </w:r>
      <w:r w:rsidRPr="00AB51E5">
        <w:rPr>
          <w:rFonts w:eastAsia="Calibri"/>
        </w:rPr>
        <w:t xml:space="preserve"> </w:t>
      </w:r>
      <w:r>
        <w:rPr>
          <w:rFonts w:eastAsia="Calibri"/>
        </w:rPr>
        <w:t>stated</w:t>
      </w:r>
      <w:r w:rsidRPr="00AB51E5">
        <w:rPr>
          <w:rFonts w:eastAsia="Calibri"/>
        </w:rPr>
        <w:t xml:space="preserve"> the new provisions are better as they are workable and less restrictive on women</w:t>
      </w:r>
      <w:r w:rsidR="000A0B49">
        <w:rPr>
          <w:rFonts w:eastAsia="Calibri"/>
        </w:rPr>
        <w:t>’</w:t>
      </w:r>
      <w:r w:rsidRPr="00AB51E5">
        <w:rPr>
          <w:rFonts w:eastAsia="Calibri"/>
        </w:rPr>
        <w:t>s choices.</w:t>
      </w:r>
    </w:p>
    <w:p w14:paraId="2572C1EB" w14:textId="77777777" w:rsidR="00547D02" w:rsidRPr="00AB51E5" w:rsidRDefault="00547D02" w:rsidP="00F224C7">
      <w:pPr>
        <w:pStyle w:val="Number"/>
        <w:rPr>
          <w:rFonts w:eastAsia="Calibri"/>
        </w:rPr>
      </w:pPr>
      <w:r w:rsidRPr="00AB51E5">
        <w:rPr>
          <w:rFonts w:eastAsia="Calibri"/>
        </w:rPr>
        <w:t>The submitters opposin</w:t>
      </w:r>
      <w:r>
        <w:rPr>
          <w:rFonts w:eastAsia="Calibri"/>
        </w:rPr>
        <w:t>g the amended surrogacy provisions did not want to remove them; instead, they suggested the existing provisions should</w:t>
      </w:r>
      <w:r w:rsidRPr="00AB51E5">
        <w:rPr>
          <w:rFonts w:eastAsia="Calibri"/>
        </w:rPr>
        <w:t xml:space="preserve"> be </w:t>
      </w:r>
      <w:r w:rsidRPr="008973E6">
        <w:rPr>
          <w:rFonts w:eastAsia="Calibri"/>
          <w:b/>
        </w:rPr>
        <w:t>stronger</w:t>
      </w:r>
      <w:r>
        <w:rPr>
          <w:rFonts w:eastAsia="Calibri"/>
        </w:rPr>
        <w:t>. They stated the provision should</w:t>
      </w:r>
      <w:r w:rsidRPr="00AB51E5">
        <w:rPr>
          <w:rFonts w:eastAsia="Calibri"/>
        </w:rPr>
        <w:t xml:space="preserve"> </w:t>
      </w:r>
      <w:r>
        <w:rPr>
          <w:rFonts w:eastAsia="Calibri"/>
        </w:rPr>
        <w:t xml:space="preserve">give greater direction to </w:t>
      </w:r>
      <w:r w:rsidRPr="00AB51E5">
        <w:rPr>
          <w:rFonts w:eastAsia="Calibri"/>
        </w:rPr>
        <w:t xml:space="preserve">ECART as </w:t>
      </w:r>
      <w:r>
        <w:rPr>
          <w:rFonts w:eastAsia="Calibri"/>
        </w:rPr>
        <w:t xml:space="preserve">women who act as </w:t>
      </w:r>
      <w:r w:rsidRPr="00AB51E5">
        <w:rPr>
          <w:rFonts w:eastAsia="Calibri"/>
        </w:rPr>
        <w:t>surrogate</w:t>
      </w:r>
      <w:r>
        <w:rPr>
          <w:rFonts w:eastAsia="Calibri"/>
        </w:rPr>
        <w:t>s</w:t>
      </w:r>
      <w:r w:rsidRPr="00AB51E5">
        <w:rPr>
          <w:rFonts w:eastAsia="Calibri"/>
        </w:rPr>
        <w:t xml:space="preserve"> without having previously given birth</w:t>
      </w:r>
      <w:r>
        <w:rPr>
          <w:rFonts w:eastAsia="Calibri"/>
        </w:rPr>
        <w:t xml:space="preserve"> face significant risks</w:t>
      </w:r>
      <w:r w:rsidRPr="00AB51E5">
        <w:rPr>
          <w:rFonts w:eastAsia="Calibri"/>
        </w:rPr>
        <w:t>.</w:t>
      </w:r>
      <w:r>
        <w:rPr>
          <w:rFonts w:eastAsia="Calibri"/>
        </w:rPr>
        <w:t xml:space="preserve"> One fertility services provider recommended adding to the provision </w:t>
      </w:r>
      <w:r w:rsidR="000A0B49">
        <w:rPr>
          <w:rFonts w:eastAsia="Calibri"/>
        </w:rPr>
        <w:t>‘</w:t>
      </w:r>
      <w:r w:rsidRPr="007E6E5B">
        <w:rPr>
          <w:rFonts w:eastAsia="Calibri"/>
        </w:rPr>
        <w:t>consider the risks to the future reproductive capacity of the surrogate</w:t>
      </w:r>
      <w:r w:rsidR="000A0B49">
        <w:rPr>
          <w:rFonts w:eastAsia="Calibri"/>
        </w:rPr>
        <w:t>’</w:t>
      </w:r>
      <w:r>
        <w:rPr>
          <w:rFonts w:eastAsia="Calibri"/>
        </w:rPr>
        <w:t xml:space="preserve"> so that it further states</w:t>
      </w:r>
      <w:r w:rsidRPr="007E6E5B">
        <w:rPr>
          <w:rFonts w:eastAsia="Calibri"/>
        </w:rPr>
        <w:t xml:space="preserve"> </w:t>
      </w:r>
      <w:r w:rsidR="000A0B49">
        <w:rPr>
          <w:rFonts w:eastAsia="Calibri"/>
        </w:rPr>
        <w:t>‘</w:t>
      </w:r>
      <w:r w:rsidRPr="004B4B8E">
        <w:rPr>
          <w:rFonts w:eastAsia="Calibri"/>
        </w:rPr>
        <w:t>and</w:t>
      </w:r>
      <w:r w:rsidRPr="007E6E5B">
        <w:rPr>
          <w:rFonts w:eastAsia="Calibri"/>
        </w:rPr>
        <w:t xml:space="preserve"> consider the physical and mental health of the surrogate in her previous pregnancies</w:t>
      </w:r>
      <w:r w:rsidR="000A0B49">
        <w:rPr>
          <w:rFonts w:eastAsia="Calibri"/>
        </w:rPr>
        <w:t>’</w:t>
      </w:r>
      <w:r w:rsidRPr="007E6E5B">
        <w:rPr>
          <w:rFonts w:eastAsia="Calibri"/>
        </w:rPr>
        <w:t>.</w:t>
      </w:r>
    </w:p>
    <w:p w14:paraId="3E86176F" w14:textId="77777777" w:rsidR="00547D02" w:rsidRDefault="00547D02" w:rsidP="00F224C7">
      <w:pPr>
        <w:pStyle w:val="Number"/>
        <w:rPr>
          <w:rFonts w:eastAsia="Calibri"/>
        </w:rPr>
      </w:pPr>
      <w:r w:rsidRPr="008973E6">
        <w:rPr>
          <w:rFonts w:eastAsia="Calibri"/>
        </w:rPr>
        <w:t xml:space="preserve">Two other submitters </w:t>
      </w:r>
      <w:r>
        <w:rPr>
          <w:rFonts w:eastAsia="Calibri"/>
        </w:rPr>
        <w:t>proposed</w:t>
      </w:r>
      <w:r w:rsidRPr="008973E6">
        <w:rPr>
          <w:rFonts w:eastAsia="Calibri"/>
        </w:rPr>
        <w:t xml:space="preserve"> the provision should state that it is preferable that a surrogate should have experienced childbirth. </w:t>
      </w:r>
      <w:r>
        <w:rPr>
          <w:rFonts w:eastAsia="Calibri"/>
        </w:rPr>
        <w:t xml:space="preserve">After </w:t>
      </w:r>
      <w:r w:rsidRPr="008973E6">
        <w:rPr>
          <w:rFonts w:eastAsia="Calibri"/>
        </w:rPr>
        <w:t>discuss</w:t>
      </w:r>
      <w:r>
        <w:rPr>
          <w:rFonts w:eastAsia="Calibri"/>
        </w:rPr>
        <w:t>ing</w:t>
      </w:r>
      <w:r w:rsidRPr="008973E6">
        <w:rPr>
          <w:rFonts w:eastAsia="Calibri"/>
        </w:rPr>
        <w:t xml:space="preserve"> the advantages of this </w:t>
      </w:r>
      <w:r>
        <w:rPr>
          <w:rFonts w:eastAsia="Calibri"/>
        </w:rPr>
        <w:t>suggestion, ACART</w:t>
      </w:r>
      <w:r w:rsidRPr="008973E6">
        <w:rPr>
          <w:rFonts w:eastAsia="Calibri"/>
        </w:rPr>
        <w:t xml:space="preserve"> </w:t>
      </w:r>
      <w:r>
        <w:rPr>
          <w:rFonts w:eastAsia="Calibri"/>
        </w:rPr>
        <w:t xml:space="preserve">concluded that associated risks are mitigated through the counselling provisions and ECART being satisfied all the parties are making an informed choice. A woman should be able to choose to be a surrogate if she really wants to do </w:t>
      </w:r>
      <w:proofErr w:type="gramStart"/>
      <w:r>
        <w:rPr>
          <w:rFonts w:eastAsia="Calibri"/>
        </w:rPr>
        <w:t>so, but</w:t>
      </w:r>
      <w:proofErr w:type="gramEnd"/>
      <w:r>
        <w:rPr>
          <w:rFonts w:eastAsia="Calibri"/>
        </w:rPr>
        <w:t xml:space="preserve"> does not wish to be a parent.</w:t>
      </w:r>
    </w:p>
    <w:p w14:paraId="393DC69B" w14:textId="77777777" w:rsidR="00547D02" w:rsidRPr="006F16B7" w:rsidRDefault="00547D02" w:rsidP="00F224C7">
      <w:pPr>
        <w:rPr>
          <w:rFonts w:eastAsia="Calibri"/>
        </w:rPr>
      </w:pPr>
    </w:p>
    <w:p w14:paraId="11F8F484" w14:textId="77777777" w:rsidR="00547D02" w:rsidRPr="00EA1DE2" w:rsidRDefault="00547D02" w:rsidP="00724708">
      <w:pPr>
        <w:pStyle w:val="Heading2-notforToC"/>
      </w:pPr>
      <w:bookmarkStart w:id="100" w:name="_Toc73458960"/>
      <w:r>
        <w:t>4C</w:t>
      </w:r>
      <w:r>
        <w:tab/>
      </w:r>
      <w:r w:rsidRPr="00EA1DE2">
        <w:t>All parties must consider how their residency will affect relationships in the future</w:t>
      </w:r>
      <w:bookmarkEnd w:id="100"/>
    </w:p>
    <w:p w14:paraId="16C91504" w14:textId="77777777" w:rsidR="00547D02" w:rsidRPr="003D1E8E" w:rsidRDefault="00547D02" w:rsidP="00607C6F">
      <w:pPr>
        <w:pStyle w:val="Heading3"/>
        <w:rPr>
          <w:rFonts w:eastAsia="Calibri"/>
        </w:rPr>
      </w:pPr>
      <w:r w:rsidRPr="003D1E8E">
        <w:rPr>
          <w:rFonts w:eastAsia="Calibri"/>
        </w:rPr>
        <w:t>ACART</w:t>
      </w:r>
      <w:r w:rsidR="000A0B49">
        <w:rPr>
          <w:rFonts w:eastAsia="Calibri"/>
        </w:rPr>
        <w:t>’</w:t>
      </w:r>
      <w:r w:rsidRPr="003D1E8E">
        <w:rPr>
          <w:rFonts w:eastAsia="Calibri"/>
        </w:rPr>
        <w:t>s conclusions/decisions</w:t>
      </w:r>
    </w:p>
    <w:p w14:paraId="3B38029C" w14:textId="77777777" w:rsidR="00547D02" w:rsidRPr="00C072BA" w:rsidRDefault="00547D02" w:rsidP="00607C6F">
      <w:pPr>
        <w:pStyle w:val="Number"/>
      </w:pPr>
      <w:r>
        <w:t>ACART believes this</w:t>
      </w:r>
      <w:r w:rsidRPr="00C072BA">
        <w:t xml:space="preserve"> provision </w:t>
      </w:r>
      <w:r>
        <w:t xml:space="preserve">will ensure parties to a surrogacy will have plans in place to </w:t>
      </w:r>
      <w:r w:rsidRPr="00C072BA">
        <w:t>protect the wellbeing of the offspring and the adult parties. The provision will give ECART the scope to consider whether the residency plans will make such protections available.</w:t>
      </w:r>
    </w:p>
    <w:p w14:paraId="6EC8F170" w14:textId="77777777" w:rsidR="00547D02" w:rsidRDefault="00547D02" w:rsidP="00607C6F">
      <w:pPr>
        <w:pStyle w:val="Number"/>
      </w:pPr>
      <w:r w:rsidRPr="00C072BA">
        <w:t xml:space="preserve">ACART </w:t>
      </w:r>
      <w:r>
        <w:t xml:space="preserve">also </w:t>
      </w:r>
      <w:r w:rsidRPr="00C072BA">
        <w:t xml:space="preserve">decided it </w:t>
      </w:r>
      <w:r w:rsidRPr="00C072BA">
        <w:rPr>
          <w:rFonts w:eastAsia="Calibri"/>
        </w:rPr>
        <w:t>would</w:t>
      </w:r>
      <w:r w:rsidRPr="00C072BA">
        <w:t xml:space="preserve"> add narrative to the </w:t>
      </w:r>
      <w:r w:rsidRPr="0027467A">
        <w:t xml:space="preserve">supplementary advice </w:t>
      </w:r>
      <w:r w:rsidRPr="00C072BA">
        <w:t xml:space="preserve">so that the purpose of the provision and </w:t>
      </w:r>
      <w:r w:rsidRPr="00C072BA">
        <w:rPr>
          <w:rFonts w:eastAsia="Calibri"/>
        </w:rPr>
        <w:t>any</w:t>
      </w:r>
      <w:r w:rsidRPr="00C072BA">
        <w:t xml:space="preserve"> expectations on ECART and clinics are understood.</w:t>
      </w:r>
    </w:p>
    <w:p w14:paraId="2DE33C91" w14:textId="77777777" w:rsidR="00547D02" w:rsidRPr="00C072BA" w:rsidRDefault="00547D02" w:rsidP="00607C6F"/>
    <w:p w14:paraId="0197494B" w14:textId="77777777" w:rsidR="00547D02" w:rsidRPr="003D1E8E" w:rsidRDefault="00547D02" w:rsidP="00607C6F">
      <w:pPr>
        <w:pStyle w:val="Heading3"/>
        <w:rPr>
          <w:rFonts w:eastAsia="Calibri"/>
        </w:rPr>
      </w:pPr>
      <w:r w:rsidRPr="003D1E8E">
        <w:rPr>
          <w:rFonts w:eastAsia="Calibri"/>
        </w:rPr>
        <w:t>The problem</w:t>
      </w:r>
    </w:p>
    <w:p w14:paraId="23E361B8" w14:textId="77777777" w:rsidR="00547D02" w:rsidRDefault="00547D02" w:rsidP="00607C6F">
      <w:pPr>
        <w:pStyle w:val="Number"/>
        <w:rPr>
          <w:rFonts w:eastAsia="Calibri"/>
          <w:szCs w:val="24"/>
        </w:rPr>
      </w:pPr>
      <w:r w:rsidRPr="00C072BA">
        <w:rPr>
          <w:rFonts w:eastAsia="Calibri"/>
        </w:rPr>
        <w:t xml:space="preserve">The previous guidelines required ECART to </w:t>
      </w:r>
      <w:proofErr w:type="gramStart"/>
      <w:r w:rsidRPr="00C072BA">
        <w:rPr>
          <w:rFonts w:eastAsia="Calibri"/>
        </w:rPr>
        <w:t>take into account</w:t>
      </w:r>
      <w:proofErr w:type="gramEnd"/>
      <w:r w:rsidRPr="00C072BA">
        <w:rPr>
          <w:rFonts w:eastAsia="Calibri"/>
        </w:rPr>
        <w:t xml:space="preserve"> whether the residency of the parties safeguards the wellbeing of all parties and especially any resulting child.</w:t>
      </w:r>
      <w:r w:rsidRPr="00EA1DE2">
        <w:rPr>
          <w:rStyle w:val="NumberChar"/>
          <w:rFonts w:eastAsia="Calibri"/>
        </w:rPr>
        <w:t xml:space="preserve"> </w:t>
      </w:r>
      <w:r w:rsidRPr="00C072BA">
        <w:rPr>
          <w:rFonts w:eastAsia="Calibri"/>
        </w:rPr>
        <w:t xml:space="preserve">ACART considered that requiring people to anticipate their place of residence would be </w:t>
      </w:r>
      <w:r>
        <w:rPr>
          <w:rFonts w:eastAsia="Calibri"/>
        </w:rPr>
        <w:t xml:space="preserve">unenforceable and potentially </w:t>
      </w:r>
      <w:r w:rsidRPr="00C072BA">
        <w:rPr>
          <w:rFonts w:eastAsia="Calibri"/>
        </w:rPr>
        <w:t>unreliable and would not necessarily help maintain</w:t>
      </w:r>
      <w:r>
        <w:rPr>
          <w:rFonts w:eastAsia="Calibri"/>
          <w:szCs w:val="24"/>
        </w:rPr>
        <w:t xml:space="preserve"> relationships even if the predictions proved accurate.</w:t>
      </w:r>
    </w:p>
    <w:p w14:paraId="65288E68" w14:textId="77777777" w:rsidR="00547D02" w:rsidRPr="003D1E8E" w:rsidRDefault="00547D02" w:rsidP="00607C6F">
      <w:pPr>
        <w:pStyle w:val="Heading3"/>
        <w:spacing w:before="600"/>
        <w:rPr>
          <w:rFonts w:eastAsia="Calibri"/>
        </w:rPr>
      </w:pPr>
      <w:r w:rsidRPr="003D1E8E">
        <w:rPr>
          <w:rFonts w:eastAsia="Calibri"/>
        </w:rPr>
        <w:lastRenderedPageBreak/>
        <w:t>ACART</w:t>
      </w:r>
      <w:r w:rsidR="000A0B49">
        <w:rPr>
          <w:rFonts w:eastAsia="Calibri"/>
        </w:rPr>
        <w:t>’</w:t>
      </w:r>
      <w:r w:rsidRPr="003D1E8E">
        <w:rPr>
          <w:rFonts w:eastAsia="Calibri"/>
        </w:rPr>
        <w:t>s initial and subsequent proposals</w:t>
      </w:r>
    </w:p>
    <w:p w14:paraId="5FEC2AD2" w14:textId="77777777" w:rsidR="00547D02" w:rsidRDefault="00547D02" w:rsidP="00607C6F">
      <w:pPr>
        <w:pStyle w:val="Number"/>
        <w:rPr>
          <w:rFonts w:eastAsia="Calibri"/>
        </w:rPr>
      </w:pPr>
      <w:r>
        <w:rPr>
          <w:rFonts w:eastAsia="Calibri"/>
        </w:rPr>
        <w:t>In 2017, ACART</w:t>
      </w:r>
      <w:r w:rsidR="000A0B49">
        <w:rPr>
          <w:rFonts w:eastAsia="Calibri"/>
        </w:rPr>
        <w:t>’</w:t>
      </w:r>
      <w:r>
        <w:rPr>
          <w:rFonts w:eastAsia="Calibri"/>
        </w:rPr>
        <w:t>s consultation proposed replacing the provision with a requirement that ECART must be satisfied that the affected parties have discussed and understood one another</w:t>
      </w:r>
      <w:r w:rsidR="000A0B49">
        <w:rPr>
          <w:rFonts w:eastAsia="Calibri"/>
        </w:rPr>
        <w:t>’</w:t>
      </w:r>
      <w:r>
        <w:rPr>
          <w:rFonts w:eastAsia="Calibri"/>
        </w:rPr>
        <w:t>s intentions, including the matter of ongoing contact.</w:t>
      </w:r>
    </w:p>
    <w:p w14:paraId="0233A631" w14:textId="77777777" w:rsidR="00547D02" w:rsidRDefault="00547D02" w:rsidP="00607C6F">
      <w:pPr>
        <w:pStyle w:val="Number"/>
        <w:rPr>
          <w:rFonts w:eastAsia="Calibri"/>
        </w:rPr>
      </w:pPr>
      <w:r>
        <w:rPr>
          <w:rFonts w:eastAsia="Calibri"/>
        </w:rPr>
        <w:t xml:space="preserve">Respondents to the 2017 consultation commented on the need to manage the risks involved with parties potentially living overseas </w:t>
      </w:r>
      <w:proofErr w:type="gramStart"/>
      <w:r>
        <w:rPr>
          <w:rFonts w:eastAsia="Calibri"/>
        </w:rPr>
        <w:t>and also</w:t>
      </w:r>
      <w:proofErr w:type="gramEnd"/>
      <w:r>
        <w:rPr>
          <w:rFonts w:eastAsia="Calibri"/>
        </w:rPr>
        <w:t xml:space="preserve"> the risk that a child born to a surrogate overseas might be stateless. Consequently, ACART restored the residency provision but in the following modified form.</w:t>
      </w:r>
    </w:p>
    <w:p w14:paraId="127B487F" w14:textId="77777777" w:rsidR="00547D02" w:rsidRDefault="00547D02" w:rsidP="00607C6F">
      <w:pPr>
        <w:pStyle w:val="Number"/>
        <w:rPr>
          <w:rFonts w:eastAsia="Calibri"/>
        </w:rPr>
      </w:pPr>
      <w:r>
        <w:rPr>
          <w:rFonts w:eastAsia="Calibri"/>
        </w:rPr>
        <w:t>ACART</w:t>
      </w:r>
      <w:r w:rsidR="000A0B49">
        <w:rPr>
          <w:rFonts w:eastAsia="Calibri"/>
        </w:rPr>
        <w:t>’</w:t>
      </w:r>
      <w:r>
        <w:rPr>
          <w:rFonts w:eastAsia="Calibri"/>
        </w:rPr>
        <w:t xml:space="preserve">s final </w:t>
      </w:r>
      <w:r w:rsidRPr="002E485B">
        <w:rPr>
          <w:rFonts w:eastAsia="Calibri"/>
        </w:rPr>
        <w:t xml:space="preserve">provision about the residency of the parties </w:t>
      </w:r>
      <w:r>
        <w:rPr>
          <w:rFonts w:eastAsia="Calibri"/>
        </w:rPr>
        <w:t xml:space="preserve">states that ECART must be satisfied that </w:t>
      </w:r>
      <w:r w:rsidR="000A0B49">
        <w:rPr>
          <w:rFonts w:eastAsia="Calibri"/>
        </w:rPr>
        <w:t>‘</w:t>
      </w:r>
      <w:r w:rsidRPr="00AB51E5">
        <w:rPr>
          <w:rFonts w:eastAsia="Calibri"/>
        </w:rPr>
        <w:t>the residency status and plans of the surrogate and intending parent(s) safeguard the health and wellbeing of the child, particularly in relation to being born in New Zealand</w:t>
      </w:r>
      <w:r w:rsidR="000A0B49">
        <w:rPr>
          <w:rFonts w:eastAsia="Calibri"/>
        </w:rPr>
        <w:t>’</w:t>
      </w:r>
      <w:r w:rsidRPr="00AB51E5">
        <w:rPr>
          <w:rFonts w:eastAsia="Calibri"/>
        </w:rPr>
        <w:t>.</w:t>
      </w:r>
    </w:p>
    <w:p w14:paraId="1E98E770" w14:textId="77777777" w:rsidR="00547D02" w:rsidRPr="00AB51E5" w:rsidRDefault="00547D02" w:rsidP="00607C6F">
      <w:pPr>
        <w:rPr>
          <w:rFonts w:eastAsia="Calibri"/>
        </w:rPr>
      </w:pPr>
    </w:p>
    <w:p w14:paraId="6AF3801D" w14:textId="77777777" w:rsidR="00547D02" w:rsidRPr="003D1E8E" w:rsidRDefault="00547D02" w:rsidP="00607C6F">
      <w:pPr>
        <w:pStyle w:val="Heading3"/>
        <w:rPr>
          <w:rFonts w:eastAsia="Calibri"/>
        </w:rPr>
      </w:pPr>
      <w:r w:rsidRPr="003D1E8E">
        <w:rPr>
          <w:rFonts w:eastAsia="Calibri"/>
        </w:rPr>
        <w:t>Benefits of the change</w:t>
      </w:r>
    </w:p>
    <w:p w14:paraId="1A86BCDE" w14:textId="77777777" w:rsidR="00547D02" w:rsidRPr="00607C6F" w:rsidRDefault="00547D02" w:rsidP="00607C6F">
      <w:pPr>
        <w:pStyle w:val="Number"/>
      </w:pPr>
      <w:r w:rsidRPr="002E485B">
        <w:rPr>
          <w:rFonts w:eastAsia="Calibri"/>
        </w:rPr>
        <w:t xml:space="preserve">This provision will </w:t>
      </w:r>
      <w:r>
        <w:rPr>
          <w:rFonts w:eastAsia="Calibri"/>
        </w:rPr>
        <w:t>enable</w:t>
      </w:r>
      <w:r w:rsidRPr="002E485B">
        <w:rPr>
          <w:rFonts w:eastAsia="Calibri"/>
        </w:rPr>
        <w:t xml:space="preserve"> ECART to </w:t>
      </w:r>
      <w:r>
        <w:rPr>
          <w:rFonts w:eastAsia="Calibri"/>
        </w:rPr>
        <w:t xml:space="preserve">identify </w:t>
      </w:r>
      <w:r w:rsidRPr="002E485B">
        <w:rPr>
          <w:rFonts w:eastAsia="Calibri"/>
        </w:rPr>
        <w:t xml:space="preserve">whether residency plans </w:t>
      </w:r>
      <w:r>
        <w:rPr>
          <w:rFonts w:eastAsia="Calibri"/>
        </w:rPr>
        <w:t xml:space="preserve">are in place and whether they </w:t>
      </w:r>
      <w:r w:rsidRPr="002E485B">
        <w:rPr>
          <w:rFonts w:eastAsia="Calibri"/>
        </w:rPr>
        <w:t xml:space="preserve">will </w:t>
      </w:r>
      <w:r>
        <w:rPr>
          <w:rFonts w:eastAsia="Calibri"/>
        </w:rPr>
        <w:t>protect the parties, especially the citizenship of the child</w:t>
      </w:r>
      <w:r w:rsidRPr="002E485B">
        <w:rPr>
          <w:rFonts w:eastAsia="Calibri"/>
        </w:rPr>
        <w:t>.</w:t>
      </w:r>
    </w:p>
    <w:p w14:paraId="3E084C84" w14:textId="77777777" w:rsidR="00547D02" w:rsidRPr="00E83E89" w:rsidRDefault="00547D02" w:rsidP="00607C6F"/>
    <w:p w14:paraId="5F6C42D0" w14:textId="77777777" w:rsidR="00547D02" w:rsidRPr="003D1E8E" w:rsidRDefault="00547D02" w:rsidP="00607C6F">
      <w:pPr>
        <w:pStyle w:val="Heading3"/>
        <w:rPr>
          <w:rFonts w:eastAsia="Calibri"/>
        </w:rPr>
      </w:pPr>
      <w:r w:rsidRPr="003D1E8E">
        <w:rPr>
          <w:rFonts w:eastAsia="Calibri"/>
        </w:rPr>
        <w:t>Risks of the change</w:t>
      </w:r>
    </w:p>
    <w:p w14:paraId="574BFDC1" w14:textId="77777777" w:rsidR="00547D02" w:rsidRDefault="00547D02" w:rsidP="00607C6F">
      <w:pPr>
        <w:pStyle w:val="Number"/>
        <w:rPr>
          <w:rFonts w:eastAsia="Calibri"/>
        </w:rPr>
      </w:pPr>
      <w:r w:rsidRPr="003340A2">
        <w:rPr>
          <w:rFonts w:eastAsia="Calibri"/>
        </w:rPr>
        <w:t xml:space="preserve">ACART has not identified any risks associated with this </w:t>
      </w:r>
      <w:r>
        <w:rPr>
          <w:rFonts w:eastAsia="Calibri"/>
        </w:rPr>
        <w:t>change</w:t>
      </w:r>
      <w:r w:rsidRPr="003340A2">
        <w:rPr>
          <w:rFonts w:eastAsia="Calibri"/>
        </w:rPr>
        <w:t>.</w:t>
      </w:r>
    </w:p>
    <w:p w14:paraId="1952A6F0" w14:textId="77777777" w:rsidR="00547D02" w:rsidRPr="003340A2" w:rsidRDefault="00547D02" w:rsidP="00607C6F">
      <w:pPr>
        <w:rPr>
          <w:rFonts w:eastAsia="Calibri"/>
        </w:rPr>
      </w:pPr>
    </w:p>
    <w:p w14:paraId="12DB0627" w14:textId="77777777" w:rsidR="00547D02" w:rsidRPr="00EC799C" w:rsidRDefault="00547D02" w:rsidP="00607C6F">
      <w:pPr>
        <w:pStyle w:val="Heading3"/>
        <w:rPr>
          <w:rFonts w:eastAsia="Calibri"/>
        </w:rPr>
      </w:pPr>
      <w:r w:rsidRPr="00EC799C">
        <w:rPr>
          <w:rFonts w:eastAsia="Calibri"/>
        </w:rPr>
        <w:t>Submitters</w:t>
      </w:r>
      <w:r w:rsidR="000A0B49">
        <w:rPr>
          <w:rFonts w:eastAsia="Calibri"/>
        </w:rPr>
        <w:t>’</w:t>
      </w:r>
      <w:r w:rsidRPr="00EC799C">
        <w:rPr>
          <w:rFonts w:eastAsia="Calibri"/>
        </w:rPr>
        <w:t xml:space="preserve"> views and ACART</w:t>
      </w:r>
      <w:r w:rsidR="000A0B49">
        <w:rPr>
          <w:rFonts w:eastAsia="Calibri"/>
        </w:rPr>
        <w:t>’</w:t>
      </w:r>
      <w:r w:rsidRPr="00EC799C">
        <w:rPr>
          <w:rFonts w:eastAsia="Calibri"/>
        </w:rPr>
        <w:t>s assessment of th</w:t>
      </w:r>
      <w:r>
        <w:rPr>
          <w:rFonts w:eastAsia="Calibri"/>
        </w:rPr>
        <w:t>em</w:t>
      </w:r>
    </w:p>
    <w:p w14:paraId="7787CC26" w14:textId="77777777" w:rsidR="00547D02" w:rsidRPr="008C29CD" w:rsidRDefault="00547D02" w:rsidP="00607C6F">
      <w:pPr>
        <w:pStyle w:val="Number"/>
      </w:pPr>
      <w:r w:rsidRPr="008C29CD">
        <w:rPr>
          <w:rFonts w:eastAsia="Calibri"/>
        </w:rPr>
        <w:t>Nine</w:t>
      </w:r>
      <w:r w:rsidRPr="008C29CD">
        <w:t xml:space="preserve"> submitters supported the proposal and one of these believed the proposal should be strengthened </w:t>
      </w:r>
      <w:r>
        <w:t>to state</w:t>
      </w:r>
      <w:r w:rsidRPr="008C29CD">
        <w:t xml:space="preserve"> that ECART </w:t>
      </w:r>
      <w:r w:rsidR="000A0B49">
        <w:t>‘</w:t>
      </w:r>
      <w:r w:rsidRPr="008C29CD">
        <w:t>should</w:t>
      </w:r>
      <w:r w:rsidR="000A0B49">
        <w:t>’</w:t>
      </w:r>
      <w:r w:rsidRPr="008C29CD">
        <w:t xml:space="preserve"> take residency into account.</w:t>
      </w:r>
    </w:p>
    <w:p w14:paraId="2FAFC0AC" w14:textId="77777777" w:rsidR="00547D02" w:rsidRPr="008C29CD" w:rsidRDefault="00547D02" w:rsidP="00607C6F">
      <w:pPr>
        <w:pStyle w:val="Number"/>
      </w:pPr>
      <w:r w:rsidRPr="008C29CD">
        <w:rPr>
          <w:rFonts w:eastAsia="Calibri"/>
        </w:rPr>
        <w:t>Two</w:t>
      </w:r>
      <w:r w:rsidRPr="008C29CD">
        <w:t xml:space="preserve"> submitters opposed the change</w:t>
      </w:r>
      <w:r>
        <w:t>.</w:t>
      </w:r>
      <w:r w:rsidRPr="008C29CD">
        <w:t xml:space="preserve"> </w:t>
      </w:r>
      <w:r>
        <w:t>O</w:t>
      </w:r>
      <w:r w:rsidRPr="008C29CD">
        <w:t>ne stat</w:t>
      </w:r>
      <w:r>
        <w:t>ed</w:t>
      </w:r>
      <w:r w:rsidRPr="008C29CD">
        <w:t xml:space="preserve"> that it would be </w:t>
      </w:r>
      <w:r>
        <w:t>im</w:t>
      </w:r>
      <w:r w:rsidRPr="008C29CD">
        <w:t xml:space="preserve">possible to track all participants and keep the details in the HART </w:t>
      </w:r>
      <w:r>
        <w:t>r</w:t>
      </w:r>
      <w:r w:rsidRPr="008C29CD">
        <w:t>egister current.</w:t>
      </w:r>
    </w:p>
    <w:p w14:paraId="047F4B7F" w14:textId="77777777" w:rsidR="00547D02" w:rsidRPr="008C29CD" w:rsidRDefault="00547D02" w:rsidP="00607C6F">
      <w:pPr>
        <w:pStyle w:val="Number"/>
      </w:pPr>
      <w:r w:rsidRPr="008C29CD">
        <w:t xml:space="preserve">One </w:t>
      </w:r>
      <w:r w:rsidRPr="008C29CD">
        <w:rPr>
          <w:rFonts w:eastAsia="Calibri"/>
        </w:rPr>
        <w:t>submitter</w:t>
      </w:r>
      <w:r w:rsidRPr="008C29CD">
        <w:t xml:space="preserve"> provided an </w:t>
      </w:r>
      <w:r w:rsidR="000A0B49">
        <w:t>‘</w:t>
      </w:r>
      <w:r w:rsidRPr="008C29CD">
        <w:t>other</w:t>
      </w:r>
      <w:r w:rsidR="000A0B49">
        <w:t>’</w:t>
      </w:r>
      <w:r w:rsidRPr="008C29CD">
        <w:t xml:space="preserve"> </w:t>
      </w:r>
      <w:r>
        <w:t>response</w:t>
      </w:r>
      <w:r w:rsidRPr="008C29CD">
        <w:t>, stating that it is not clear what role ECART would have in deciding surrogacies where the surrogate will give birth overseas or where the intending parents will live overseas.</w:t>
      </w:r>
    </w:p>
    <w:p w14:paraId="228005C7" w14:textId="77777777" w:rsidR="00547D02" w:rsidRPr="008C29CD" w:rsidRDefault="00547D02" w:rsidP="00607C6F">
      <w:pPr>
        <w:pStyle w:val="Number"/>
      </w:pPr>
      <w:r w:rsidRPr="008C29CD">
        <w:t>ACART acknowledges that in surrogacy arrangements involving other countries</w:t>
      </w:r>
      <w:r>
        <w:t>,</w:t>
      </w:r>
      <w:r w:rsidRPr="008C29CD">
        <w:t xml:space="preserve"> it could be more difficult to safeguard the wellbeing of all the parties. Consequently, it is important that ECART elicit</w:t>
      </w:r>
      <w:r>
        <w:t>s</w:t>
      </w:r>
      <w:r w:rsidRPr="008C29CD">
        <w:t xml:space="preserve"> as much information as needed to </w:t>
      </w:r>
      <w:r>
        <w:t>create</w:t>
      </w:r>
      <w:r w:rsidRPr="008C29CD">
        <w:t xml:space="preserve"> residency plans </w:t>
      </w:r>
      <w:r>
        <w:t xml:space="preserve">that </w:t>
      </w:r>
      <w:r w:rsidRPr="008C29CD">
        <w:t xml:space="preserve">are </w:t>
      </w:r>
      <w:proofErr w:type="gramStart"/>
      <w:r w:rsidRPr="008C29CD">
        <w:t>sufficient</w:t>
      </w:r>
      <w:proofErr w:type="gramEnd"/>
      <w:r w:rsidRPr="008C29CD">
        <w:t xml:space="preserve"> to ensure the child will not be stateless, and the parties can maintain contact with one another.</w:t>
      </w:r>
    </w:p>
    <w:p w14:paraId="246A7770" w14:textId="77777777" w:rsidR="00547D02" w:rsidRDefault="00547D02" w:rsidP="00607C6F"/>
    <w:p w14:paraId="2374DCDB" w14:textId="77777777" w:rsidR="00547D02" w:rsidRPr="00072732" w:rsidRDefault="00547D02" w:rsidP="00607C6F">
      <w:pPr>
        <w:pStyle w:val="Heading2"/>
      </w:pPr>
      <w:bookmarkStart w:id="101" w:name="_Toc17118583"/>
      <w:bookmarkStart w:id="102" w:name="_Toc73459725"/>
      <w:r>
        <w:lastRenderedPageBreak/>
        <w:t xml:space="preserve">Change </w:t>
      </w:r>
      <w:r w:rsidRPr="00986EB9">
        <w:t>5</w:t>
      </w:r>
      <w:r>
        <w:t xml:space="preserve">: One </w:t>
      </w:r>
      <w:r w:rsidRPr="0039695E">
        <w:t>guideline</w:t>
      </w:r>
      <w:r>
        <w:t xml:space="preserve"> replaces four, and </w:t>
      </w:r>
      <w:r w:rsidRPr="00072732">
        <w:t>the language and format have been standardised</w:t>
      </w:r>
      <w:bookmarkEnd w:id="101"/>
      <w:bookmarkEnd w:id="102"/>
    </w:p>
    <w:p w14:paraId="554976E1" w14:textId="77777777" w:rsidR="00547D02" w:rsidRPr="00EC799C" w:rsidRDefault="00547D02" w:rsidP="00607C6F">
      <w:pPr>
        <w:pStyle w:val="Heading3"/>
        <w:rPr>
          <w:rFonts w:eastAsia="Calibri"/>
        </w:rPr>
      </w:pPr>
      <w:r w:rsidRPr="00EC799C">
        <w:rPr>
          <w:rFonts w:eastAsia="Calibri"/>
        </w:rPr>
        <w:t>ACART</w:t>
      </w:r>
      <w:r w:rsidR="000A0B49">
        <w:rPr>
          <w:rFonts w:eastAsia="Calibri"/>
        </w:rPr>
        <w:t>’</w:t>
      </w:r>
      <w:r w:rsidRPr="00EC799C">
        <w:rPr>
          <w:rFonts w:eastAsia="Calibri"/>
        </w:rPr>
        <w:t>s conclusions/decisions</w:t>
      </w:r>
    </w:p>
    <w:p w14:paraId="7E626DDA" w14:textId="77777777" w:rsidR="00547D02" w:rsidRDefault="00547D02" w:rsidP="00607C6F">
      <w:pPr>
        <w:pStyle w:val="Number"/>
        <w:rPr>
          <w:rFonts w:eastAsia="Calibri"/>
        </w:rPr>
      </w:pPr>
      <w:r>
        <w:rPr>
          <w:rFonts w:eastAsia="Calibri"/>
        </w:rPr>
        <w:t>ACART</w:t>
      </w:r>
      <w:r w:rsidR="000A0B49">
        <w:rPr>
          <w:rFonts w:eastAsia="Calibri"/>
        </w:rPr>
        <w:t>’</w:t>
      </w:r>
      <w:r>
        <w:rPr>
          <w:rFonts w:eastAsia="Calibri"/>
        </w:rPr>
        <w:t xml:space="preserve">s revised guidelines for donations and surrogacy </w:t>
      </w:r>
      <w:r w:rsidRPr="004A774F">
        <w:rPr>
          <w:rFonts w:eastAsia="Calibri"/>
        </w:rPr>
        <w:t>bring four procedures under one set of guidelines</w:t>
      </w:r>
      <w:r>
        <w:rPr>
          <w:rFonts w:eastAsia="Calibri"/>
        </w:rPr>
        <w:t xml:space="preserve">. These procedures </w:t>
      </w:r>
      <w:proofErr w:type="gramStart"/>
      <w:r>
        <w:rPr>
          <w:rFonts w:eastAsia="Calibri"/>
        </w:rPr>
        <w:t>are</w:t>
      </w:r>
      <w:r w:rsidRPr="004A774F">
        <w:rPr>
          <w:rFonts w:eastAsia="Calibri"/>
        </w:rPr>
        <w:t>:</w:t>
      </w:r>
      <w:proofErr w:type="gramEnd"/>
      <w:r w:rsidRPr="004A774F">
        <w:rPr>
          <w:rFonts w:eastAsia="Calibri"/>
        </w:rPr>
        <w:t xml:space="preserve"> family gamete donation</w:t>
      </w:r>
      <w:r>
        <w:rPr>
          <w:rFonts w:eastAsia="Calibri"/>
        </w:rPr>
        <w:t>;</w:t>
      </w:r>
      <w:r w:rsidRPr="004A774F">
        <w:rPr>
          <w:rFonts w:eastAsia="Calibri"/>
        </w:rPr>
        <w:t xml:space="preserve"> embryo donation</w:t>
      </w:r>
      <w:r>
        <w:rPr>
          <w:rFonts w:eastAsia="Calibri"/>
        </w:rPr>
        <w:t>;</w:t>
      </w:r>
      <w:r w:rsidRPr="004A774F">
        <w:rPr>
          <w:rFonts w:eastAsia="Calibri"/>
        </w:rPr>
        <w:t xml:space="preserve"> the use of donated eggs with donated sperm</w:t>
      </w:r>
      <w:r>
        <w:rPr>
          <w:rFonts w:eastAsia="Calibri"/>
        </w:rPr>
        <w:t>;</w:t>
      </w:r>
      <w:r w:rsidRPr="004A774F">
        <w:rPr>
          <w:rFonts w:eastAsia="Calibri"/>
        </w:rPr>
        <w:t xml:space="preserve"> and clinic</w:t>
      </w:r>
      <w:r>
        <w:rPr>
          <w:rFonts w:eastAsia="Calibri"/>
        </w:rPr>
        <w:t xml:space="preserve"> </w:t>
      </w:r>
      <w:r w:rsidRPr="004A774F">
        <w:rPr>
          <w:rFonts w:eastAsia="Calibri"/>
        </w:rPr>
        <w:t>assisted surrogacy.</w:t>
      </w:r>
      <w:r>
        <w:rPr>
          <w:rFonts w:eastAsia="Calibri"/>
        </w:rPr>
        <w:t xml:space="preserve"> The language and format have also been standardised.</w:t>
      </w:r>
    </w:p>
    <w:p w14:paraId="211D356A" w14:textId="77777777" w:rsidR="00547D02" w:rsidRPr="004A774F" w:rsidRDefault="00547D02" w:rsidP="00607C6F">
      <w:pPr>
        <w:rPr>
          <w:rFonts w:eastAsia="Calibri"/>
        </w:rPr>
      </w:pPr>
    </w:p>
    <w:p w14:paraId="7896E8AA" w14:textId="77777777" w:rsidR="00547D02" w:rsidRPr="00365D29" w:rsidRDefault="00547D02" w:rsidP="00607C6F">
      <w:pPr>
        <w:pStyle w:val="Heading3"/>
        <w:rPr>
          <w:rFonts w:eastAsia="Calibri"/>
        </w:rPr>
      </w:pPr>
      <w:r w:rsidRPr="00365D29">
        <w:rPr>
          <w:rFonts w:eastAsia="Calibri"/>
        </w:rPr>
        <w:t>The problem</w:t>
      </w:r>
    </w:p>
    <w:p w14:paraId="5068B4B2" w14:textId="77777777" w:rsidR="00547D02" w:rsidRDefault="00547D02" w:rsidP="00607C6F">
      <w:pPr>
        <w:pStyle w:val="Number"/>
        <w:rPr>
          <w:rFonts w:eastAsia="Calibri"/>
        </w:rPr>
      </w:pPr>
      <w:r w:rsidRPr="00AA743D">
        <w:rPr>
          <w:rFonts w:eastAsia="Calibri"/>
        </w:rPr>
        <w:t>The previous separate</w:t>
      </w:r>
      <w:r>
        <w:rPr>
          <w:rFonts w:eastAsia="Calibri"/>
        </w:rPr>
        <w:t xml:space="preserve"> sets of</w:t>
      </w:r>
      <w:r w:rsidRPr="00AA743D">
        <w:rPr>
          <w:rFonts w:eastAsia="Calibri"/>
        </w:rPr>
        <w:t xml:space="preserve"> guidelines were designed for use when it was mandatory for a child to have a biological link to at least one intending parent. Now that ACART has </w:t>
      </w:r>
      <w:r>
        <w:rPr>
          <w:rFonts w:eastAsia="Calibri"/>
        </w:rPr>
        <w:t xml:space="preserve">agreed to </w:t>
      </w:r>
      <w:r w:rsidRPr="00AA743D">
        <w:rPr>
          <w:rFonts w:eastAsia="Calibri"/>
        </w:rPr>
        <w:t>rescind the mandatory link</w:t>
      </w:r>
      <w:r>
        <w:rPr>
          <w:rFonts w:eastAsia="Calibri"/>
        </w:rPr>
        <w:t>,</w:t>
      </w:r>
      <w:r w:rsidRPr="00AA743D">
        <w:rPr>
          <w:rFonts w:eastAsia="Calibri"/>
        </w:rPr>
        <w:t xml:space="preserve"> there is no need for separate donation and surrogacy guidelines as the procedures are no longer mutually exclusive.</w:t>
      </w:r>
    </w:p>
    <w:p w14:paraId="5BE90314" w14:textId="77777777" w:rsidR="00547D02" w:rsidRDefault="00547D02" w:rsidP="00607C6F">
      <w:pPr>
        <w:pStyle w:val="Number"/>
        <w:rPr>
          <w:rFonts w:eastAsia="Calibri"/>
        </w:rPr>
      </w:pPr>
      <w:r>
        <w:rPr>
          <w:rFonts w:eastAsia="Calibri"/>
        </w:rPr>
        <w:t xml:space="preserve">Also, </w:t>
      </w:r>
      <w:r w:rsidRPr="004A774F">
        <w:rPr>
          <w:rFonts w:eastAsia="Calibri"/>
        </w:rPr>
        <w:t xml:space="preserve">ECART is likely to receive some applications </w:t>
      </w:r>
      <w:r>
        <w:rPr>
          <w:rFonts w:eastAsia="Calibri"/>
        </w:rPr>
        <w:t>that involve</w:t>
      </w:r>
      <w:r w:rsidRPr="004A774F">
        <w:rPr>
          <w:rFonts w:eastAsia="Calibri"/>
        </w:rPr>
        <w:t xml:space="preserve"> more complex procedures and resulting relationships. For instance, </w:t>
      </w:r>
      <w:r>
        <w:rPr>
          <w:rFonts w:eastAsia="Calibri"/>
        </w:rPr>
        <w:t>it</w:t>
      </w:r>
      <w:r w:rsidRPr="004A774F">
        <w:rPr>
          <w:rFonts w:eastAsia="Calibri"/>
        </w:rPr>
        <w:t xml:space="preserve"> could receive an application that involves surrogacy, donated eggs</w:t>
      </w:r>
      <w:r>
        <w:rPr>
          <w:rFonts w:eastAsia="Calibri"/>
        </w:rPr>
        <w:t xml:space="preserve"> or </w:t>
      </w:r>
      <w:r w:rsidRPr="004A774F">
        <w:rPr>
          <w:rFonts w:eastAsia="Calibri"/>
        </w:rPr>
        <w:t>donated sperm and family gamete donation.</w:t>
      </w:r>
    </w:p>
    <w:p w14:paraId="1527FE1F" w14:textId="77777777" w:rsidR="00547D02" w:rsidRDefault="00547D02" w:rsidP="00607C6F">
      <w:pPr>
        <w:pStyle w:val="Number"/>
        <w:rPr>
          <w:rFonts w:eastAsia="Calibri"/>
        </w:rPr>
      </w:pPr>
      <w:r>
        <w:rPr>
          <w:rFonts w:eastAsia="Calibri"/>
        </w:rPr>
        <w:t>Additionally, the previous guidelines contained some inconsistent language.</w:t>
      </w:r>
      <w:r w:rsidRPr="004A774F">
        <w:rPr>
          <w:rFonts w:eastAsia="Calibri"/>
        </w:rPr>
        <w:t xml:space="preserve"> In some cases, the separate guidelines use</w:t>
      </w:r>
      <w:r>
        <w:rPr>
          <w:rFonts w:eastAsia="Calibri"/>
        </w:rPr>
        <w:t>d</w:t>
      </w:r>
      <w:r w:rsidRPr="004A774F">
        <w:rPr>
          <w:rFonts w:eastAsia="Calibri"/>
        </w:rPr>
        <w:t xml:space="preserve"> different words to describe </w:t>
      </w:r>
      <w:r>
        <w:rPr>
          <w:rFonts w:eastAsia="Calibri"/>
        </w:rPr>
        <w:t xml:space="preserve">similar </w:t>
      </w:r>
      <w:r w:rsidRPr="004A774F">
        <w:rPr>
          <w:rFonts w:eastAsia="Calibri"/>
        </w:rPr>
        <w:t>processes and ethical issues.</w:t>
      </w:r>
    </w:p>
    <w:p w14:paraId="3A4C954C" w14:textId="77777777" w:rsidR="00547D02" w:rsidRDefault="00547D02" w:rsidP="00607C6F">
      <w:pPr>
        <w:rPr>
          <w:rFonts w:eastAsia="Calibri"/>
        </w:rPr>
      </w:pPr>
    </w:p>
    <w:p w14:paraId="27085AA1" w14:textId="77777777" w:rsidR="00547D02" w:rsidRPr="00960CCE" w:rsidRDefault="00547D02" w:rsidP="00607C6F">
      <w:pPr>
        <w:pStyle w:val="Heading3"/>
        <w:rPr>
          <w:rFonts w:eastAsia="Calibri"/>
        </w:rPr>
      </w:pPr>
      <w:r w:rsidRPr="00960CCE">
        <w:rPr>
          <w:rFonts w:eastAsia="Calibri"/>
        </w:rPr>
        <w:t xml:space="preserve">Benefits </w:t>
      </w:r>
      <w:r>
        <w:rPr>
          <w:rFonts w:eastAsia="Calibri"/>
        </w:rPr>
        <w:t>of the change</w:t>
      </w:r>
    </w:p>
    <w:p w14:paraId="06899A0C" w14:textId="77777777" w:rsidR="00547D02" w:rsidRDefault="00547D02" w:rsidP="00607C6F">
      <w:pPr>
        <w:pStyle w:val="Number"/>
        <w:rPr>
          <w:rFonts w:eastAsia="Calibri"/>
        </w:rPr>
      </w:pPr>
      <w:r>
        <w:rPr>
          <w:rFonts w:eastAsia="Calibri"/>
        </w:rPr>
        <w:t xml:space="preserve">Using </w:t>
      </w:r>
      <w:r w:rsidRPr="004A774F">
        <w:rPr>
          <w:rFonts w:eastAsia="Calibri"/>
        </w:rPr>
        <w:t>one set of guidelines will simplify the ethical review process and help clinics prepare applications to ECART.</w:t>
      </w:r>
      <w:r>
        <w:rPr>
          <w:rFonts w:eastAsia="Calibri"/>
        </w:rPr>
        <w:t xml:space="preserve"> Cases</w:t>
      </w:r>
      <w:r w:rsidRPr="002151E2">
        <w:rPr>
          <w:rFonts w:eastAsia="Calibri"/>
        </w:rPr>
        <w:t xml:space="preserve"> that involve more than one procedure </w:t>
      </w:r>
      <w:r>
        <w:rPr>
          <w:rFonts w:eastAsia="Calibri"/>
        </w:rPr>
        <w:t xml:space="preserve">will be easier to manage as clinics </w:t>
      </w:r>
      <w:r w:rsidRPr="002151E2">
        <w:rPr>
          <w:rFonts w:eastAsia="Calibri"/>
        </w:rPr>
        <w:t>will no longer need to cross-reference separate guidelines.</w:t>
      </w:r>
    </w:p>
    <w:p w14:paraId="67E783BE" w14:textId="77777777" w:rsidR="00547D02" w:rsidRDefault="00547D02" w:rsidP="00607C6F">
      <w:pPr>
        <w:pStyle w:val="Number"/>
        <w:rPr>
          <w:rFonts w:eastAsia="Calibri"/>
        </w:rPr>
      </w:pPr>
      <w:r>
        <w:rPr>
          <w:rFonts w:eastAsia="Calibri"/>
        </w:rPr>
        <w:t>Standardising the language will remove any sources of potential ambiguity.</w:t>
      </w:r>
    </w:p>
    <w:p w14:paraId="37B5F182" w14:textId="77777777" w:rsidR="00547D02" w:rsidRPr="007C505B" w:rsidRDefault="00547D02" w:rsidP="00607C6F">
      <w:pPr>
        <w:rPr>
          <w:rFonts w:eastAsia="Calibri"/>
        </w:rPr>
      </w:pPr>
    </w:p>
    <w:p w14:paraId="59FEC7C4" w14:textId="77777777" w:rsidR="00547D02" w:rsidRDefault="00547D02" w:rsidP="00607C6F">
      <w:pPr>
        <w:pStyle w:val="Heading3"/>
        <w:rPr>
          <w:rFonts w:eastAsia="Calibri"/>
        </w:rPr>
      </w:pPr>
      <w:r w:rsidRPr="00E1223E">
        <w:rPr>
          <w:rFonts w:eastAsia="Calibri"/>
        </w:rPr>
        <w:t>Risks of the change</w:t>
      </w:r>
      <w:r>
        <w:rPr>
          <w:rFonts w:eastAsia="Calibri"/>
        </w:rPr>
        <w:t xml:space="preserve"> – operational implications for ECART and clinics</w:t>
      </w:r>
    </w:p>
    <w:p w14:paraId="1E42853E" w14:textId="77777777" w:rsidR="00547D02" w:rsidRDefault="00547D02" w:rsidP="00607C6F">
      <w:pPr>
        <w:pStyle w:val="Number"/>
        <w:rPr>
          <w:rFonts w:eastAsia="Calibri"/>
        </w:rPr>
      </w:pPr>
      <w:r w:rsidRPr="003A7196">
        <w:rPr>
          <w:rFonts w:eastAsia="Calibri"/>
        </w:rPr>
        <w:t>ECART publishes application forms on its website and, as with any new guidelines, will need to design a new application form for clinics to use.</w:t>
      </w:r>
    </w:p>
    <w:p w14:paraId="78FE6998" w14:textId="77777777" w:rsidR="00547D02" w:rsidRDefault="00547D02" w:rsidP="00607C6F">
      <w:pPr>
        <w:pStyle w:val="Number"/>
        <w:rPr>
          <w:rFonts w:eastAsia="Calibri"/>
        </w:rPr>
      </w:pPr>
      <w:r w:rsidRPr="006F16B7">
        <w:rPr>
          <w:rFonts w:eastAsia="Calibri"/>
        </w:rPr>
        <w:t xml:space="preserve">The clinics will need to understand the new range of possible treatment scenarios, although this range arises from the changes to the permitted donations </w:t>
      </w:r>
      <w:r>
        <w:rPr>
          <w:rFonts w:eastAsia="Calibri"/>
        </w:rPr>
        <w:t>rather than</w:t>
      </w:r>
      <w:r w:rsidRPr="006F16B7">
        <w:rPr>
          <w:rFonts w:eastAsia="Calibri"/>
        </w:rPr>
        <w:t xml:space="preserve"> from </w:t>
      </w:r>
      <w:r>
        <w:rPr>
          <w:rFonts w:eastAsia="Calibri"/>
        </w:rPr>
        <w:t>having a</w:t>
      </w:r>
      <w:r w:rsidRPr="006F16B7">
        <w:rPr>
          <w:rFonts w:eastAsia="Calibri"/>
        </w:rPr>
        <w:t xml:space="preserve"> single</w:t>
      </w:r>
      <w:r>
        <w:rPr>
          <w:rFonts w:eastAsia="Calibri"/>
        </w:rPr>
        <w:t xml:space="preserve"> set of</w:t>
      </w:r>
      <w:r w:rsidRPr="006F16B7">
        <w:rPr>
          <w:rFonts w:eastAsia="Calibri"/>
        </w:rPr>
        <w:t xml:space="preserve"> guideline</w:t>
      </w:r>
      <w:r>
        <w:rPr>
          <w:rFonts w:eastAsia="Calibri"/>
        </w:rPr>
        <w:t>s</w:t>
      </w:r>
      <w:r w:rsidRPr="006F16B7">
        <w:rPr>
          <w:rFonts w:eastAsia="Calibri"/>
        </w:rPr>
        <w:t xml:space="preserve"> </w:t>
      </w:r>
      <w:r>
        <w:rPr>
          <w:rFonts w:eastAsia="Calibri"/>
        </w:rPr>
        <w:t>as such</w:t>
      </w:r>
      <w:r w:rsidRPr="006F16B7">
        <w:rPr>
          <w:rFonts w:eastAsia="Calibri"/>
        </w:rPr>
        <w:t>.</w:t>
      </w:r>
    </w:p>
    <w:p w14:paraId="5325F6C3" w14:textId="77777777" w:rsidR="00547D02" w:rsidRDefault="00547D02" w:rsidP="00607C6F">
      <w:pPr>
        <w:rPr>
          <w:rFonts w:eastAsia="Calibri"/>
        </w:rPr>
      </w:pPr>
    </w:p>
    <w:p w14:paraId="72786B22" w14:textId="77777777" w:rsidR="00547D02" w:rsidRPr="00EC799C" w:rsidRDefault="00547D02" w:rsidP="00607C6F">
      <w:pPr>
        <w:pStyle w:val="Heading3"/>
        <w:rPr>
          <w:rFonts w:eastAsia="Calibri"/>
        </w:rPr>
      </w:pPr>
      <w:r w:rsidRPr="00EC799C">
        <w:rPr>
          <w:rFonts w:eastAsia="Calibri"/>
        </w:rPr>
        <w:t>Submitters</w:t>
      </w:r>
      <w:r w:rsidR="000A0B49">
        <w:rPr>
          <w:rFonts w:eastAsia="Calibri"/>
        </w:rPr>
        <w:t>’</w:t>
      </w:r>
      <w:r w:rsidRPr="00EC799C">
        <w:rPr>
          <w:rFonts w:eastAsia="Calibri"/>
        </w:rPr>
        <w:t xml:space="preserve"> views and ACART</w:t>
      </w:r>
      <w:r w:rsidR="000A0B49">
        <w:rPr>
          <w:rFonts w:eastAsia="Calibri"/>
        </w:rPr>
        <w:t>’</w:t>
      </w:r>
      <w:r w:rsidRPr="00EC799C">
        <w:rPr>
          <w:rFonts w:eastAsia="Calibri"/>
        </w:rPr>
        <w:t>s assessment of th</w:t>
      </w:r>
      <w:r>
        <w:rPr>
          <w:rFonts w:eastAsia="Calibri"/>
        </w:rPr>
        <w:t>em</w:t>
      </w:r>
    </w:p>
    <w:p w14:paraId="10B2DE75" w14:textId="77777777" w:rsidR="00547D02" w:rsidRPr="001141EB" w:rsidRDefault="00547D02" w:rsidP="00607C6F">
      <w:pPr>
        <w:pStyle w:val="Number"/>
        <w:rPr>
          <w:rFonts w:eastAsia="Calibri"/>
        </w:rPr>
      </w:pPr>
      <w:r w:rsidRPr="001141EB">
        <w:rPr>
          <w:rFonts w:eastAsia="Calibri"/>
        </w:rPr>
        <w:t>Eighteen submitters supported the proposal and one submitter was opposed.</w:t>
      </w:r>
    </w:p>
    <w:p w14:paraId="390CDF95" w14:textId="77777777" w:rsidR="00547D02" w:rsidRPr="001141EB" w:rsidRDefault="00547D02" w:rsidP="00607C6F">
      <w:pPr>
        <w:pStyle w:val="Number"/>
        <w:rPr>
          <w:rFonts w:eastAsia="Calibri"/>
        </w:rPr>
      </w:pPr>
      <w:r w:rsidRPr="001141EB">
        <w:rPr>
          <w:rFonts w:eastAsia="Calibri"/>
        </w:rPr>
        <w:t xml:space="preserve">Those in favour cited the benefits of simplifying the guidelines, removing overlap and standardising language. The submitter who was opposed </w:t>
      </w:r>
      <w:r>
        <w:rPr>
          <w:rFonts w:eastAsia="Calibri"/>
        </w:rPr>
        <w:t xml:space="preserve">to the single set of guidelines was </w:t>
      </w:r>
      <w:proofErr w:type="gramStart"/>
      <w:r>
        <w:rPr>
          <w:rFonts w:eastAsia="Calibri"/>
        </w:rPr>
        <w:t>actually opposed</w:t>
      </w:r>
      <w:proofErr w:type="gramEnd"/>
      <w:r>
        <w:rPr>
          <w:rFonts w:eastAsia="Calibri"/>
        </w:rPr>
        <w:t xml:space="preserve"> to the various changes, including the removal of </w:t>
      </w:r>
      <w:r w:rsidRPr="001141EB">
        <w:rPr>
          <w:rFonts w:eastAsia="Calibri"/>
        </w:rPr>
        <w:t>the biological link</w:t>
      </w:r>
      <w:r>
        <w:rPr>
          <w:rFonts w:eastAsia="Calibri"/>
        </w:rPr>
        <w:t>,</w:t>
      </w:r>
      <w:r w:rsidRPr="001141EB">
        <w:rPr>
          <w:rFonts w:eastAsia="Calibri"/>
        </w:rPr>
        <w:t xml:space="preserve"> </w:t>
      </w:r>
      <w:r>
        <w:rPr>
          <w:rFonts w:eastAsia="Calibri"/>
        </w:rPr>
        <w:t>rather than to having the single set of guidelines and new format</w:t>
      </w:r>
      <w:r w:rsidRPr="009E0988">
        <w:rPr>
          <w:rFonts w:eastAsia="Calibri"/>
        </w:rPr>
        <w:t>.</w:t>
      </w:r>
    </w:p>
    <w:p w14:paraId="3DEA2FFF" w14:textId="77777777" w:rsidR="00547D02" w:rsidRPr="001141EB" w:rsidRDefault="00547D02" w:rsidP="00607C6F">
      <w:pPr>
        <w:pStyle w:val="Number"/>
        <w:rPr>
          <w:rFonts w:eastAsia="Calibri"/>
        </w:rPr>
      </w:pPr>
      <w:r w:rsidRPr="001141EB">
        <w:rPr>
          <w:rFonts w:eastAsia="Calibri"/>
        </w:rPr>
        <w:t xml:space="preserve">ACART believes the change should be made </w:t>
      </w:r>
      <w:proofErr w:type="gramStart"/>
      <w:r w:rsidRPr="001141EB">
        <w:rPr>
          <w:rFonts w:eastAsia="Calibri"/>
        </w:rPr>
        <w:t>on the basis of</w:t>
      </w:r>
      <w:proofErr w:type="gramEnd"/>
      <w:r w:rsidRPr="001141EB">
        <w:rPr>
          <w:rFonts w:eastAsia="Calibri"/>
        </w:rPr>
        <w:t xml:space="preserve"> the benefits </w:t>
      </w:r>
      <w:r>
        <w:rPr>
          <w:rFonts w:eastAsia="Calibri"/>
        </w:rPr>
        <w:t xml:space="preserve">discussed </w:t>
      </w:r>
      <w:r w:rsidRPr="001141EB">
        <w:rPr>
          <w:rFonts w:eastAsia="Calibri"/>
        </w:rPr>
        <w:t>and that risk mitigation is integral to the guidelines.</w:t>
      </w:r>
    </w:p>
    <w:p w14:paraId="5C400D72" w14:textId="77777777" w:rsidR="00547D02" w:rsidRPr="00E70FE6" w:rsidRDefault="00547D02" w:rsidP="00607C6F"/>
    <w:p w14:paraId="2050B704" w14:textId="77777777" w:rsidR="00547D02" w:rsidRPr="0039695E" w:rsidRDefault="00547D02" w:rsidP="00607C6F">
      <w:pPr>
        <w:pStyle w:val="Heading2"/>
      </w:pPr>
      <w:bookmarkStart w:id="103" w:name="_Toc17118584"/>
      <w:bookmarkStart w:id="104" w:name="_Toc73459726"/>
      <w:r>
        <w:t xml:space="preserve">Change </w:t>
      </w:r>
      <w:r w:rsidRPr="00986EB9">
        <w:t>6</w:t>
      </w:r>
      <w:r>
        <w:t>: T</w:t>
      </w:r>
      <w:r w:rsidRPr="0039695E">
        <w:t xml:space="preserve">he </w:t>
      </w:r>
      <w:proofErr w:type="gramStart"/>
      <w:r w:rsidRPr="0039695E">
        <w:t>two family</w:t>
      </w:r>
      <w:proofErr w:type="gramEnd"/>
      <w:r w:rsidRPr="0039695E">
        <w:t xml:space="preserve"> limit </w:t>
      </w:r>
      <w:r>
        <w:t xml:space="preserve">for full genetic siblings is </w:t>
      </w:r>
      <w:r w:rsidRPr="0039695E">
        <w:t xml:space="preserve">now </w:t>
      </w:r>
      <w:r>
        <w:t>universal</w:t>
      </w:r>
      <w:bookmarkEnd w:id="103"/>
      <w:bookmarkEnd w:id="104"/>
    </w:p>
    <w:p w14:paraId="5389DDCF" w14:textId="77777777" w:rsidR="00547D02" w:rsidRPr="00EC799C" w:rsidRDefault="00547D02" w:rsidP="00607C6F">
      <w:pPr>
        <w:pStyle w:val="Heading3"/>
        <w:rPr>
          <w:rFonts w:eastAsia="Calibri"/>
        </w:rPr>
      </w:pPr>
      <w:r w:rsidRPr="00EC799C">
        <w:rPr>
          <w:rFonts w:eastAsia="Calibri"/>
        </w:rPr>
        <w:t>ACART</w:t>
      </w:r>
      <w:r w:rsidR="000A0B49">
        <w:rPr>
          <w:rFonts w:eastAsia="Calibri"/>
        </w:rPr>
        <w:t>’</w:t>
      </w:r>
      <w:r w:rsidRPr="00EC799C">
        <w:rPr>
          <w:rFonts w:eastAsia="Calibri"/>
        </w:rPr>
        <w:t>s conclusions/decisions</w:t>
      </w:r>
    </w:p>
    <w:p w14:paraId="6B0F215E" w14:textId="77777777" w:rsidR="00547D02" w:rsidRDefault="00547D02" w:rsidP="00607C6F">
      <w:pPr>
        <w:pStyle w:val="Number"/>
        <w:rPr>
          <w:rFonts w:eastAsia="Calibri"/>
        </w:rPr>
      </w:pPr>
      <w:r w:rsidRPr="00182B43">
        <w:rPr>
          <w:rFonts w:eastAsia="Calibri"/>
        </w:rPr>
        <w:t>ACART has introduced a general provision that full genetic siblings can exist in no more than two families. This provision applies regardless of other factors involved in the case. Applications to ECART, where relevant, will need to include information about any existing children who would be full genetic siblings of any children born from a procedure.</w:t>
      </w:r>
    </w:p>
    <w:p w14:paraId="3E8004D1" w14:textId="77777777" w:rsidR="00547D02" w:rsidRPr="00182B43" w:rsidRDefault="00547D02" w:rsidP="00607C6F">
      <w:pPr>
        <w:rPr>
          <w:rFonts w:eastAsia="Calibri"/>
        </w:rPr>
      </w:pPr>
    </w:p>
    <w:p w14:paraId="50458E88" w14:textId="77777777" w:rsidR="00547D02" w:rsidRPr="00EC799C" w:rsidRDefault="00547D02" w:rsidP="00607C6F">
      <w:pPr>
        <w:pStyle w:val="Heading3"/>
        <w:rPr>
          <w:rFonts w:eastAsia="Calibri"/>
        </w:rPr>
      </w:pPr>
      <w:r w:rsidRPr="00EC799C">
        <w:rPr>
          <w:rFonts w:eastAsia="Calibri"/>
        </w:rPr>
        <w:t>The problem</w:t>
      </w:r>
    </w:p>
    <w:p w14:paraId="1779D19F" w14:textId="77777777" w:rsidR="00547D02" w:rsidRDefault="00547D02" w:rsidP="00607C6F">
      <w:pPr>
        <w:pStyle w:val="Number"/>
        <w:rPr>
          <w:rFonts w:eastAsia="Calibri"/>
        </w:rPr>
      </w:pPr>
      <w:r>
        <w:rPr>
          <w:rFonts w:eastAsia="Calibri"/>
        </w:rPr>
        <w:t xml:space="preserve">The changes of </w:t>
      </w:r>
      <w:r w:rsidRPr="004A4F8F">
        <w:rPr>
          <w:rFonts w:eastAsia="Calibri"/>
        </w:rPr>
        <w:t>rescind</w:t>
      </w:r>
      <w:r>
        <w:rPr>
          <w:rFonts w:eastAsia="Calibri"/>
        </w:rPr>
        <w:t xml:space="preserve">ing the biological link policy </w:t>
      </w:r>
      <w:proofErr w:type="gramStart"/>
      <w:r>
        <w:rPr>
          <w:rFonts w:eastAsia="Calibri"/>
        </w:rPr>
        <w:t>and also</w:t>
      </w:r>
      <w:proofErr w:type="gramEnd"/>
      <w:r>
        <w:rPr>
          <w:rFonts w:eastAsia="Calibri"/>
        </w:rPr>
        <w:t xml:space="preserve"> allowing </w:t>
      </w:r>
      <w:r w:rsidRPr="004A4F8F">
        <w:rPr>
          <w:rFonts w:eastAsia="Calibri"/>
        </w:rPr>
        <w:t xml:space="preserve">ECART to </w:t>
      </w:r>
      <w:r>
        <w:rPr>
          <w:rFonts w:eastAsia="Calibri"/>
        </w:rPr>
        <w:t xml:space="preserve">consider </w:t>
      </w:r>
      <w:r w:rsidRPr="004A4F8F">
        <w:rPr>
          <w:rFonts w:eastAsia="Calibri"/>
        </w:rPr>
        <w:t>the d</w:t>
      </w:r>
      <w:r>
        <w:rPr>
          <w:rFonts w:eastAsia="Calibri"/>
        </w:rPr>
        <w:t xml:space="preserve">onation of embryos created where both gametes have been </w:t>
      </w:r>
      <w:r w:rsidRPr="004A4F8F">
        <w:rPr>
          <w:rFonts w:eastAsia="Calibri"/>
        </w:rPr>
        <w:t>donated</w:t>
      </w:r>
      <w:r>
        <w:rPr>
          <w:rFonts w:eastAsia="Calibri"/>
        </w:rPr>
        <w:t xml:space="preserve"> introduce the potential for</w:t>
      </w:r>
      <w:r w:rsidRPr="004A4F8F">
        <w:rPr>
          <w:rFonts w:eastAsia="Calibri"/>
        </w:rPr>
        <w:t xml:space="preserve"> the resulting relationships</w:t>
      </w:r>
      <w:r>
        <w:rPr>
          <w:rFonts w:eastAsia="Calibri"/>
        </w:rPr>
        <w:t xml:space="preserve"> to be more complex.</w:t>
      </w:r>
    </w:p>
    <w:p w14:paraId="376B8EEA" w14:textId="77777777" w:rsidR="00547D02" w:rsidRDefault="00547D02" w:rsidP="00607C6F">
      <w:pPr>
        <w:pStyle w:val="Number"/>
        <w:rPr>
          <w:rFonts w:eastAsia="Calibri"/>
        </w:rPr>
      </w:pPr>
      <w:r>
        <w:rPr>
          <w:rFonts w:eastAsia="Calibri"/>
        </w:rPr>
        <w:t>ACART</w:t>
      </w:r>
      <w:r w:rsidR="000A0B49">
        <w:rPr>
          <w:rFonts w:eastAsia="Calibri"/>
        </w:rPr>
        <w:t>’</w:t>
      </w:r>
      <w:r>
        <w:rPr>
          <w:rFonts w:eastAsia="Calibri"/>
        </w:rPr>
        <w:t>s</w:t>
      </w:r>
      <w:r w:rsidRPr="00642E69">
        <w:rPr>
          <w:rFonts w:eastAsia="Calibri"/>
        </w:rPr>
        <w:t xml:space="preserve"> </w:t>
      </w:r>
      <w:r>
        <w:rPr>
          <w:rFonts w:eastAsia="Calibri"/>
        </w:rPr>
        <w:t xml:space="preserve">previous guidelines for embryo donation </w:t>
      </w:r>
      <w:r w:rsidRPr="00642E69">
        <w:rPr>
          <w:rFonts w:eastAsia="Calibri"/>
        </w:rPr>
        <w:t>limit</w:t>
      </w:r>
      <w:r>
        <w:rPr>
          <w:rFonts w:eastAsia="Calibri"/>
        </w:rPr>
        <w:t>ed</w:t>
      </w:r>
      <w:r w:rsidRPr="00642E69">
        <w:rPr>
          <w:rFonts w:eastAsia="Calibri"/>
        </w:rPr>
        <w:t xml:space="preserve"> full genetic siblings to a maximum of two families</w:t>
      </w:r>
      <w:r>
        <w:rPr>
          <w:rFonts w:eastAsia="Calibri"/>
        </w:rPr>
        <w:t>. The purpose of this limit was</w:t>
      </w:r>
      <w:r w:rsidRPr="00642E69">
        <w:rPr>
          <w:rFonts w:eastAsia="Calibri"/>
        </w:rPr>
        <w:t xml:space="preserve"> to manage the number and complexity of relationships between parties and to </w:t>
      </w:r>
      <w:r>
        <w:rPr>
          <w:rFonts w:eastAsia="Calibri"/>
        </w:rPr>
        <w:t>minimise</w:t>
      </w:r>
      <w:r w:rsidRPr="00642E69">
        <w:rPr>
          <w:rFonts w:eastAsia="Calibri"/>
        </w:rPr>
        <w:t xml:space="preserve"> the risk of consa</w:t>
      </w:r>
      <w:r>
        <w:rPr>
          <w:rFonts w:eastAsia="Calibri"/>
        </w:rPr>
        <w:t>nguinity (blood relationships)</w:t>
      </w:r>
      <w:r w:rsidRPr="00642E69">
        <w:rPr>
          <w:rFonts w:eastAsia="Calibri"/>
        </w:rPr>
        <w:t>.</w:t>
      </w:r>
    </w:p>
    <w:p w14:paraId="34566BCB" w14:textId="77777777" w:rsidR="00547D02" w:rsidRDefault="00547D02" w:rsidP="00607C6F">
      <w:pPr>
        <w:pStyle w:val="Number"/>
        <w:rPr>
          <w:rFonts w:eastAsia="Calibri"/>
        </w:rPr>
      </w:pPr>
      <w:r>
        <w:rPr>
          <w:rFonts w:eastAsia="Calibri"/>
        </w:rPr>
        <w:t>With the changes to the four sets of guidelines, including merging them into one, it was important to ensure that the limit remained in place and that it would be understood by all parties that it applies to, regardless of the fertility procedure being used.</w:t>
      </w:r>
    </w:p>
    <w:p w14:paraId="72721AD7" w14:textId="77777777" w:rsidR="00547D02" w:rsidRPr="00EC799C" w:rsidRDefault="00547D02" w:rsidP="00607C6F">
      <w:pPr>
        <w:pStyle w:val="Heading3"/>
        <w:spacing w:before="600"/>
        <w:rPr>
          <w:rFonts w:eastAsia="Calibri"/>
        </w:rPr>
      </w:pPr>
      <w:r w:rsidRPr="00EC799C">
        <w:rPr>
          <w:rFonts w:eastAsia="Calibri"/>
        </w:rPr>
        <w:lastRenderedPageBreak/>
        <w:t>Benefits of the change</w:t>
      </w:r>
    </w:p>
    <w:p w14:paraId="1E7CB0FB" w14:textId="77777777" w:rsidR="00547D02" w:rsidRDefault="00547D02" w:rsidP="00607C6F">
      <w:pPr>
        <w:pStyle w:val="Number"/>
        <w:rPr>
          <w:rFonts w:eastAsia="Calibri"/>
        </w:rPr>
      </w:pPr>
      <w:r>
        <w:rPr>
          <w:rFonts w:eastAsia="Calibri"/>
        </w:rPr>
        <w:t>All parties to fertility treatment will understand that full genetic siblings will only be allowed in two families. This pro</w:t>
      </w:r>
      <w:r w:rsidRPr="00EA1DE2">
        <w:rPr>
          <w:rStyle w:val="NumberChar"/>
          <w:rFonts w:eastAsia="Calibri"/>
        </w:rPr>
        <w:t>v</w:t>
      </w:r>
      <w:r>
        <w:rPr>
          <w:rFonts w:eastAsia="Calibri"/>
        </w:rPr>
        <w:t xml:space="preserve">ision minimises the risk of relationships becoming overly complicated and of children </w:t>
      </w:r>
      <w:proofErr w:type="gramStart"/>
      <w:r>
        <w:rPr>
          <w:rFonts w:eastAsia="Calibri"/>
        </w:rPr>
        <w:t>in particular being</w:t>
      </w:r>
      <w:proofErr w:type="gramEnd"/>
      <w:r>
        <w:rPr>
          <w:rFonts w:eastAsia="Calibri"/>
        </w:rPr>
        <w:t xml:space="preserve"> unsure of how they are related to other parties.</w:t>
      </w:r>
    </w:p>
    <w:p w14:paraId="309E3EDD" w14:textId="77777777" w:rsidR="00547D02" w:rsidRDefault="00547D02" w:rsidP="00607C6F">
      <w:pPr>
        <w:pStyle w:val="Number"/>
        <w:rPr>
          <w:rFonts w:eastAsia="Calibri"/>
        </w:rPr>
      </w:pPr>
      <w:r>
        <w:rPr>
          <w:rFonts w:eastAsia="Calibri"/>
        </w:rPr>
        <w:t>T</w:t>
      </w:r>
      <w:r w:rsidRPr="00182B43">
        <w:rPr>
          <w:rFonts w:eastAsia="Calibri"/>
        </w:rPr>
        <w:t xml:space="preserve">he risk of consanguinity (blood relationships) </w:t>
      </w:r>
      <w:r>
        <w:rPr>
          <w:rFonts w:eastAsia="Calibri"/>
        </w:rPr>
        <w:t xml:space="preserve">will be </w:t>
      </w:r>
      <w:r w:rsidRPr="00182B43">
        <w:rPr>
          <w:rFonts w:eastAsia="Calibri"/>
        </w:rPr>
        <w:t>minimised</w:t>
      </w:r>
      <w:r>
        <w:rPr>
          <w:rFonts w:eastAsia="Calibri"/>
        </w:rPr>
        <w:t xml:space="preserve"> despite the greater range of donations that are now available.</w:t>
      </w:r>
    </w:p>
    <w:p w14:paraId="41DE682C" w14:textId="77777777" w:rsidR="00547D02" w:rsidRPr="00182B43" w:rsidRDefault="00547D02" w:rsidP="00607C6F">
      <w:pPr>
        <w:rPr>
          <w:rFonts w:eastAsia="Calibri"/>
        </w:rPr>
      </w:pPr>
    </w:p>
    <w:p w14:paraId="0C4F2931" w14:textId="77777777" w:rsidR="00547D02" w:rsidRPr="00EC799C" w:rsidRDefault="00547D02" w:rsidP="00607C6F">
      <w:pPr>
        <w:pStyle w:val="Heading3"/>
        <w:rPr>
          <w:rFonts w:eastAsia="Calibri"/>
        </w:rPr>
      </w:pPr>
      <w:r w:rsidRPr="00EC799C">
        <w:rPr>
          <w:rFonts w:eastAsia="Calibri"/>
        </w:rPr>
        <w:t>Risks of the change</w:t>
      </w:r>
    </w:p>
    <w:p w14:paraId="53EC0209" w14:textId="77777777" w:rsidR="00547D02" w:rsidRDefault="00547D02" w:rsidP="00607C6F">
      <w:pPr>
        <w:pStyle w:val="Number"/>
        <w:rPr>
          <w:rFonts w:eastAsia="Calibri"/>
        </w:rPr>
      </w:pPr>
      <w:r w:rsidRPr="003340A2">
        <w:rPr>
          <w:rFonts w:eastAsia="Calibri"/>
        </w:rPr>
        <w:t>ACART has not identified any risks associated with this proposal.</w:t>
      </w:r>
    </w:p>
    <w:p w14:paraId="2016E6D1" w14:textId="77777777" w:rsidR="00547D02" w:rsidRPr="003340A2" w:rsidRDefault="00547D02" w:rsidP="00607C6F">
      <w:pPr>
        <w:rPr>
          <w:rFonts w:eastAsia="Calibri"/>
        </w:rPr>
      </w:pPr>
    </w:p>
    <w:p w14:paraId="29A1A7B5" w14:textId="77777777" w:rsidR="00547D02" w:rsidRPr="00EC799C" w:rsidRDefault="00547D02" w:rsidP="00607C6F">
      <w:pPr>
        <w:pStyle w:val="Heading3"/>
        <w:rPr>
          <w:rFonts w:eastAsia="Calibri"/>
        </w:rPr>
      </w:pPr>
      <w:r w:rsidRPr="00EC799C">
        <w:rPr>
          <w:rFonts w:eastAsia="Calibri"/>
        </w:rPr>
        <w:t>Submitters</w:t>
      </w:r>
      <w:r w:rsidR="000A0B49">
        <w:rPr>
          <w:rFonts w:eastAsia="Calibri"/>
        </w:rPr>
        <w:t>’</w:t>
      </w:r>
      <w:r w:rsidRPr="00EC799C">
        <w:rPr>
          <w:rFonts w:eastAsia="Calibri"/>
        </w:rPr>
        <w:t xml:space="preserve"> views and ACART</w:t>
      </w:r>
      <w:r w:rsidR="000A0B49">
        <w:rPr>
          <w:rFonts w:eastAsia="Calibri"/>
        </w:rPr>
        <w:t>’</w:t>
      </w:r>
      <w:r w:rsidRPr="00EC799C">
        <w:rPr>
          <w:rFonts w:eastAsia="Calibri"/>
        </w:rPr>
        <w:t>s assessment of th</w:t>
      </w:r>
      <w:r>
        <w:rPr>
          <w:rFonts w:eastAsia="Calibri"/>
        </w:rPr>
        <w:t>em</w:t>
      </w:r>
    </w:p>
    <w:p w14:paraId="39ABA50B" w14:textId="77777777" w:rsidR="00547D02" w:rsidRDefault="00547D02" w:rsidP="00607C6F">
      <w:pPr>
        <w:pStyle w:val="Number"/>
        <w:rPr>
          <w:rFonts w:eastAsia="Calibri"/>
        </w:rPr>
      </w:pPr>
      <w:r>
        <w:rPr>
          <w:rFonts w:eastAsia="Calibri"/>
        </w:rPr>
        <w:t xml:space="preserve">Nineteen submitters supported the </w:t>
      </w:r>
      <w:proofErr w:type="gramStart"/>
      <w:r>
        <w:rPr>
          <w:rFonts w:eastAsia="Calibri"/>
        </w:rPr>
        <w:t>proposal</w:t>
      </w:r>
      <w:proofErr w:type="gramEnd"/>
      <w:r>
        <w:rPr>
          <w:rFonts w:eastAsia="Calibri"/>
        </w:rPr>
        <w:t xml:space="preserve"> and none opposed it, although one stated ECART should be able to consider exceptional cases.</w:t>
      </w:r>
      <w:r w:rsidRPr="00ED46DB">
        <w:rPr>
          <w:rFonts w:eastAsia="Calibri"/>
        </w:rPr>
        <w:t xml:space="preserve"> </w:t>
      </w:r>
      <w:r>
        <w:rPr>
          <w:rFonts w:eastAsia="Calibri"/>
        </w:rPr>
        <w:t>ACART concluded it would proceed with the proposal.</w:t>
      </w:r>
    </w:p>
    <w:p w14:paraId="08E76C1E" w14:textId="77777777" w:rsidR="00547D02" w:rsidRDefault="00547D02" w:rsidP="00607C6F">
      <w:pPr>
        <w:pStyle w:val="Number"/>
        <w:rPr>
          <w:rFonts w:eastAsia="Calibri"/>
        </w:rPr>
      </w:pPr>
      <w:r w:rsidRPr="00C86052">
        <w:rPr>
          <w:rFonts w:eastAsia="Calibri"/>
        </w:rPr>
        <w:t>ACART also considers that this policy supports the wellbeing of donor-conceived offspring, based on research evidence relating to children</w:t>
      </w:r>
      <w:r w:rsidR="000A0B49">
        <w:rPr>
          <w:rFonts w:eastAsia="Calibri"/>
        </w:rPr>
        <w:t>’</w:t>
      </w:r>
      <w:r w:rsidRPr="00C86052">
        <w:rPr>
          <w:rFonts w:eastAsia="Calibri"/>
        </w:rPr>
        <w:t>s desire to know about, and be in touch with, their full and half</w:t>
      </w:r>
      <w:r>
        <w:rPr>
          <w:rFonts w:eastAsia="Calibri"/>
        </w:rPr>
        <w:t xml:space="preserve"> </w:t>
      </w:r>
      <w:r w:rsidRPr="00C86052">
        <w:rPr>
          <w:rFonts w:eastAsia="Calibri"/>
        </w:rPr>
        <w:t>siblings. ACART considers</w:t>
      </w:r>
      <w:r>
        <w:rPr>
          <w:rFonts w:eastAsia="Calibri"/>
        </w:rPr>
        <w:t xml:space="preserve"> </w:t>
      </w:r>
      <w:r w:rsidRPr="00C86052">
        <w:rPr>
          <w:rFonts w:eastAsia="Calibri"/>
        </w:rPr>
        <w:t>that children can navigate having full siblings in up to one other family, but no more.</w:t>
      </w:r>
    </w:p>
    <w:p w14:paraId="312B7B90" w14:textId="77777777" w:rsidR="00547D02" w:rsidRDefault="00547D02" w:rsidP="00607C6F"/>
    <w:p w14:paraId="6C3013C8" w14:textId="77777777" w:rsidR="00547D02" w:rsidRDefault="00547D02" w:rsidP="00607C6F">
      <w:pPr>
        <w:pStyle w:val="Heading2"/>
      </w:pPr>
      <w:bookmarkStart w:id="105" w:name="_Toc17118585"/>
      <w:bookmarkStart w:id="106" w:name="_Toc73459727"/>
      <w:r>
        <w:t xml:space="preserve">Change </w:t>
      </w:r>
      <w:r w:rsidRPr="00986EB9">
        <w:t>7</w:t>
      </w:r>
      <w:r>
        <w:t>: Stronger mitigation of risks for d</w:t>
      </w:r>
      <w:r w:rsidRPr="0039695E">
        <w:t xml:space="preserve">onations between family </w:t>
      </w:r>
      <w:r>
        <w:t>members</w:t>
      </w:r>
      <w:bookmarkEnd w:id="105"/>
      <w:bookmarkEnd w:id="106"/>
    </w:p>
    <w:p w14:paraId="0B73E302" w14:textId="77777777" w:rsidR="00547D02" w:rsidRPr="00EC799C" w:rsidRDefault="00547D02" w:rsidP="00607C6F">
      <w:pPr>
        <w:pStyle w:val="Heading3"/>
        <w:rPr>
          <w:rFonts w:eastAsia="Calibri"/>
        </w:rPr>
      </w:pPr>
      <w:r w:rsidRPr="0027783E">
        <w:rPr>
          <w:rFonts w:eastAsia="Calibri"/>
        </w:rPr>
        <w:t>ACART</w:t>
      </w:r>
      <w:r w:rsidR="000A0B49">
        <w:rPr>
          <w:rFonts w:eastAsia="Calibri"/>
        </w:rPr>
        <w:t>’</w:t>
      </w:r>
      <w:r w:rsidRPr="0027783E">
        <w:rPr>
          <w:rFonts w:eastAsia="Calibri"/>
        </w:rPr>
        <w:t>s</w:t>
      </w:r>
      <w:r w:rsidRPr="00EC799C">
        <w:rPr>
          <w:rFonts w:eastAsia="Calibri"/>
        </w:rPr>
        <w:t xml:space="preserve"> conclusions/decisions</w:t>
      </w:r>
    </w:p>
    <w:p w14:paraId="77D8873C" w14:textId="77777777" w:rsidR="00547D02" w:rsidRDefault="00547D02" w:rsidP="00607C6F">
      <w:pPr>
        <w:pStyle w:val="Number"/>
        <w:rPr>
          <w:rFonts w:eastAsia="Calibri"/>
        </w:rPr>
      </w:pPr>
      <w:r>
        <w:rPr>
          <w:rFonts w:eastAsia="Calibri"/>
        </w:rPr>
        <w:t>ACART has made three substantive changes to the provisions for the donation of gametes between family members. It has:</w:t>
      </w:r>
    </w:p>
    <w:p w14:paraId="48C8FBE3" w14:textId="77777777" w:rsidR="00547D02" w:rsidRDefault="00547D02" w:rsidP="00607C6F">
      <w:pPr>
        <w:pStyle w:val="Letter"/>
        <w:rPr>
          <w:rFonts w:eastAsia="Calibri"/>
        </w:rPr>
      </w:pPr>
      <w:r>
        <w:rPr>
          <w:rFonts w:eastAsia="Calibri"/>
        </w:rPr>
        <w:t>added a provision that requires ECART to check for intergenerational risks</w:t>
      </w:r>
    </w:p>
    <w:p w14:paraId="61740D4D" w14:textId="77777777" w:rsidR="00547D02" w:rsidRDefault="00547D02" w:rsidP="00607C6F">
      <w:pPr>
        <w:pStyle w:val="Letter"/>
        <w:rPr>
          <w:rFonts w:eastAsia="Calibri"/>
        </w:rPr>
      </w:pPr>
      <w:r>
        <w:rPr>
          <w:rFonts w:eastAsia="Calibri"/>
        </w:rPr>
        <w:t>added a provision that requires ECART to check for undue influence (this provision is discussed under Change 8)</w:t>
      </w:r>
    </w:p>
    <w:p w14:paraId="3C2F3B02" w14:textId="77777777" w:rsidR="00547D02" w:rsidRDefault="00547D02" w:rsidP="00607C6F">
      <w:pPr>
        <w:pStyle w:val="Letter"/>
        <w:rPr>
          <w:rFonts w:eastAsia="Calibri"/>
        </w:rPr>
      </w:pPr>
      <w:r>
        <w:rPr>
          <w:rFonts w:eastAsia="Calibri"/>
        </w:rPr>
        <w:t xml:space="preserve">extended the </w:t>
      </w:r>
      <w:r w:rsidRPr="00B673F4">
        <w:rPr>
          <w:rFonts w:eastAsia="Calibri"/>
        </w:rPr>
        <w:t xml:space="preserve">list of family gamete donations </w:t>
      </w:r>
      <w:r>
        <w:rPr>
          <w:rFonts w:eastAsia="Calibri"/>
        </w:rPr>
        <w:t>that are prohibited</w:t>
      </w:r>
      <w:r w:rsidRPr="00C014AE">
        <w:rPr>
          <w:rFonts w:eastAsia="Calibri"/>
        </w:rPr>
        <w:t>.</w:t>
      </w:r>
    </w:p>
    <w:p w14:paraId="7AF7951D" w14:textId="77777777" w:rsidR="00547D02" w:rsidRPr="00C014AE" w:rsidRDefault="00547D02" w:rsidP="00607C6F">
      <w:pPr>
        <w:rPr>
          <w:rFonts w:eastAsia="Calibri"/>
        </w:rPr>
      </w:pPr>
    </w:p>
    <w:p w14:paraId="07206E21" w14:textId="77777777" w:rsidR="00547D02" w:rsidRDefault="00547D02" w:rsidP="00607C6F">
      <w:pPr>
        <w:pStyle w:val="Heading3"/>
        <w:rPr>
          <w:rFonts w:eastAsia="Calibri"/>
        </w:rPr>
      </w:pPr>
      <w:r w:rsidRPr="00365D29">
        <w:rPr>
          <w:rFonts w:eastAsia="Calibri"/>
        </w:rPr>
        <w:lastRenderedPageBreak/>
        <w:t>The problem</w:t>
      </w:r>
    </w:p>
    <w:p w14:paraId="022D8D62" w14:textId="77777777" w:rsidR="00547D02" w:rsidRDefault="00547D02" w:rsidP="00607C6F">
      <w:pPr>
        <w:pStyle w:val="Number"/>
        <w:rPr>
          <w:rFonts w:eastAsia="Calibri"/>
        </w:rPr>
      </w:pPr>
      <w:r w:rsidRPr="00C014AE">
        <w:rPr>
          <w:rFonts w:eastAsia="Calibri"/>
        </w:rPr>
        <w:t xml:space="preserve">The donation of gametes between family members can raise ethical matters and the previous guidelines did not adequately </w:t>
      </w:r>
      <w:proofErr w:type="gramStart"/>
      <w:r w:rsidRPr="00C014AE">
        <w:rPr>
          <w:rFonts w:eastAsia="Calibri"/>
        </w:rPr>
        <w:t xml:space="preserve">take </w:t>
      </w:r>
      <w:r>
        <w:rPr>
          <w:rFonts w:eastAsia="Calibri"/>
        </w:rPr>
        <w:t>into account</w:t>
      </w:r>
      <w:proofErr w:type="gramEnd"/>
      <w:r>
        <w:rPr>
          <w:rFonts w:eastAsia="Calibri"/>
        </w:rPr>
        <w:t xml:space="preserve"> the way that</w:t>
      </w:r>
      <w:r w:rsidRPr="00C014AE">
        <w:rPr>
          <w:rFonts w:eastAsia="Calibri"/>
        </w:rPr>
        <w:t xml:space="preserve"> donations between family members could result in intergenerational </w:t>
      </w:r>
      <w:r>
        <w:rPr>
          <w:rFonts w:eastAsia="Calibri"/>
        </w:rPr>
        <w:t>risks</w:t>
      </w:r>
      <w:r w:rsidRPr="00C014AE">
        <w:rPr>
          <w:rFonts w:eastAsia="Calibri"/>
        </w:rPr>
        <w:t xml:space="preserve"> (</w:t>
      </w:r>
      <w:proofErr w:type="spellStart"/>
      <w:r>
        <w:rPr>
          <w:rFonts w:eastAsia="Calibri"/>
        </w:rPr>
        <w:t>eg</w:t>
      </w:r>
      <w:proofErr w:type="spellEnd"/>
      <w:r>
        <w:rPr>
          <w:rFonts w:eastAsia="Calibri"/>
        </w:rPr>
        <w:t>,</w:t>
      </w:r>
      <w:r w:rsidRPr="00C014AE">
        <w:rPr>
          <w:rFonts w:eastAsia="Calibri"/>
        </w:rPr>
        <w:t xml:space="preserve"> resulting confusion about relationships) and/or one party</w:t>
      </w:r>
      <w:r w:rsidR="000A0B49">
        <w:rPr>
          <w:rFonts w:eastAsia="Calibri"/>
        </w:rPr>
        <w:t>’</w:t>
      </w:r>
      <w:r>
        <w:rPr>
          <w:rFonts w:eastAsia="Calibri"/>
        </w:rPr>
        <w:t>s</w:t>
      </w:r>
      <w:r w:rsidRPr="00C014AE">
        <w:rPr>
          <w:rFonts w:eastAsia="Calibri"/>
        </w:rPr>
        <w:t xml:space="preserve"> undue influence on another. The</w:t>
      </w:r>
      <w:r>
        <w:rPr>
          <w:rFonts w:eastAsia="Calibri"/>
        </w:rPr>
        <w:t xml:space="preserve"> guidelines</w:t>
      </w:r>
      <w:r w:rsidRPr="00C014AE">
        <w:rPr>
          <w:rFonts w:eastAsia="Calibri"/>
        </w:rPr>
        <w:t xml:space="preserve"> also </w:t>
      </w:r>
      <w:r>
        <w:rPr>
          <w:rFonts w:eastAsia="Calibri"/>
        </w:rPr>
        <w:t xml:space="preserve">left open </w:t>
      </w:r>
      <w:r w:rsidRPr="00C014AE">
        <w:rPr>
          <w:rFonts w:eastAsia="Calibri"/>
        </w:rPr>
        <w:t xml:space="preserve">a small risk of consanguinity </w:t>
      </w:r>
      <w:r>
        <w:rPr>
          <w:rFonts w:eastAsia="Calibri"/>
        </w:rPr>
        <w:t>where</w:t>
      </w:r>
      <w:r w:rsidRPr="00C014AE">
        <w:rPr>
          <w:rFonts w:eastAsia="Calibri"/>
        </w:rPr>
        <w:t xml:space="preserve"> a child </w:t>
      </w:r>
      <w:r>
        <w:rPr>
          <w:rFonts w:eastAsia="Calibri"/>
        </w:rPr>
        <w:t>could be</w:t>
      </w:r>
      <w:r w:rsidRPr="00C014AE">
        <w:rPr>
          <w:rFonts w:eastAsia="Calibri"/>
        </w:rPr>
        <w:t xml:space="preserve"> formed from the gametes of </w:t>
      </w:r>
      <w:r>
        <w:rPr>
          <w:rFonts w:eastAsia="Calibri"/>
        </w:rPr>
        <w:t xml:space="preserve">two </w:t>
      </w:r>
      <w:r w:rsidRPr="00C014AE">
        <w:rPr>
          <w:rFonts w:eastAsia="Calibri"/>
        </w:rPr>
        <w:t>people who are closely genetically related.</w:t>
      </w:r>
    </w:p>
    <w:p w14:paraId="28958E38" w14:textId="77777777" w:rsidR="00547D02" w:rsidRPr="00C014AE" w:rsidRDefault="00547D02" w:rsidP="00607C6F">
      <w:pPr>
        <w:rPr>
          <w:rFonts w:eastAsia="Calibri"/>
        </w:rPr>
      </w:pPr>
    </w:p>
    <w:p w14:paraId="0C7DB4DE" w14:textId="77777777" w:rsidR="00547D02" w:rsidRPr="000E0232" w:rsidRDefault="00547D02" w:rsidP="00607C6F">
      <w:pPr>
        <w:pStyle w:val="Heading3"/>
        <w:rPr>
          <w:rFonts w:eastAsia="Calibri"/>
        </w:rPr>
      </w:pPr>
      <w:r w:rsidRPr="004E4538">
        <w:rPr>
          <w:rFonts w:eastAsia="Calibri"/>
        </w:rPr>
        <w:t>ACART</w:t>
      </w:r>
      <w:r w:rsidR="000A0B49">
        <w:rPr>
          <w:rFonts w:eastAsia="Calibri"/>
        </w:rPr>
        <w:t>’</w:t>
      </w:r>
      <w:r w:rsidRPr="004E4538">
        <w:rPr>
          <w:rFonts w:eastAsia="Calibri"/>
        </w:rPr>
        <w:t>s</w:t>
      </w:r>
      <w:r w:rsidRPr="000E0232">
        <w:rPr>
          <w:rFonts w:eastAsia="Calibri"/>
        </w:rPr>
        <w:t xml:space="preserve"> initial and subsequent proposals</w:t>
      </w:r>
    </w:p>
    <w:p w14:paraId="4D906DCF" w14:textId="77777777" w:rsidR="00547D02" w:rsidRPr="008E5917" w:rsidRDefault="00547D02" w:rsidP="00607C6F">
      <w:pPr>
        <w:pStyle w:val="Number"/>
        <w:rPr>
          <w:rFonts w:eastAsia="Calibri"/>
        </w:rPr>
      </w:pPr>
      <w:r w:rsidRPr="008E5917">
        <w:rPr>
          <w:rFonts w:eastAsia="Calibri"/>
        </w:rPr>
        <w:t>In 2017, ACART</w:t>
      </w:r>
      <w:r w:rsidR="000A0B49">
        <w:rPr>
          <w:rFonts w:eastAsia="Calibri"/>
        </w:rPr>
        <w:t>’</w:t>
      </w:r>
      <w:r w:rsidRPr="008E5917">
        <w:rPr>
          <w:rFonts w:eastAsia="Calibri"/>
        </w:rPr>
        <w:t xml:space="preserve">s first round of consultation proposed that all donations of family gametes should be subject to ECART consideration. ACART made this proposal because it believed </w:t>
      </w:r>
      <w:r>
        <w:rPr>
          <w:rFonts w:eastAsia="Calibri"/>
        </w:rPr>
        <w:t xml:space="preserve">the risks associated with </w:t>
      </w:r>
      <w:r w:rsidRPr="008E5917">
        <w:rPr>
          <w:rFonts w:eastAsia="Calibri"/>
        </w:rPr>
        <w:t>such donations would most appropriately</w:t>
      </w:r>
      <w:r>
        <w:rPr>
          <w:rFonts w:eastAsia="Calibri"/>
        </w:rPr>
        <w:t xml:space="preserve"> be</w:t>
      </w:r>
      <w:r w:rsidRPr="008E5917">
        <w:rPr>
          <w:rFonts w:eastAsia="Calibri"/>
        </w:rPr>
        <w:t xml:space="preserve"> managed by ECART </w:t>
      </w:r>
      <w:r>
        <w:rPr>
          <w:rFonts w:eastAsia="Calibri"/>
        </w:rPr>
        <w:t>and</w:t>
      </w:r>
      <w:r w:rsidRPr="008E5917">
        <w:rPr>
          <w:rFonts w:eastAsia="Calibri"/>
        </w:rPr>
        <w:t xml:space="preserve"> the </w:t>
      </w:r>
      <w:r>
        <w:rPr>
          <w:rFonts w:eastAsia="Calibri"/>
        </w:rPr>
        <w:t xml:space="preserve">existing </w:t>
      </w:r>
      <w:r w:rsidRPr="008E5917">
        <w:rPr>
          <w:rFonts w:eastAsia="Calibri"/>
        </w:rPr>
        <w:t xml:space="preserve">guidelines did not require all </w:t>
      </w:r>
      <w:r>
        <w:rPr>
          <w:rFonts w:eastAsia="Calibri"/>
        </w:rPr>
        <w:t xml:space="preserve">such </w:t>
      </w:r>
      <w:r w:rsidRPr="008E5917">
        <w:rPr>
          <w:rFonts w:eastAsia="Calibri"/>
        </w:rPr>
        <w:t>donations to be considered by ECART.</w:t>
      </w:r>
    </w:p>
    <w:p w14:paraId="38D16AC7" w14:textId="77777777" w:rsidR="00547D02" w:rsidRDefault="00547D02" w:rsidP="00607C6F">
      <w:pPr>
        <w:pStyle w:val="Number"/>
        <w:rPr>
          <w:rFonts w:eastAsia="Calibri"/>
        </w:rPr>
      </w:pPr>
      <w:r w:rsidRPr="00CA6B52">
        <w:rPr>
          <w:rFonts w:eastAsia="Calibri"/>
        </w:rPr>
        <w:t>ACART removed that proposal</w:t>
      </w:r>
      <w:r>
        <w:rPr>
          <w:rFonts w:eastAsia="Calibri"/>
        </w:rPr>
        <w:t xml:space="preserve"> in</w:t>
      </w:r>
      <w:r w:rsidRPr="00CA6B52">
        <w:rPr>
          <w:rFonts w:eastAsia="Calibri"/>
        </w:rPr>
        <w:t xml:space="preserve"> its </w:t>
      </w:r>
      <w:r>
        <w:rPr>
          <w:rFonts w:eastAsia="Calibri"/>
        </w:rPr>
        <w:t>second</w:t>
      </w:r>
      <w:r w:rsidRPr="00CA6B52">
        <w:rPr>
          <w:rFonts w:eastAsia="Calibri"/>
        </w:rPr>
        <w:t xml:space="preserve"> </w:t>
      </w:r>
      <w:r>
        <w:rPr>
          <w:rFonts w:eastAsia="Calibri"/>
        </w:rPr>
        <w:t xml:space="preserve">(2019) </w:t>
      </w:r>
      <w:r w:rsidRPr="00CA6B52">
        <w:rPr>
          <w:rFonts w:eastAsia="Calibri"/>
        </w:rPr>
        <w:t>consultation, as</w:t>
      </w:r>
      <w:r>
        <w:rPr>
          <w:rFonts w:eastAsia="Calibri"/>
        </w:rPr>
        <w:t xml:space="preserve"> it agreed with </w:t>
      </w:r>
      <w:r w:rsidRPr="00CA6B52">
        <w:rPr>
          <w:rFonts w:eastAsia="Calibri"/>
        </w:rPr>
        <w:t>submi</w:t>
      </w:r>
      <w:r>
        <w:rPr>
          <w:rFonts w:eastAsia="Calibri"/>
        </w:rPr>
        <w:t>tters</w:t>
      </w:r>
      <w:r w:rsidR="000A0B49">
        <w:rPr>
          <w:rFonts w:eastAsia="Calibri"/>
        </w:rPr>
        <w:t>’</w:t>
      </w:r>
      <w:r>
        <w:rPr>
          <w:rFonts w:eastAsia="Calibri"/>
        </w:rPr>
        <w:t xml:space="preserve"> views </w:t>
      </w:r>
      <w:r w:rsidRPr="00CA6B52">
        <w:rPr>
          <w:rFonts w:eastAsia="Calibri"/>
        </w:rPr>
        <w:t xml:space="preserve">that such a requirement was unnecessary </w:t>
      </w:r>
      <w:r>
        <w:rPr>
          <w:rFonts w:eastAsia="Calibri"/>
        </w:rPr>
        <w:t xml:space="preserve">and </w:t>
      </w:r>
      <w:r w:rsidRPr="00CA6B52">
        <w:rPr>
          <w:rFonts w:eastAsia="Calibri"/>
        </w:rPr>
        <w:t xml:space="preserve">would </w:t>
      </w:r>
      <w:r>
        <w:rPr>
          <w:rFonts w:eastAsia="Calibri"/>
        </w:rPr>
        <w:t>cause</w:t>
      </w:r>
      <w:r w:rsidRPr="00CA6B52">
        <w:rPr>
          <w:rFonts w:eastAsia="Calibri"/>
        </w:rPr>
        <w:t xml:space="preserve"> practical problems. AC</w:t>
      </w:r>
      <w:r>
        <w:rPr>
          <w:rFonts w:eastAsia="Calibri"/>
        </w:rPr>
        <w:t>A</w:t>
      </w:r>
      <w:r w:rsidRPr="00CA6B52">
        <w:rPr>
          <w:rFonts w:eastAsia="Calibri"/>
        </w:rPr>
        <w:t>RT</w:t>
      </w:r>
      <w:r w:rsidR="000A0B49">
        <w:rPr>
          <w:rFonts w:eastAsia="Calibri"/>
        </w:rPr>
        <w:t>’</w:t>
      </w:r>
      <w:r w:rsidRPr="00CA6B52">
        <w:rPr>
          <w:rFonts w:eastAsia="Calibri"/>
        </w:rPr>
        <w:t>s 2019 consultation extended the list of prohibited family gamete donations (between family members who are closely genetically related) and strengthened the provisions for undue influence and intergenerational effects.</w:t>
      </w:r>
    </w:p>
    <w:p w14:paraId="54FA2032" w14:textId="77777777" w:rsidR="00547D02" w:rsidRDefault="00547D02" w:rsidP="00607C6F">
      <w:pPr>
        <w:rPr>
          <w:rFonts w:eastAsia="Calibri"/>
        </w:rPr>
      </w:pPr>
    </w:p>
    <w:p w14:paraId="1AB1F815" w14:textId="77777777" w:rsidR="00547D02" w:rsidRPr="00960CCE" w:rsidRDefault="00547D02" w:rsidP="00607C6F">
      <w:pPr>
        <w:pStyle w:val="Heading3"/>
        <w:rPr>
          <w:rFonts w:eastAsia="Calibri"/>
        </w:rPr>
      </w:pPr>
      <w:r w:rsidRPr="00960CCE">
        <w:rPr>
          <w:rFonts w:eastAsia="Calibri"/>
        </w:rPr>
        <w:t xml:space="preserve">Benefits </w:t>
      </w:r>
      <w:r>
        <w:rPr>
          <w:rFonts w:eastAsia="Calibri"/>
        </w:rPr>
        <w:t>of the changes</w:t>
      </w:r>
    </w:p>
    <w:p w14:paraId="3886EFE8" w14:textId="77777777" w:rsidR="00547D02" w:rsidRDefault="00547D02" w:rsidP="00607C6F">
      <w:pPr>
        <w:pStyle w:val="Number"/>
        <w:rPr>
          <w:rFonts w:eastAsia="Calibri"/>
        </w:rPr>
      </w:pPr>
      <w:r>
        <w:rPr>
          <w:rFonts w:eastAsia="Calibri"/>
        </w:rPr>
        <w:t xml:space="preserve">The strengthened provision for intergenerational effects reduces risks such as </w:t>
      </w:r>
      <w:r w:rsidRPr="00C014AE">
        <w:rPr>
          <w:rFonts w:eastAsia="Calibri"/>
        </w:rPr>
        <w:t>confusion about relationships</w:t>
      </w:r>
      <w:r>
        <w:rPr>
          <w:rFonts w:eastAsia="Calibri"/>
        </w:rPr>
        <w:t xml:space="preserve">. </w:t>
      </w:r>
      <w:r w:rsidRPr="008C29CD">
        <w:rPr>
          <w:rFonts w:eastAsia="Calibri"/>
        </w:rPr>
        <w:t>Change</w:t>
      </w:r>
      <w:r>
        <w:rPr>
          <w:rFonts w:eastAsia="Calibri"/>
        </w:rPr>
        <w:t xml:space="preserve"> 8 elaborates on the new provision that is specifically about undue influence.</w:t>
      </w:r>
    </w:p>
    <w:p w14:paraId="2BAE6C8D" w14:textId="77777777" w:rsidR="00547D02" w:rsidRDefault="00547D02" w:rsidP="00607C6F">
      <w:pPr>
        <w:pStyle w:val="Number"/>
        <w:rPr>
          <w:rFonts w:eastAsia="Calibri"/>
        </w:rPr>
      </w:pPr>
      <w:r>
        <w:rPr>
          <w:rFonts w:eastAsia="Calibri"/>
        </w:rPr>
        <w:t xml:space="preserve">The extended </w:t>
      </w:r>
      <w:r w:rsidRPr="00AB0495">
        <w:rPr>
          <w:rFonts w:eastAsia="Calibri"/>
        </w:rPr>
        <w:t>list of prohibited donations minimise</w:t>
      </w:r>
      <w:r>
        <w:rPr>
          <w:rFonts w:eastAsia="Calibri"/>
        </w:rPr>
        <w:t>s</w:t>
      </w:r>
      <w:r w:rsidRPr="00AB0495">
        <w:rPr>
          <w:rFonts w:eastAsia="Calibri"/>
        </w:rPr>
        <w:t xml:space="preserve"> the risk of cons</w:t>
      </w:r>
      <w:r>
        <w:rPr>
          <w:rFonts w:eastAsia="Calibri"/>
        </w:rPr>
        <w:t>anguinity (blood relati</w:t>
      </w:r>
      <w:r w:rsidRPr="00EA1DE2">
        <w:rPr>
          <w:rStyle w:val="NumberChar"/>
          <w:rFonts w:eastAsia="Calibri"/>
        </w:rPr>
        <w:t>o</w:t>
      </w:r>
      <w:r>
        <w:rPr>
          <w:rFonts w:eastAsia="Calibri"/>
        </w:rPr>
        <w:t>nships).</w:t>
      </w:r>
    </w:p>
    <w:p w14:paraId="5D872BD2" w14:textId="77777777" w:rsidR="00547D02" w:rsidRPr="001740B5" w:rsidRDefault="00547D02" w:rsidP="00F42743">
      <w:pPr>
        <w:rPr>
          <w:rFonts w:eastAsia="Calibri"/>
        </w:rPr>
      </w:pPr>
    </w:p>
    <w:p w14:paraId="25A905E3" w14:textId="77777777" w:rsidR="00547D02" w:rsidRPr="00E406BA" w:rsidRDefault="00547D02" w:rsidP="00F42743">
      <w:pPr>
        <w:pStyle w:val="Heading3"/>
      </w:pPr>
      <w:r w:rsidRPr="00E406BA">
        <w:rPr>
          <w:rFonts w:eastAsia="Calibri"/>
        </w:rPr>
        <w:t>Risks</w:t>
      </w:r>
      <w:r w:rsidRPr="00E406BA">
        <w:t xml:space="preserve"> of the changes</w:t>
      </w:r>
    </w:p>
    <w:p w14:paraId="60538CD6" w14:textId="77777777" w:rsidR="00547D02" w:rsidRDefault="00547D02" w:rsidP="00F42743">
      <w:pPr>
        <w:pStyle w:val="Number"/>
      </w:pPr>
      <w:r>
        <w:rPr>
          <w:rFonts w:eastAsia="Calibri"/>
        </w:rPr>
        <w:t>ACART did not identify any</w:t>
      </w:r>
      <w:r>
        <w:t xml:space="preserve"> risks associated with extending the list of prohibited donations, and submitters did not raise any.</w:t>
      </w:r>
    </w:p>
    <w:p w14:paraId="004ED080" w14:textId="77777777" w:rsidR="00547D02" w:rsidRDefault="00547D02" w:rsidP="00F42743"/>
    <w:p w14:paraId="6AA18169" w14:textId="77777777" w:rsidR="00547D02" w:rsidRPr="000E0232" w:rsidRDefault="00547D02" w:rsidP="00F42743">
      <w:pPr>
        <w:pStyle w:val="Heading3"/>
        <w:rPr>
          <w:rFonts w:eastAsia="Calibri"/>
        </w:rPr>
      </w:pPr>
      <w:r w:rsidRPr="000E0232">
        <w:rPr>
          <w:rFonts w:eastAsia="Calibri"/>
        </w:rPr>
        <w:lastRenderedPageBreak/>
        <w:t>Submitters</w:t>
      </w:r>
      <w:r w:rsidR="000A0B49">
        <w:rPr>
          <w:rFonts w:eastAsia="Calibri"/>
        </w:rPr>
        <w:t>’</w:t>
      </w:r>
      <w:r w:rsidRPr="000E0232">
        <w:rPr>
          <w:rFonts w:eastAsia="Calibri"/>
        </w:rPr>
        <w:t xml:space="preserve"> views and ACART</w:t>
      </w:r>
      <w:r w:rsidR="000A0B49">
        <w:rPr>
          <w:rFonts w:eastAsia="Calibri"/>
        </w:rPr>
        <w:t>’</w:t>
      </w:r>
      <w:r w:rsidRPr="000E0232">
        <w:rPr>
          <w:rFonts w:eastAsia="Calibri"/>
        </w:rPr>
        <w:t>s assessment of th</w:t>
      </w:r>
      <w:r>
        <w:rPr>
          <w:rFonts w:eastAsia="Calibri"/>
        </w:rPr>
        <w:t>em</w:t>
      </w:r>
    </w:p>
    <w:p w14:paraId="50EE7ADA" w14:textId="77777777" w:rsidR="00547D02" w:rsidRDefault="00547D02" w:rsidP="00C95E25">
      <w:pPr>
        <w:pStyle w:val="Number"/>
        <w:keepLines/>
        <w:rPr>
          <w:rFonts w:eastAsia="Calibri"/>
        </w:rPr>
      </w:pPr>
      <w:r>
        <w:rPr>
          <w:rFonts w:eastAsia="Calibri"/>
        </w:rPr>
        <w:t>In 2017, when responding to ACART</w:t>
      </w:r>
      <w:r w:rsidR="000A0B49">
        <w:rPr>
          <w:rFonts w:eastAsia="Calibri"/>
        </w:rPr>
        <w:t>’</w:t>
      </w:r>
      <w:r>
        <w:rPr>
          <w:rFonts w:eastAsia="Calibri"/>
        </w:rPr>
        <w:t xml:space="preserve">s original proposal to make </w:t>
      </w:r>
      <w:r w:rsidRPr="007A2C01">
        <w:rPr>
          <w:rFonts w:eastAsia="Calibri"/>
          <w:b/>
        </w:rPr>
        <w:t>all</w:t>
      </w:r>
      <w:r>
        <w:rPr>
          <w:rFonts w:eastAsia="Calibri"/>
        </w:rPr>
        <w:t xml:space="preserve"> family gamete donations subject to ECART approval, 10 of the 21</w:t>
      </w:r>
      <w:r w:rsidRPr="004E71AF">
        <w:rPr>
          <w:rFonts w:eastAsia="Calibri"/>
          <w:color w:val="FF0000"/>
        </w:rPr>
        <w:t xml:space="preserve"> </w:t>
      </w:r>
      <w:r>
        <w:rPr>
          <w:rFonts w:eastAsia="Calibri"/>
        </w:rPr>
        <w:t xml:space="preserve">submitters stated </w:t>
      </w:r>
      <w:r w:rsidRPr="006F09A8">
        <w:rPr>
          <w:rFonts w:eastAsia="Calibri"/>
        </w:rPr>
        <w:t xml:space="preserve">that </w:t>
      </w:r>
      <w:r>
        <w:rPr>
          <w:rFonts w:eastAsia="Calibri"/>
        </w:rPr>
        <w:t>the requirement was unneces</w:t>
      </w:r>
      <w:r w:rsidRPr="00367F3F">
        <w:rPr>
          <w:rFonts w:eastAsia="Calibri"/>
        </w:rPr>
        <w:t xml:space="preserve">sary </w:t>
      </w:r>
      <w:r>
        <w:rPr>
          <w:rFonts w:eastAsia="Calibri"/>
        </w:rPr>
        <w:t>and</w:t>
      </w:r>
      <w:r w:rsidRPr="00367F3F">
        <w:rPr>
          <w:rFonts w:eastAsia="Calibri"/>
        </w:rPr>
        <w:t xml:space="preserve"> would </w:t>
      </w:r>
      <w:r>
        <w:rPr>
          <w:rFonts w:eastAsia="Calibri"/>
        </w:rPr>
        <w:t>cause</w:t>
      </w:r>
      <w:r w:rsidRPr="00367F3F">
        <w:rPr>
          <w:rFonts w:eastAsia="Calibri"/>
        </w:rPr>
        <w:t xml:space="preserve"> </w:t>
      </w:r>
      <w:r>
        <w:rPr>
          <w:rFonts w:eastAsia="Calibri"/>
        </w:rPr>
        <w:t xml:space="preserve">practical problems. Those problems were </w:t>
      </w:r>
      <w:r w:rsidRPr="00367F3F">
        <w:rPr>
          <w:rFonts w:eastAsia="Calibri"/>
        </w:rPr>
        <w:t>that ECART</w:t>
      </w:r>
      <w:r w:rsidR="000A0B49">
        <w:rPr>
          <w:rFonts w:eastAsia="Calibri"/>
        </w:rPr>
        <w:t>’</w:t>
      </w:r>
      <w:r w:rsidRPr="00367F3F">
        <w:rPr>
          <w:rFonts w:eastAsia="Calibri"/>
        </w:rPr>
        <w:t xml:space="preserve">s workload </w:t>
      </w:r>
      <w:r>
        <w:rPr>
          <w:rFonts w:eastAsia="Calibri"/>
        </w:rPr>
        <w:t xml:space="preserve">would increase </w:t>
      </w:r>
      <w:r w:rsidRPr="00367F3F">
        <w:rPr>
          <w:rFonts w:eastAsia="Calibri"/>
        </w:rPr>
        <w:t>considerably</w:t>
      </w:r>
      <w:r>
        <w:rPr>
          <w:rFonts w:eastAsia="Calibri"/>
        </w:rPr>
        <w:t xml:space="preserve"> and </w:t>
      </w:r>
      <w:r w:rsidRPr="00367F3F">
        <w:rPr>
          <w:rFonts w:eastAsia="Calibri"/>
        </w:rPr>
        <w:t>create time and financial impediments for the people seeking treatment</w:t>
      </w:r>
      <w:r>
        <w:rPr>
          <w:rFonts w:eastAsia="Calibri"/>
        </w:rPr>
        <w:t>, for a proposal that would simply address what submitters thought was a low-risk activity</w:t>
      </w:r>
      <w:r w:rsidRPr="00367F3F">
        <w:rPr>
          <w:rFonts w:eastAsia="Calibri"/>
        </w:rPr>
        <w:t>.</w:t>
      </w:r>
      <w:r>
        <w:rPr>
          <w:rFonts w:eastAsia="Calibri"/>
        </w:rPr>
        <w:t xml:space="preserve"> Submitters stated that, </w:t>
      </w:r>
      <w:r w:rsidRPr="000E2B52">
        <w:rPr>
          <w:rFonts w:eastAsia="Calibri"/>
        </w:rPr>
        <w:t>in many cases</w:t>
      </w:r>
      <w:r>
        <w:rPr>
          <w:rFonts w:eastAsia="Calibri"/>
        </w:rPr>
        <w:t>,</w:t>
      </w:r>
      <w:r w:rsidRPr="000E2B52">
        <w:rPr>
          <w:rFonts w:eastAsia="Calibri"/>
        </w:rPr>
        <w:t xml:space="preserve"> families would be able to manage risks while in other cases the clinics could manage </w:t>
      </w:r>
      <w:r>
        <w:rPr>
          <w:rFonts w:eastAsia="Calibri"/>
        </w:rPr>
        <w:t>them</w:t>
      </w:r>
      <w:r w:rsidRPr="000E2B52">
        <w:rPr>
          <w:rFonts w:eastAsia="Calibri"/>
        </w:rPr>
        <w:t>.</w:t>
      </w:r>
      <w:r>
        <w:rPr>
          <w:rFonts w:eastAsia="Calibri"/>
        </w:rPr>
        <w:t xml:space="preserve"> Eleven of the 21 supported the proposal.</w:t>
      </w:r>
    </w:p>
    <w:p w14:paraId="67EBE006" w14:textId="77777777" w:rsidR="00547D02" w:rsidRPr="00367F3F" w:rsidRDefault="00547D02" w:rsidP="00F42743">
      <w:pPr>
        <w:pStyle w:val="Number"/>
        <w:rPr>
          <w:rFonts w:eastAsia="Calibri"/>
        </w:rPr>
      </w:pPr>
      <w:r>
        <w:rPr>
          <w:rFonts w:eastAsia="Calibri"/>
        </w:rPr>
        <w:t>Having taken all the submissions into account and having identified alternative ways of addressing the matters raised, ACART changed the proposal.</w:t>
      </w:r>
    </w:p>
    <w:p w14:paraId="5EFE366C" w14:textId="77777777" w:rsidR="00547D02" w:rsidRDefault="00547D02" w:rsidP="00F42743">
      <w:pPr>
        <w:pStyle w:val="Number"/>
        <w:rPr>
          <w:rFonts w:eastAsia="Calibri"/>
        </w:rPr>
      </w:pPr>
      <w:r>
        <w:rPr>
          <w:rFonts w:eastAsia="Calibri"/>
        </w:rPr>
        <w:t>Of the submitters to ACART</w:t>
      </w:r>
      <w:r w:rsidR="000A0B49">
        <w:rPr>
          <w:rFonts w:eastAsia="Calibri"/>
        </w:rPr>
        <w:t>’</w:t>
      </w:r>
      <w:r>
        <w:rPr>
          <w:rFonts w:eastAsia="Calibri"/>
        </w:rPr>
        <w:t xml:space="preserve">s 2019 consultation, 12 commented on the revised proposals for family gamete donations, and all 12 supported them. They noted that undue influence (some submitters referred to </w:t>
      </w:r>
      <w:r w:rsidR="000A0B49">
        <w:rPr>
          <w:rFonts w:eastAsia="Calibri"/>
        </w:rPr>
        <w:t>‘</w:t>
      </w:r>
      <w:r>
        <w:rPr>
          <w:rFonts w:eastAsia="Calibri"/>
        </w:rPr>
        <w:t>coercion</w:t>
      </w:r>
      <w:r w:rsidR="000A0B49">
        <w:rPr>
          <w:rFonts w:eastAsia="Calibri"/>
        </w:rPr>
        <w:t>’</w:t>
      </w:r>
      <w:r>
        <w:rPr>
          <w:rFonts w:eastAsia="Calibri"/>
        </w:rPr>
        <w:t>) can be difficult to identify and they supported attempts to identify and address it. One submitter stated that coercion is more likely to occur in intergenerational settings; ACART has taken this into account in it</w:t>
      </w:r>
      <w:r w:rsidRPr="00A77C21">
        <w:rPr>
          <w:rFonts w:eastAsia="Calibri"/>
        </w:rPr>
        <w:t>s final provisions for family gamete donations.</w:t>
      </w:r>
    </w:p>
    <w:p w14:paraId="597AAAD2" w14:textId="77777777" w:rsidR="00547D02" w:rsidRDefault="00547D02" w:rsidP="00F42743">
      <w:pPr>
        <w:pStyle w:val="Number"/>
        <w:rPr>
          <w:rFonts w:eastAsia="Calibri"/>
        </w:rPr>
      </w:pPr>
      <w:r>
        <w:rPr>
          <w:rFonts w:eastAsia="Calibri"/>
        </w:rPr>
        <w:t xml:space="preserve">ACART concluded it could proceed with the proposal </w:t>
      </w:r>
      <w:proofErr w:type="gramStart"/>
      <w:r>
        <w:rPr>
          <w:rFonts w:eastAsia="Calibri"/>
        </w:rPr>
        <w:t>and also</w:t>
      </w:r>
      <w:proofErr w:type="gramEnd"/>
      <w:r>
        <w:rPr>
          <w:rFonts w:eastAsia="Calibri"/>
        </w:rPr>
        <w:t xml:space="preserve"> decided to add narrative to the supplementary information it is going to provide for ECART and clinics. The narrative will state that clinics can seek an ethical review from ECART if they have a case for an established procedure where they believe additional expert consideration would be beneficial.</w:t>
      </w:r>
    </w:p>
    <w:p w14:paraId="51F80F1B" w14:textId="77777777" w:rsidR="00547D02" w:rsidRDefault="00547D02" w:rsidP="00F42743">
      <w:pPr>
        <w:pStyle w:val="Number"/>
        <w:rPr>
          <w:rFonts w:eastAsia="Calibri"/>
        </w:rPr>
      </w:pPr>
      <w:r>
        <w:rPr>
          <w:rFonts w:eastAsia="Calibri"/>
        </w:rPr>
        <w:t>Other ethical matters of importance to the donation of gametes between family members include potential confusion about relationships. ACART believes the counselling process adequately manages that risk.</w:t>
      </w:r>
    </w:p>
    <w:p w14:paraId="34687053" w14:textId="77777777" w:rsidR="00547D02" w:rsidRDefault="00547D02" w:rsidP="00F42743">
      <w:pPr>
        <w:rPr>
          <w:rFonts w:eastAsia="Calibri"/>
        </w:rPr>
      </w:pPr>
    </w:p>
    <w:p w14:paraId="25AA011D" w14:textId="77777777" w:rsidR="00547D02" w:rsidRPr="00B5328F" w:rsidRDefault="00547D02" w:rsidP="00F42743">
      <w:pPr>
        <w:pStyle w:val="Heading3"/>
        <w:rPr>
          <w:rFonts w:eastAsia="Calibri"/>
        </w:rPr>
      </w:pPr>
      <w:r w:rsidRPr="00B5328F">
        <w:rPr>
          <w:rFonts w:eastAsia="Calibri"/>
        </w:rPr>
        <w:t>No change need</w:t>
      </w:r>
      <w:r>
        <w:rPr>
          <w:rFonts w:eastAsia="Calibri"/>
        </w:rPr>
        <w:t>ed</w:t>
      </w:r>
      <w:r w:rsidRPr="00B5328F">
        <w:rPr>
          <w:rFonts w:eastAsia="Calibri"/>
        </w:rPr>
        <w:t xml:space="preserve"> to the HART Order</w:t>
      </w:r>
    </w:p>
    <w:p w14:paraId="05F96AAA" w14:textId="77777777" w:rsidR="00547D02" w:rsidRPr="00AB0495" w:rsidRDefault="00547D02" w:rsidP="00F42743">
      <w:pPr>
        <w:pStyle w:val="Number"/>
        <w:rPr>
          <w:rFonts w:eastAsia="Calibri"/>
        </w:rPr>
      </w:pPr>
      <w:r w:rsidRPr="00A52595">
        <w:rPr>
          <w:rFonts w:eastAsia="Calibri"/>
        </w:rPr>
        <w:t xml:space="preserve">In </w:t>
      </w:r>
      <w:r>
        <w:rPr>
          <w:rFonts w:eastAsia="Calibri"/>
        </w:rPr>
        <w:t>its</w:t>
      </w:r>
      <w:r w:rsidRPr="00A52595">
        <w:rPr>
          <w:rFonts w:eastAsia="Calibri"/>
        </w:rPr>
        <w:t xml:space="preserve"> 2019 </w:t>
      </w:r>
      <w:r>
        <w:rPr>
          <w:rFonts w:eastAsia="Calibri"/>
        </w:rPr>
        <w:t>consultation document, ACART</w:t>
      </w:r>
      <w:r w:rsidRPr="00A52595">
        <w:rPr>
          <w:rFonts w:eastAsia="Calibri"/>
        </w:rPr>
        <w:t xml:space="preserve"> </w:t>
      </w:r>
      <w:r>
        <w:rPr>
          <w:rFonts w:eastAsia="Calibri"/>
        </w:rPr>
        <w:t>stated</w:t>
      </w:r>
      <w:r w:rsidRPr="00A52595">
        <w:rPr>
          <w:rFonts w:eastAsia="Calibri"/>
        </w:rPr>
        <w:t xml:space="preserve"> that</w:t>
      </w:r>
      <w:r>
        <w:rPr>
          <w:rFonts w:eastAsia="Calibri"/>
        </w:rPr>
        <w:t>,</w:t>
      </w:r>
      <w:r w:rsidRPr="00A52595">
        <w:rPr>
          <w:rFonts w:eastAsia="Calibri"/>
        </w:rPr>
        <w:t xml:space="preserve"> </w:t>
      </w:r>
      <w:r>
        <w:rPr>
          <w:rFonts w:eastAsia="Calibri"/>
        </w:rPr>
        <w:t>to extend the list of prohibited donations,</w:t>
      </w:r>
      <w:r w:rsidRPr="00A52595">
        <w:rPr>
          <w:rFonts w:eastAsia="Calibri"/>
        </w:rPr>
        <w:t xml:space="preserve"> the HART Order </w:t>
      </w:r>
      <w:r>
        <w:rPr>
          <w:rFonts w:eastAsia="Calibri"/>
        </w:rPr>
        <w:t xml:space="preserve">would need to </w:t>
      </w:r>
      <w:r w:rsidRPr="00A52595">
        <w:rPr>
          <w:rFonts w:eastAsia="Calibri"/>
        </w:rPr>
        <w:t xml:space="preserve">be amended. </w:t>
      </w:r>
      <w:r>
        <w:rPr>
          <w:rFonts w:eastAsia="Calibri"/>
        </w:rPr>
        <w:t>However, on receiving further legal advice ACART understands that the policy can be implemented through its guidelines without a change to the HART Order.</w:t>
      </w:r>
    </w:p>
    <w:p w14:paraId="4C7DA6EB" w14:textId="77777777" w:rsidR="00547D02" w:rsidRDefault="00547D02" w:rsidP="00F42743"/>
    <w:p w14:paraId="0B7950D4" w14:textId="77777777" w:rsidR="00547D02" w:rsidRDefault="00547D02" w:rsidP="00F42743">
      <w:pPr>
        <w:pStyle w:val="Heading2"/>
      </w:pPr>
      <w:bookmarkStart w:id="107" w:name="_Toc17118586"/>
      <w:bookmarkStart w:id="108" w:name="_Toc73459728"/>
      <w:r>
        <w:lastRenderedPageBreak/>
        <w:t xml:space="preserve">Change </w:t>
      </w:r>
      <w:r w:rsidRPr="00986EB9">
        <w:t>8</w:t>
      </w:r>
      <w:r>
        <w:t>: Stronger</w:t>
      </w:r>
      <w:r w:rsidRPr="0039695E">
        <w:t xml:space="preserve"> provision</w:t>
      </w:r>
      <w:r>
        <w:t>s</w:t>
      </w:r>
      <w:r w:rsidRPr="0039695E">
        <w:t xml:space="preserve"> </w:t>
      </w:r>
      <w:r>
        <w:t>for managing undue influence</w:t>
      </w:r>
      <w:bookmarkEnd w:id="107"/>
      <w:bookmarkEnd w:id="108"/>
    </w:p>
    <w:p w14:paraId="481E851F" w14:textId="77777777" w:rsidR="00547D02" w:rsidRPr="00DE4B87" w:rsidRDefault="00547D02" w:rsidP="00F42743">
      <w:pPr>
        <w:pStyle w:val="Heading3"/>
        <w:rPr>
          <w:rFonts w:eastAsia="Calibri"/>
        </w:rPr>
      </w:pPr>
      <w:r w:rsidRPr="00DE4B87">
        <w:rPr>
          <w:rFonts w:eastAsia="Calibri"/>
        </w:rPr>
        <w:t>ACART</w:t>
      </w:r>
      <w:r w:rsidR="000A0B49">
        <w:rPr>
          <w:rFonts w:eastAsia="Calibri"/>
        </w:rPr>
        <w:t>’</w:t>
      </w:r>
      <w:r w:rsidRPr="00DE4B87">
        <w:rPr>
          <w:rFonts w:eastAsia="Calibri"/>
        </w:rPr>
        <w:t>s conclusions</w:t>
      </w:r>
      <w:r>
        <w:rPr>
          <w:rFonts w:eastAsia="Calibri"/>
        </w:rPr>
        <w:t>/decisions</w:t>
      </w:r>
    </w:p>
    <w:p w14:paraId="55E5C144" w14:textId="77777777" w:rsidR="00547D02" w:rsidRDefault="00547D02" w:rsidP="00C95E25">
      <w:pPr>
        <w:pStyle w:val="Number"/>
        <w:keepLines/>
        <w:rPr>
          <w:rFonts w:eastAsia="Calibri"/>
        </w:rPr>
      </w:pPr>
      <w:r>
        <w:rPr>
          <w:rFonts w:eastAsia="Calibri"/>
        </w:rPr>
        <w:t xml:space="preserve">ACART has strengthened the provisions for managing undue influence by requiring that </w:t>
      </w:r>
      <w:r w:rsidRPr="00AF1C9F">
        <w:rPr>
          <w:rFonts w:eastAsia="Calibri"/>
        </w:rPr>
        <w:t>ECART must be satisfied</w:t>
      </w:r>
      <w:r>
        <w:rPr>
          <w:rFonts w:eastAsia="Calibri"/>
        </w:rPr>
        <w:t xml:space="preserve"> that nobody has been subject to such influence. ACART has added two provisions: one to the general provisions and one in the provisions for family gamete donations, clearly directing ECART to check for undue influence.</w:t>
      </w:r>
    </w:p>
    <w:p w14:paraId="6A3420B9" w14:textId="77777777" w:rsidR="00547D02" w:rsidRPr="00AF1C9F" w:rsidRDefault="00547D02" w:rsidP="00F42743">
      <w:pPr>
        <w:rPr>
          <w:rFonts w:eastAsia="Calibri"/>
        </w:rPr>
      </w:pPr>
    </w:p>
    <w:p w14:paraId="6CD83CEF" w14:textId="77777777" w:rsidR="00547D02" w:rsidRDefault="00547D02" w:rsidP="005B4BE9">
      <w:pPr>
        <w:pStyle w:val="Heading3"/>
        <w:rPr>
          <w:rFonts w:eastAsia="Calibri"/>
        </w:rPr>
      </w:pPr>
      <w:r w:rsidRPr="00365D29">
        <w:rPr>
          <w:rFonts w:eastAsia="Calibri"/>
        </w:rPr>
        <w:t>The problem</w:t>
      </w:r>
    </w:p>
    <w:p w14:paraId="3EA693F6" w14:textId="77777777" w:rsidR="00547D02" w:rsidRDefault="00547D02" w:rsidP="00122226">
      <w:pPr>
        <w:pStyle w:val="Number"/>
        <w:rPr>
          <w:rFonts w:eastAsia="Calibri"/>
        </w:rPr>
      </w:pPr>
      <w:r>
        <w:rPr>
          <w:rFonts w:eastAsia="Calibri"/>
        </w:rPr>
        <w:t xml:space="preserve">Undue influence could occur in any donation or surrogacy case and could have detrimental effects on some or </w:t>
      </w:r>
      <w:proofErr w:type="gramStart"/>
      <w:r>
        <w:rPr>
          <w:rFonts w:eastAsia="Calibri"/>
        </w:rPr>
        <w:t>all of</w:t>
      </w:r>
      <w:proofErr w:type="gramEnd"/>
      <w:r>
        <w:rPr>
          <w:rFonts w:eastAsia="Calibri"/>
        </w:rPr>
        <w:t xml:space="preserve"> the parties – in particular, parties might make a choice that is not authentically theirs. In some cases, the influence could be strong enough to be considered </w:t>
      </w:r>
      <w:r w:rsidR="000A0B49">
        <w:rPr>
          <w:rFonts w:eastAsia="Calibri"/>
        </w:rPr>
        <w:t>‘</w:t>
      </w:r>
      <w:r>
        <w:rPr>
          <w:rFonts w:eastAsia="Calibri"/>
        </w:rPr>
        <w:t>coercion</w:t>
      </w:r>
      <w:r w:rsidR="000A0B49">
        <w:rPr>
          <w:rFonts w:eastAsia="Calibri"/>
        </w:rPr>
        <w:t>’</w:t>
      </w:r>
      <w:r>
        <w:rPr>
          <w:rFonts w:eastAsia="Calibri"/>
        </w:rPr>
        <w:t>.</w:t>
      </w:r>
      <w:r w:rsidRPr="006721A0">
        <w:rPr>
          <w:rFonts w:eastAsia="Calibri"/>
        </w:rPr>
        <w:t xml:space="preserve"> </w:t>
      </w:r>
      <w:r>
        <w:rPr>
          <w:rFonts w:eastAsia="Calibri"/>
        </w:rPr>
        <w:t xml:space="preserve">By its nature, </w:t>
      </w:r>
      <w:r w:rsidRPr="00BF0DE6">
        <w:rPr>
          <w:rFonts w:eastAsia="Calibri"/>
          <w:b/>
          <w:iCs/>
        </w:rPr>
        <w:t>consent</w:t>
      </w:r>
      <w:r>
        <w:rPr>
          <w:rFonts w:eastAsia="Calibri"/>
        </w:rPr>
        <w:t xml:space="preserve"> must be free of undue influence (or coercion) to be truly informed and </w:t>
      </w:r>
      <w:r w:rsidRPr="006721A0">
        <w:rPr>
          <w:rFonts w:eastAsia="Calibri"/>
        </w:rPr>
        <w:t xml:space="preserve">willingly </w:t>
      </w:r>
      <w:r>
        <w:rPr>
          <w:rFonts w:eastAsia="Calibri"/>
        </w:rPr>
        <w:t>given.</w:t>
      </w:r>
    </w:p>
    <w:p w14:paraId="17871704" w14:textId="77777777" w:rsidR="00547D02" w:rsidRDefault="00547D02" w:rsidP="005B4BE9">
      <w:pPr>
        <w:pStyle w:val="Number"/>
        <w:rPr>
          <w:rFonts w:eastAsia="Calibri"/>
        </w:rPr>
      </w:pPr>
      <w:r>
        <w:rPr>
          <w:rFonts w:eastAsia="Calibri"/>
        </w:rPr>
        <w:t xml:space="preserve">In the </w:t>
      </w:r>
      <w:r w:rsidRPr="008036B7">
        <w:rPr>
          <w:rFonts w:eastAsia="Calibri"/>
        </w:rPr>
        <w:t>previous guidelines</w:t>
      </w:r>
      <w:r>
        <w:rPr>
          <w:rFonts w:eastAsia="Calibri"/>
        </w:rPr>
        <w:t xml:space="preserve"> for embryo donation, t</w:t>
      </w:r>
      <w:r w:rsidRPr="008036B7">
        <w:rPr>
          <w:rFonts w:eastAsia="Calibri"/>
        </w:rPr>
        <w:t xml:space="preserve">he </w:t>
      </w:r>
      <w:r>
        <w:rPr>
          <w:rFonts w:eastAsia="Calibri"/>
        </w:rPr>
        <w:t xml:space="preserve">provisions for undue influence (which refer to it as </w:t>
      </w:r>
      <w:r w:rsidR="000A0B49">
        <w:rPr>
          <w:rFonts w:eastAsia="Calibri"/>
        </w:rPr>
        <w:t>‘</w:t>
      </w:r>
      <w:r>
        <w:rPr>
          <w:rFonts w:eastAsia="Calibri"/>
        </w:rPr>
        <w:t>coercion</w:t>
      </w:r>
      <w:r w:rsidR="000A0B49">
        <w:rPr>
          <w:rFonts w:eastAsia="Calibri"/>
        </w:rPr>
        <w:t>’</w:t>
      </w:r>
      <w:r>
        <w:rPr>
          <w:rFonts w:eastAsia="Calibri"/>
        </w:rPr>
        <w:t xml:space="preserve">) </w:t>
      </w:r>
      <w:r w:rsidRPr="008036B7">
        <w:rPr>
          <w:rFonts w:eastAsia="Calibri"/>
        </w:rPr>
        <w:t xml:space="preserve">may not have been strong enough for ECART to </w:t>
      </w:r>
      <w:r>
        <w:rPr>
          <w:rFonts w:eastAsia="Calibri"/>
        </w:rPr>
        <w:t>check for coercion or undue influence. The guidelines for family gamete donations mentioned coercion but did not explicitly require ECART to check for it. The other relevant guidelines (donated eggs with donated sperm, and surrogacy) did not mention undue influence or coercion despite the possibility of it arising.</w:t>
      </w:r>
    </w:p>
    <w:p w14:paraId="348AB558" w14:textId="77777777" w:rsidR="00547D02" w:rsidRDefault="00547D02" w:rsidP="005B4BE9">
      <w:pPr>
        <w:pStyle w:val="Number"/>
        <w:rPr>
          <w:rFonts w:eastAsia="Calibri"/>
        </w:rPr>
      </w:pPr>
      <w:r w:rsidRPr="006F16B7">
        <w:rPr>
          <w:rFonts w:eastAsia="Calibri"/>
        </w:rPr>
        <w:t>Additionally, now that a surrogate can gestate a child to wh</w:t>
      </w:r>
      <w:r>
        <w:rPr>
          <w:rFonts w:eastAsia="Calibri"/>
        </w:rPr>
        <w:t>om</w:t>
      </w:r>
      <w:r w:rsidRPr="006F16B7">
        <w:rPr>
          <w:rFonts w:eastAsia="Calibri"/>
        </w:rPr>
        <w:t xml:space="preserve"> neither she nor the intending parents have any genetic link, the</w:t>
      </w:r>
      <w:r>
        <w:rPr>
          <w:rFonts w:eastAsia="Calibri"/>
        </w:rPr>
        <w:t xml:space="preserve"> need</w:t>
      </w:r>
      <w:r w:rsidRPr="006F16B7">
        <w:rPr>
          <w:rFonts w:eastAsia="Calibri"/>
        </w:rPr>
        <w:t xml:space="preserve"> </w:t>
      </w:r>
      <w:r>
        <w:rPr>
          <w:rFonts w:eastAsia="Calibri"/>
        </w:rPr>
        <w:t>to carefully manage</w:t>
      </w:r>
      <w:r w:rsidRPr="006F16B7">
        <w:rPr>
          <w:rFonts w:eastAsia="Calibri"/>
        </w:rPr>
        <w:t xml:space="preserve"> the risk of undue influence or coercion in surrogacy cases</w:t>
      </w:r>
      <w:r>
        <w:rPr>
          <w:rFonts w:eastAsia="Calibri"/>
        </w:rPr>
        <w:t xml:space="preserve"> is even greater</w:t>
      </w:r>
      <w:r w:rsidRPr="006F16B7">
        <w:rPr>
          <w:rFonts w:eastAsia="Calibri"/>
        </w:rPr>
        <w:t>.</w:t>
      </w:r>
    </w:p>
    <w:p w14:paraId="485BAFFC" w14:textId="77777777" w:rsidR="00547D02" w:rsidRDefault="00547D02" w:rsidP="005B4BE9">
      <w:pPr>
        <w:rPr>
          <w:rFonts w:eastAsia="Calibri"/>
        </w:rPr>
      </w:pPr>
    </w:p>
    <w:p w14:paraId="007B272D" w14:textId="77777777" w:rsidR="00547D02" w:rsidRPr="007C220A" w:rsidRDefault="00547D02" w:rsidP="005B4BE9">
      <w:pPr>
        <w:pStyle w:val="Heading3"/>
        <w:rPr>
          <w:rFonts w:eastAsia="Calibri"/>
        </w:rPr>
      </w:pPr>
      <w:r w:rsidRPr="007C220A">
        <w:rPr>
          <w:rFonts w:eastAsia="Calibri"/>
        </w:rPr>
        <w:t>ACART</w:t>
      </w:r>
      <w:r w:rsidR="000A0B49">
        <w:rPr>
          <w:rFonts w:eastAsia="Calibri"/>
        </w:rPr>
        <w:t>’</w:t>
      </w:r>
      <w:r w:rsidRPr="007C220A">
        <w:rPr>
          <w:rFonts w:eastAsia="Calibri"/>
        </w:rPr>
        <w:t>s proposal</w:t>
      </w:r>
    </w:p>
    <w:p w14:paraId="0F9A878C" w14:textId="77777777" w:rsidR="00547D02" w:rsidRDefault="00547D02" w:rsidP="005B4BE9">
      <w:pPr>
        <w:pStyle w:val="Number"/>
        <w:rPr>
          <w:rFonts w:eastAsia="Calibri"/>
        </w:rPr>
      </w:pPr>
      <w:r>
        <w:rPr>
          <w:rFonts w:eastAsia="Calibri"/>
        </w:rPr>
        <w:t>ACART</w:t>
      </w:r>
      <w:r w:rsidR="000A0B49">
        <w:rPr>
          <w:rFonts w:eastAsia="Calibri"/>
        </w:rPr>
        <w:t>’</w:t>
      </w:r>
      <w:r>
        <w:rPr>
          <w:rFonts w:eastAsia="Calibri"/>
        </w:rPr>
        <w:t xml:space="preserve">s 2017 consultation proposed </w:t>
      </w:r>
      <w:r w:rsidRPr="00780294">
        <w:rPr>
          <w:rFonts w:eastAsia="Calibri"/>
        </w:rPr>
        <w:t>strengthen</w:t>
      </w:r>
      <w:r>
        <w:rPr>
          <w:rFonts w:eastAsia="Calibri"/>
        </w:rPr>
        <w:t>ing</w:t>
      </w:r>
      <w:r w:rsidRPr="00780294">
        <w:rPr>
          <w:rFonts w:eastAsia="Calibri"/>
        </w:rPr>
        <w:t xml:space="preserve"> the guidelines by explicitly requiring ECART to take account of any factors in a relationship that might lead to c</w:t>
      </w:r>
      <w:r>
        <w:rPr>
          <w:rFonts w:eastAsia="Calibri"/>
        </w:rPr>
        <w:t xml:space="preserve">oercion or unduly influence </w:t>
      </w:r>
      <w:r w:rsidRPr="00780294">
        <w:rPr>
          <w:rFonts w:eastAsia="Calibri"/>
        </w:rPr>
        <w:t xml:space="preserve">a party to </w:t>
      </w:r>
      <w:r>
        <w:rPr>
          <w:rFonts w:eastAsia="Calibri"/>
        </w:rPr>
        <w:t xml:space="preserve">consent to </w:t>
      </w:r>
      <w:r w:rsidRPr="00780294">
        <w:rPr>
          <w:rFonts w:eastAsia="Calibri"/>
        </w:rPr>
        <w:t>a procedure</w:t>
      </w:r>
      <w:r w:rsidRPr="006F16B7">
        <w:rPr>
          <w:rFonts w:eastAsia="Calibri"/>
        </w:rPr>
        <w:t>. Th</w:t>
      </w:r>
      <w:r>
        <w:rPr>
          <w:rFonts w:eastAsia="Calibri"/>
        </w:rPr>
        <w:t>is</w:t>
      </w:r>
      <w:r w:rsidRPr="006F16B7">
        <w:rPr>
          <w:rFonts w:eastAsia="Calibri"/>
        </w:rPr>
        <w:t xml:space="preserve"> provision is </w:t>
      </w:r>
      <w:r>
        <w:rPr>
          <w:rFonts w:eastAsia="Calibri"/>
        </w:rPr>
        <w:t xml:space="preserve">included </w:t>
      </w:r>
      <w:r w:rsidRPr="006F16B7">
        <w:rPr>
          <w:rFonts w:eastAsia="Calibri"/>
        </w:rPr>
        <w:t>in the general requirements for all procedures</w:t>
      </w:r>
      <w:r>
        <w:rPr>
          <w:rFonts w:eastAsia="Calibri"/>
        </w:rPr>
        <w:t xml:space="preserve"> and is also discussed in the 2019 consultation. In the 2019 consultation, the section on family gamete donations</w:t>
      </w:r>
      <w:r w:rsidRPr="00377467">
        <w:rPr>
          <w:rFonts w:eastAsia="Calibri"/>
        </w:rPr>
        <w:t xml:space="preserve"> </w:t>
      </w:r>
      <w:r>
        <w:rPr>
          <w:rFonts w:eastAsia="Calibri"/>
        </w:rPr>
        <w:t xml:space="preserve">included a provision that the parties must not be subject to undue influence, as the risks of undue influence </w:t>
      </w:r>
      <w:r w:rsidRPr="006F16B7">
        <w:rPr>
          <w:rFonts w:eastAsia="Calibri"/>
        </w:rPr>
        <w:t xml:space="preserve">between family members could be exacerbated </w:t>
      </w:r>
      <w:r>
        <w:rPr>
          <w:rFonts w:eastAsia="Calibri"/>
        </w:rPr>
        <w:t>because of their</w:t>
      </w:r>
      <w:r w:rsidRPr="006F16B7">
        <w:rPr>
          <w:rFonts w:eastAsia="Calibri"/>
        </w:rPr>
        <w:t xml:space="preserve"> longstanding relationships, expectations and inability to escape the relationship. In addition, some relationships may </w:t>
      </w:r>
      <w:r>
        <w:rPr>
          <w:rFonts w:eastAsia="Calibri"/>
        </w:rPr>
        <w:t>involve</w:t>
      </w:r>
      <w:r w:rsidRPr="006F16B7">
        <w:rPr>
          <w:rFonts w:eastAsia="Calibri"/>
        </w:rPr>
        <w:t xml:space="preserve"> dependency.</w:t>
      </w:r>
    </w:p>
    <w:p w14:paraId="364EC10E" w14:textId="77777777" w:rsidR="00547D02" w:rsidRDefault="00547D02" w:rsidP="005B4BE9">
      <w:pPr>
        <w:rPr>
          <w:rFonts w:eastAsia="Calibri"/>
        </w:rPr>
      </w:pPr>
    </w:p>
    <w:p w14:paraId="06510819" w14:textId="77777777" w:rsidR="00547D02" w:rsidRDefault="00547D02" w:rsidP="005B4BE9">
      <w:pPr>
        <w:pStyle w:val="Heading3"/>
        <w:rPr>
          <w:rFonts w:eastAsia="Calibri"/>
        </w:rPr>
      </w:pPr>
      <w:r w:rsidRPr="009425B8">
        <w:rPr>
          <w:rFonts w:eastAsia="Calibri"/>
        </w:rPr>
        <w:lastRenderedPageBreak/>
        <w:t>Risks</w:t>
      </w:r>
      <w:r>
        <w:rPr>
          <w:rFonts w:eastAsia="Calibri"/>
        </w:rPr>
        <w:t xml:space="preserve"> of the change</w:t>
      </w:r>
    </w:p>
    <w:p w14:paraId="6DB06652" w14:textId="77777777" w:rsidR="00547D02" w:rsidRDefault="00547D02" w:rsidP="005B4BE9">
      <w:pPr>
        <w:pStyle w:val="Number"/>
        <w:rPr>
          <w:rFonts w:eastAsia="Calibri"/>
        </w:rPr>
      </w:pPr>
      <w:r>
        <w:rPr>
          <w:rFonts w:eastAsia="Calibri"/>
        </w:rPr>
        <w:t>A risk of now more clearly requiring ECART to check for undue influence (or coercion) is that ECA</w:t>
      </w:r>
      <w:r w:rsidRPr="00EA1DE2">
        <w:rPr>
          <w:rStyle w:val="NumberChar"/>
          <w:rFonts w:eastAsia="Calibri"/>
        </w:rPr>
        <w:t>R</w:t>
      </w:r>
      <w:r>
        <w:rPr>
          <w:rFonts w:eastAsia="Calibri"/>
        </w:rPr>
        <w:t>T might interpret a situation that is acceptable to all parties as involving undue influence or coercion. For example, some parties might have social, cultural or family norms that mean they do not view some behaviours or expectations as undue influence (or coercion) whereas ECART could take the opposite view.</w:t>
      </w:r>
    </w:p>
    <w:p w14:paraId="23523D52" w14:textId="77777777" w:rsidR="00547D02" w:rsidRPr="008D14B2" w:rsidRDefault="00547D02" w:rsidP="005B4BE9">
      <w:pPr>
        <w:rPr>
          <w:rFonts w:eastAsia="Calibri"/>
        </w:rPr>
      </w:pPr>
    </w:p>
    <w:p w14:paraId="25072B10" w14:textId="77777777" w:rsidR="00547D02" w:rsidRPr="009A7A44" w:rsidRDefault="00547D02" w:rsidP="005B4BE9">
      <w:pPr>
        <w:pStyle w:val="Heading3"/>
        <w:rPr>
          <w:rFonts w:eastAsia="Calibri"/>
        </w:rPr>
      </w:pPr>
      <w:r w:rsidRPr="009A7A44">
        <w:rPr>
          <w:rFonts w:eastAsia="Calibri"/>
        </w:rPr>
        <w:t>Benefits</w:t>
      </w:r>
      <w:r>
        <w:rPr>
          <w:rFonts w:eastAsia="Calibri"/>
        </w:rPr>
        <w:t xml:space="preserve"> of the change</w:t>
      </w:r>
    </w:p>
    <w:p w14:paraId="1F0BC81A" w14:textId="77777777" w:rsidR="00547D02" w:rsidRDefault="00547D02" w:rsidP="005B4BE9">
      <w:pPr>
        <w:pStyle w:val="Number"/>
        <w:keepLines/>
        <w:rPr>
          <w:rFonts w:eastAsia="Calibri"/>
        </w:rPr>
      </w:pPr>
      <w:r>
        <w:rPr>
          <w:rFonts w:eastAsia="Calibri"/>
        </w:rPr>
        <w:t>The new provisions for undue influence more clearly emphasise the need for ECART to check for it, making it more likely that any potential undue influence will be identified and addressed accordingly. These stronger provisions will increase protection for all parties.</w:t>
      </w:r>
    </w:p>
    <w:p w14:paraId="22084545" w14:textId="77777777" w:rsidR="00547D02" w:rsidRPr="009A7A44" w:rsidRDefault="00547D02" w:rsidP="005B4BE9">
      <w:pPr>
        <w:rPr>
          <w:rFonts w:eastAsia="Calibri"/>
        </w:rPr>
      </w:pPr>
    </w:p>
    <w:p w14:paraId="325627E8" w14:textId="77777777" w:rsidR="00547D02" w:rsidRPr="00E17C87" w:rsidRDefault="00547D02" w:rsidP="005B4BE9">
      <w:pPr>
        <w:pStyle w:val="Heading3"/>
        <w:rPr>
          <w:rFonts w:eastAsia="Calibri"/>
        </w:rPr>
      </w:pPr>
      <w:r w:rsidRPr="00E17C87">
        <w:rPr>
          <w:rFonts w:eastAsia="Calibri"/>
        </w:rPr>
        <w:t>Submitters</w:t>
      </w:r>
      <w:r w:rsidR="000A0B49">
        <w:rPr>
          <w:rFonts w:eastAsia="Calibri"/>
        </w:rPr>
        <w:t>’</w:t>
      </w:r>
      <w:r w:rsidRPr="00E17C87">
        <w:rPr>
          <w:rFonts w:eastAsia="Calibri"/>
        </w:rPr>
        <w:t xml:space="preserve"> views</w:t>
      </w:r>
      <w:r>
        <w:rPr>
          <w:rFonts w:eastAsia="Calibri"/>
        </w:rPr>
        <w:t xml:space="preserve"> and ACART</w:t>
      </w:r>
      <w:r w:rsidR="000A0B49">
        <w:rPr>
          <w:rFonts w:eastAsia="Calibri"/>
        </w:rPr>
        <w:t>’</w:t>
      </w:r>
      <w:r>
        <w:rPr>
          <w:rFonts w:eastAsia="Calibri"/>
        </w:rPr>
        <w:t>s assessment of them</w:t>
      </w:r>
    </w:p>
    <w:p w14:paraId="2E45BFD5" w14:textId="77777777" w:rsidR="000A0B49" w:rsidRDefault="00547D02" w:rsidP="005B4BE9">
      <w:pPr>
        <w:pStyle w:val="Number"/>
        <w:rPr>
          <w:rFonts w:eastAsia="Calibri"/>
        </w:rPr>
      </w:pPr>
      <w:r w:rsidRPr="00CA1526">
        <w:rPr>
          <w:rFonts w:eastAsia="Calibri"/>
        </w:rPr>
        <w:t xml:space="preserve">Almost </w:t>
      </w:r>
      <w:proofErr w:type="gramStart"/>
      <w:r w:rsidRPr="00CA1526">
        <w:rPr>
          <w:rFonts w:eastAsia="Calibri"/>
        </w:rPr>
        <w:t>all of</w:t>
      </w:r>
      <w:proofErr w:type="gramEnd"/>
      <w:r w:rsidRPr="00CA1526">
        <w:rPr>
          <w:rFonts w:eastAsia="Calibri"/>
        </w:rPr>
        <w:t xml:space="preserve"> the submitters who commented on this proposal supported it</w:t>
      </w:r>
      <w:r>
        <w:rPr>
          <w:rFonts w:eastAsia="Calibri"/>
        </w:rPr>
        <w:t>.</w:t>
      </w:r>
      <w:r w:rsidRPr="005B4BE9">
        <w:rPr>
          <w:rStyle w:val="FootnoteReference"/>
          <w:rFonts w:eastAsia="Calibri"/>
        </w:rPr>
        <w:footnoteReference w:id="26"/>
      </w:r>
      <w:r w:rsidRPr="00CA1526">
        <w:rPr>
          <w:rFonts w:eastAsia="Calibri"/>
        </w:rPr>
        <w:t xml:space="preserve"> They noted</w:t>
      </w:r>
      <w:r w:rsidRPr="00810179">
        <w:rPr>
          <w:rFonts w:eastAsia="Calibri"/>
        </w:rPr>
        <w:t xml:space="preserve"> that undue influence or coercion can be difficult to identify and supported steps to identify and address it. One submitter </w:t>
      </w:r>
      <w:r>
        <w:rPr>
          <w:rFonts w:eastAsia="Calibri"/>
        </w:rPr>
        <w:t>stated</w:t>
      </w:r>
      <w:r w:rsidRPr="00810179">
        <w:rPr>
          <w:rFonts w:eastAsia="Calibri"/>
        </w:rPr>
        <w:t xml:space="preserve"> that coercion is more likely to occur in intergenerational settings</w:t>
      </w:r>
      <w:r>
        <w:rPr>
          <w:rFonts w:eastAsia="Calibri"/>
        </w:rPr>
        <w:t>.</w:t>
      </w:r>
      <w:r w:rsidRPr="00810179">
        <w:rPr>
          <w:rFonts w:eastAsia="Calibri"/>
        </w:rPr>
        <w:t xml:space="preserve"> ACART has taken this</w:t>
      </w:r>
      <w:r>
        <w:rPr>
          <w:rFonts w:eastAsia="Calibri"/>
        </w:rPr>
        <w:t xml:space="preserve"> concern</w:t>
      </w:r>
      <w:r w:rsidRPr="00810179">
        <w:rPr>
          <w:rFonts w:eastAsia="Calibri"/>
        </w:rPr>
        <w:t xml:space="preserve"> into account in the provisions for family gamete donations by specifically directing ECART to check </w:t>
      </w:r>
      <w:r>
        <w:rPr>
          <w:rFonts w:eastAsia="Calibri"/>
        </w:rPr>
        <w:t>that parties to a donation are not subject to undue influence.</w:t>
      </w:r>
    </w:p>
    <w:p w14:paraId="44DD0BF8" w14:textId="77777777" w:rsidR="00547D02" w:rsidRDefault="00547D02" w:rsidP="005B4BE9">
      <w:pPr>
        <w:rPr>
          <w:rFonts w:eastAsia="Calibri"/>
        </w:rPr>
      </w:pPr>
    </w:p>
    <w:p w14:paraId="6F210EC5" w14:textId="77777777" w:rsidR="00547D02" w:rsidRPr="00F258F2" w:rsidRDefault="00547D02" w:rsidP="005B4BE9">
      <w:pPr>
        <w:pStyle w:val="Heading3"/>
        <w:rPr>
          <w:rFonts w:eastAsia="Calibri"/>
        </w:rPr>
      </w:pPr>
      <w:r w:rsidRPr="00BF3114">
        <w:rPr>
          <w:rFonts w:eastAsia="Calibri"/>
        </w:rPr>
        <w:t>M</w:t>
      </w:r>
      <w:r w:rsidRPr="000E0232">
        <w:rPr>
          <w:rFonts w:eastAsia="Calibri"/>
        </w:rPr>
        <w:t>ā</w:t>
      </w:r>
      <w:r w:rsidRPr="00BF3114">
        <w:rPr>
          <w:rFonts w:eastAsia="Calibri"/>
        </w:rPr>
        <w:t>ori</w:t>
      </w:r>
      <w:r w:rsidRPr="00F258F2">
        <w:rPr>
          <w:rFonts w:eastAsia="Calibri"/>
        </w:rPr>
        <w:t xml:space="preserve"> interests</w:t>
      </w:r>
      <w:r>
        <w:rPr>
          <w:rFonts w:eastAsia="Calibri"/>
        </w:rPr>
        <w:t>, and consent matters</w:t>
      </w:r>
    </w:p>
    <w:p w14:paraId="62408810" w14:textId="77777777" w:rsidR="00547D02" w:rsidRPr="006721A0" w:rsidRDefault="00547D02" w:rsidP="005B4BE9">
      <w:pPr>
        <w:pStyle w:val="Number"/>
        <w:rPr>
          <w:rFonts w:eastAsia="Calibri"/>
        </w:rPr>
      </w:pPr>
      <w:r w:rsidRPr="00F258F2">
        <w:rPr>
          <w:rFonts w:eastAsia="Calibri"/>
        </w:rPr>
        <w:t>M</w:t>
      </w:r>
      <w:r>
        <w:t>ā</w:t>
      </w:r>
      <w:r w:rsidRPr="00F258F2">
        <w:rPr>
          <w:rFonts w:eastAsia="Calibri"/>
        </w:rPr>
        <w:t xml:space="preserve">ori </w:t>
      </w:r>
      <w:r>
        <w:rPr>
          <w:rFonts w:eastAsia="Calibri"/>
        </w:rPr>
        <w:t>often consider t</w:t>
      </w:r>
      <w:r w:rsidRPr="00F258F2">
        <w:rPr>
          <w:rFonts w:eastAsia="Calibri"/>
        </w:rPr>
        <w:t xml:space="preserve">he use of </w:t>
      </w:r>
      <w:proofErr w:type="spellStart"/>
      <w:r w:rsidRPr="00F258F2">
        <w:rPr>
          <w:rFonts w:eastAsia="Calibri"/>
        </w:rPr>
        <w:t>wh</w:t>
      </w:r>
      <w:r>
        <w:t>ā</w:t>
      </w:r>
      <w:r w:rsidRPr="00F258F2">
        <w:rPr>
          <w:rFonts w:eastAsia="Calibri"/>
        </w:rPr>
        <w:t>ngai</w:t>
      </w:r>
      <w:proofErr w:type="spellEnd"/>
      <w:r w:rsidRPr="00F258F2">
        <w:rPr>
          <w:rFonts w:eastAsia="Calibri"/>
        </w:rPr>
        <w:t xml:space="preserve"> a</w:t>
      </w:r>
      <w:r>
        <w:rPr>
          <w:rFonts w:eastAsia="Calibri"/>
        </w:rPr>
        <w:t>rrangements to be acceptable. It</w:t>
      </w:r>
      <w:r w:rsidRPr="00F258F2">
        <w:rPr>
          <w:rFonts w:eastAsia="Calibri"/>
        </w:rPr>
        <w:t xml:space="preserve"> will be </w:t>
      </w:r>
      <w:r w:rsidRPr="0068272F">
        <w:rPr>
          <w:rFonts w:eastAsia="Calibri"/>
        </w:rPr>
        <w:t xml:space="preserve">important </w:t>
      </w:r>
      <w:r w:rsidRPr="00F258F2">
        <w:rPr>
          <w:rFonts w:eastAsia="Calibri"/>
        </w:rPr>
        <w:t>for counsellors and ECART to be aware that this could be a factor when family members are making certain arrangements for fertility treatment. That is, such arrangements should be assessed on a case</w:t>
      </w:r>
      <w:r>
        <w:rPr>
          <w:rFonts w:eastAsia="Calibri"/>
        </w:rPr>
        <w:t>-</w:t>
      </w:r>
      <w:r w:rsidRPr="00F258F2">
        <w:rPr>
          <w:rFonts w:eastAsia="Calibri"/>
        </w:rPr>
        <w:t>by</w:t>
      </w:r>
      <w:r>
        <w:rPr>
          <w:rFonts w:eastAsia="Calibri"/>
        </w:rPr>
        <w:t>-</w:t>
      </w:r>
      <w:r w:rsidRPr="00F258F2">
        <w:rPr>
          <w:rFonts w:eastAsia="Calibri"/>
        </w:rPr>
        <w:t xml:space="preserve">case basis to ensure that all parties are willingly taking part in </w:t>
      </w:r>
      <w:r>
        <w:rPr>
          <w:rFonts w:eastAsia="Calibri"/>
        </w:rPr>
        <w:t>them</w:t>
      </w:r>
      <w:r w:rsidRPr="00F258F2">
        <w:rPr>
          <w:rFonts w:eastAsia="Calibri"/>
        </w:rPr>
        <w:t>.</w:t>
      </w:r>
    </w:p>
    <w:p w14:paraId="60B0A840" w14:textId="77777777" w:rsidR="00547D02" w:rsidRDefault="00547D02" w:rsidP="005B4BE9">
      <w:pPr>
        <w:pStyle w:val="Number"/>
        <w:rPr>
          <w:rFonts w:eastAsia="Calibri"/>
        </w:rPr>
      </w:pPr>
      <w:r>
        <w:rPr>
          <w:rFonts w:eastAsia="Calibri"/>
        </w:rPr>
        <w:t xml:space="preserve">ACART believes </w:t>
      </w:r>
      <w:r w:rsidRPr="00AE7523">
        <w:rPr>
          <w:rFonts w:eastAsia="Calibri"/>
        </w:rPr>
        <w:t xml:space="preserve">the risk of ECART wrongly concluding that undue influence (or coercion) has been involved is very small. Further, counselling </w:t>
      </w:r>
      <w:r>
        <w:rPr>
          <w:rFonts w:eastAsia="Calibri"/>
        </w:rPr>
        <w:t>will identify</w:t>
      </w:r>
      <w:r w:rsidRPr="00AE7523">
        <w:rPr>
          <w:rFonts w:eastAsia="Calibri"/>
        </w:rPr>
        <w:t xml:space="preserve"> any social</w:t>
      </w:r>
      <w:r>
        <w:rPr>
          <w:rFonts w:eastAsia="Calibri"/>
        </w:rPr>
        <w:t xml:space="preserve">, </w:t>
      </w:r>
      <w:r w:rsidRPr="00AE7523">
        <w:rPr>
          <w:rFonts w:eastAsia="Calibri"/>
        </w:rPr>
        <w:t>cultura</w:t>
      </w:r>
      <w:r>
        <w:rPr>
          <w:rFonts w:eastAsia="Calibri"/>
        </w:rPr>
        <w:t>l or family norms that ECART should consider.</w:t>
      </w:r>
    </w:p>
    <w:p w14:paraId="7433824D" w14:textId="77777777" w:rsidR="00547D02" w:rsidRPr="00D93EFE" w:rsidRDefault="00547D02" w:rsidP="005B4BE9"/>
    <w:p w14:paraId="771AC91E" w14:textId="77777777" w:rsidR="00547D02" w:rsidRPr="00BF0DE6" w:rsidRDefault="00547D02" w:rsidP="005B4BE9">
      <w:pPr>
        <w:pStyle w:val="Heading2"/>
      </w:pPr>
      <w:bookmarkStart w:id="109" w:name="_Toc17118587"/>
      <w:bookmarkStart w:id="110" w:name="_Toc73459729"/>
      <w:r>
        <w:lastRenderedPageBreak/>
        <w:t xml:space="preserve">Change </w:t>
      </w:r>
      <w:r w:rsidRPr="00986EB9">
        <w:t>9</w:t>
      </w:r>
      <w:r>
        <w:t>: T</w:t>
      </w:r>
      <w:r w:rsidRPr="00610A3F">
        <w:t xml:space="preserve">he provisions </w:t>
      </w:r>
      <w:r>
        <w:t xml:space="preserve">about obtaining </w:t>
      </w:r>
      <w:r w:rsidRPr="00610A3F">
        <w:t>legal advice have been rationalised</w:t>
      </w:r>
      <w:bookmarkEnd w:id="109"/>
      <w:bookmarkEnd w:id="110"/>
    </w:p>
    <w:p w14:paraId="59A27B8F" w14:textId="77777777" w:rsidR="00547D02" w:rsidRPr="00DE4B87" w:rsidRDefault="00547D02" w:rsidP="005B4BE9">
      <w:pPr>
        <w:pStyle w:val="Heading3"/>
        <w:rPr>
          <w:rFonts w:eastAsia="Calibri"/>
        </w:rPr>
      </w:pPr>
      <w:r w:rsidRPr="00DE4B87">
        <w:rPr>
          <w:rFonts w:eastAsia="Calibri"/>
        </w:rPr>
        <w:t>ACART</w:t>
      </w:r>
      <w:r w:rsidR="000A0B49">
        <w:rPr>
          <w:rFonts w:eastAsia="Calibri"/>
        </w:rPr>
        <w:t>’</w:t>
      </w:r>
      <w:r w:rsidRPr="00DE4B87">
        <w:rPr>
          <w:rFonts w:eastAsia="Calibri"/>
        </w:rPr>
        <w:t>s conclusions</w:t>
      </w:r>
      <w:r>
        <w:rPr>
          <w:rFonts w:eastAsia="Calibri"/>
        </w:rPr>
        <w:t>/decisions</w:t>
      </w:r>
    </w:p>
    <w:p w14:paraId="496AF9EF" w14:textId="77777777" w:rsidR="00547D02" w:rsidRDefault="00547D02" w:rsidP="00A8454D">
      <w:pPr>
        <w:pStyle w:val="Number"/>
        <w:keepNext/>
        <w:rPr>
          <w:rFonts w:eastAsia="Calibri"/>
        </w:rPr>
      </w:pPr>
      <w:r w:rsidRPr="006721A0">
        <w:rPr>
          <w:rFonts w:eastAsia="Calibri"/>
        </w:rPr>
        <w:t xml:space="preserve">ACART </w:t>
      </w:r>
      <w:r>
        <w:rPr>
          <w:rFonts w:eastAsia="Calibri"/>
        </w:rPr>
        <w:t>has amended guidelines to state that:</w:t>
      </w:r>
    </w:p>
    <w:p w14:paraId="28032FA0" w14:textId="77777777" w:rsidR="00547D02" w:rsidRDefault="00547D02" w:rsidP="00A8454D">
      <w:pPr>
        <w:pStyle w:val="Letter"/>
        <w:keepNext/>
        <w:rPr>
          <w:rFonts w:eastAsia="Calibri"/>
        </w:rPr>
      </w:pPr>
      <w:r>
        <w:rPr>
          <w:rFonts w:eastAsia="Calibri"/>
        </w:rPr>
        <w:t xml:space="preserve">it is mandatory for all the parties to a surrogacy </w:t>
      </w:r>
      <w:r w:rsidRPr="00DE4B87">
        <w:rPr>
          <w:rFonts w:eastAsia="Calibri"/>
        </w:rPr>
        <w:t>to obtain legal advice</w:t>
      </w:r>
    </w:p>
    <w:p w14:paraId="1D46D2E3" w14:textId="77777777" w:rsidR="00547D02" w:rsidRDefault="00547D02" w:rsidP="00A8454D">
      <w:pPr>
        <w:pStyle w:val="Letter"/>
        <w:keepNext/>
        <w:rPr>
          <w:rFonts w:eastAsia="Calibri"/>
        </w:rPr>
      </w:pPr>
      <w:r>
        <w:rPr>
          <w:rFonts w:eastAsia="Calibri"/>
        </w:rPr>
        <w:t>where an application does not include a surrogacy arrangement, each party has considered seeking independent legal advice</w:t>
      </w:r>
    </w:p>
    <w:p w14:paraId="41150610" w14:textId="77777777" w:rsidR="00547D02" w:rsidRDefault="00547D02" w:rsidP="00A8454D">
      <w:pPr>
        <w:pStyle w:val="Letter"/>
        <w:keepNext/>
        <w:rPr>
          <w:rFonts w:eastAsia="Calibri"/>
        </w:rPr>
      </w:pPr>
      <w:r>
        <w:rPr>
          <w:rFonts w:eastAsia="Calibri"/>
        </w:rPr>
        <w:t>any legal reports show that parties understand the legal implications of the procedure(s).</w:t>
      </w:r>
    </w:p>
    <w:p w14:paraId="5E96651C" w14:textId="77777777" w:rsidR="00547D02" w:rsidRDefault="00547D02" w:rsidP="00A8454D">
      <w:pPr>
        <w:rPr>
          <w:rFonts w:eastAsia="Calibri"/>
        </w:rPr>
      </w:pPr>
    </w:p>
    <w:p w14:paraId="4AB1C015" w14:textId="77777777" w:rsidR="00547D02" w:rsidRPr="007C220A" w:rsidRDefault="00547D02" w:rsidP="00A8454D">
      <w:pPr>
        <w:pStyle w:val="Heading3"/>
        <w:rPr>
          <w:rFonts w:eastAsia="Calibri"/>
        </w:rPr>
      </w:pPr>
      <w:r w:rsidRPr="007C220A">
        <w:rPr>
          <w:rFonts w:eastAsia="Calibri"/>
        </w:rPr>
        <w:t>The problem</w:t>
      </w:r>
    </w:p>
    <w:p w14:paraId="2022C876" w14:textId="77777777" w:rsidR="00547D02" w:rsidRDefault="00547D02" w:rsidP="00A8454D">
      <w:pPr>
        <w:pStyle w:val="Number"/>
        <w:rPr>
          <w:rFonts w:eastAsia="Calibri"/>
        </w:rPr>
      </w:pPr>
      <w:r>
        <w:rPr>
          <w:rFonts w:eastAsia="Calibri"/>
        </w:rPr>
        <w:t xml:space="preserve">In the previous guidelines for surrogacy and embryo donation, </w:t>
      </w:r>
      <w:r w:rsidRPr="00610A3F">
        <w:rPr>
          <w:rFonts w:eastAsia="Calibri"/>
        </w:rPr>
        <w:t>provision</w:t>
      </w:r>
      <w:r>
        <w:rPr>
          <w:rFonts w:eastAsia="Calibri"/>
        </w:rPr>
        <w:t>s required all parties involved to obtain, and have understood, legal advice. T</w:t>
      </w:r>
      <w:r w:rsidRPr="00610A3F">
        <w:rPr>
          <w:rFonts w:eastAsia="Calibri"/>
        </w:rPr>
        <w:t>his requirement was difficult to enforce</w:t>
      </w:r>
      <w:r>
        <w:rPr>
          <w:rFonts w:eastAsia="Calibri"/>
        </w:rPr>
        <w:t xml:space="preserve"> as counsellors could never be completely certain that a person had fully understood any legal advice</w:t>
      </w:r>
      <w:r w:rsidRPr="00610A3F">
        <w:rPr>
          <w:rFonts w:eastAsia="Calibri"/>
        </w:rPr>
        <w:t>.</w:t>
      </w:r>
    </w:p>
    <w:p w14:paraId="717120BE" w14:textId="77777777" w:rsidR="00547D02" w:rsidRDefault="00547D02" w:rsidP="00A8454D">
      <w:pPr>
        <w:rPr>
          <w:rFonts w:eastAsia="Calibri"/>
        </w:rPr>
      </w:pPr>
    </w:p>
    <w:p w14:paraId="1C021CFA" w14:textId="77777777" w:rsidR="00547D02" w:rsidRPr="007C220A" w:rsidRDefault="00547D02" w:rsidP="00A8454D">
      <w:pPr>
        <w:pStyle w:val="Heading3"/>
        <w:rPr>
          <w:rFonts w:eastAsia="Calibri"/>
        </w:rPr>
      </w:pPr>
      <w:r w:rsidRPr="007C220A">
        <w:rPr>
          <w:rFonts w:eastAsia="Calibri"/>
        </w:rPr>
        <w:t>ACART</w:t>
      </w:r>
      <w:r w:rsidR="000A0B49">
        <w:rPr>
          <w:rFonts w:eastAsia="Calibri"/>
        </w:rPr>
        <w:t>’</w:t>
      </w:r>
      <w:r w:rsidRPr="007C220A">
        <w:rPr>
          <w:rFonts w:eastAsia="Calibri"/>
        </w:rPr>
        <w:t>s initial proposal</w:t>
      </w:r>
    </w:p>
    <w:p w14:paraId="181E515B" w14:textId="77777777" w:rsidR="00547D02" w:rsidRDefault="00547D02" w:rsidP="00A8454D">
      <w:pPr>
        <w:pStyle w:val="Number"/>
        <w:rPr>
          <w:rFonts w:eastAsia="Calibri"/>
        </w:rPr>
      </w:pPr>
      <w:r>
        <w:rPr>
          <w:rFonts w:eastAsia="Calibri"/>
        </w:rPr>
        <w:t>ACART</w:t>
      </w:r>
      <w:r w:rsidR="000A0B49">
        <w:rPr>
          <w:rFonts w:eastAsia="Calibri"/>
        </w:rPr>
        <w:t>’</w:t>
      </w:r>
      <w:r>
        <w:rPr>
          <w:rFonts w:eastAsia="Calibri"/>
        </w:rPr>
        <w:t>s 2017 consultation proposed that, i</w:t>
      </w:r>
      <w:r w:rsidRPr="00610A3F">
        <w:rPr>
          <w:rFonts w:eastAsia="Calibri"/>
        </w:rPr>
        <w:t xml:space="preserve">n cases involving surrogacy, the affected parties </w:t>
      </w:r>
      <w:r>
        <w:rPr>
          <w:rFonts w:eastAsia="Calibri"/>
        </w:rPr>
        <w:t xml:space="preserve">must have obtained </w:t>
      </w:r>
      <w:r w:rsidRPr="00610A3F">
        <w:rPr>
          <w:rFonts w:eastAsia="Calibri"/>
        </w:rPr>
        <w:t>legal advice</w:t>
      </w:r>
      <w:r>
        <w:rPr>
          <w:rFonts w:eastAsia="Calibri"/>
        </w:rPr>
        <w:t>. I</w:t>
      </w:r>
      <w:r w:rsidRPr="00610A3F">
        <w:rPr>
          <w:rFonts w:eastAsia="Calibri"/>
        </w:rPr>
        <w:t xml:space="preserve">n cases </w:t>
      </w:r>
      <w:r w:rsidRPr="00BF0DE6">
        <w:rPr>
          <w:rFonts w:eastAsia="Calibri"/>
        </w:rPr>
        <w:t>not</w:t>
      </w:r>
      <w:r w:rsidRPr="00610A3F">
        <w:rPr>
          <w:rFonts w:eastAsia="Calibri"/>
        </w:rPr>
        <w:t xml:space="preserve"> involving surrogacy, </w:t>
      </w:r>
      <w:r>
        <w:rPr>
          <w:rFonts w:eastAsia="Calibri"/>
        </w:rPr>
        <w:t xml:space="preserve">it proposed </w:t>
      </w:r>
      <w:r w:rsidRPr="00610A3F">
        <w:rPr>
          <w:rFonts w:eastAsia="Calibri"/>
        </w:rPr>
        <w:t>ECART must be satisfied that the affected parties have considered seeking legal advice</w:t>
      </w:r>
      <w:r>
        <w:rPr>
          <w:rFonts w:eastAsia="Calibri"/>
        </w:rPr>
        <w:t>.</w:t>
      </w:r>
    </w:p>
    <w:p w14:paraId="5E23BBD1" w14:textId="77777777" w:rsidR="00547D02" w:rsidRPr="00610A3F" w:rsidRDefault="00547D02" w:rsidP="00A8454D">
      <w:pPr>
        <w:rPr>
          <w:rFonts w:eastAsia="Calibri"/>
        </w:rPr>
      </w:pPr>
    </w:p>
    <w:p w14:paraId="1BE91DC4" w14:textId="77777777" w:rsidR="00547D02" w:rsidRPr="009425B8" w:rsidRDefault="00547D02" w:rsidP="00A8454D">
      <w:pPr>
        <w:pStyle w:val="Heading3"/>
        <w:rPr>
          <w:rFonts w:eastAsia="Calibri"/>
        </w:rPr>
      </w:pPr>
      <w:r w:rsidRPr="009425B8">
        <w:rPr>
          <w:rFonts w:eastAsia="Calibri"/>
        </w:rPr>
        <w:t>Risks</w:t>
      </w:r>
      <w:r>
        <w:rPr>
          <w:rFonts w:eastAsia="Calibri"/>
        </w:rPr>
        <w:t xml:space="preserve"> of the change</w:t>
      </w:r>
    </w:p>
    <w:p w14:paraId="59279DB3" w14:textId="77777777" w:rsidR="00547D02" w:rsidRDefault="00547D02" w:rsidP="00A8454D">
      <w:pPr>
        <w:pStyle w:val="Number"/>
        <w:rPr>
          <w:rFonts w:eastAsia="Calibri"/>
        </w:rPr>
      </w:pPr>
      <w:r>
        <w:rPr>
          <w:rFonts w:eastAsia="Calibri"/>
        </w:rPr>
        <w:t xml:space="preserve">In cases involving surrogacy, the risks of requiring parties to obtain legal advice are that the parties may experience stress, delays in treatment, and financial costs. In cases </w:t>
      </w:r>
      <w:r w:rsidRPr="00096A2F">
        <w:rPr>
          <w:rFonts w:eastAsia="Calibri"/>
        </w:rPr>
        <w:t>other than surrogacy</w:t>
      </w:r>
      <w:r>
        <w:rPr>
          <w:rFonts w:eastAsia="Calibri"/>
        </w:rPr>
        <w:t xml:space="preserve"> (including embryo donation), the risks of making legal advice optional are that parties might not obtain legal advice and then encounter legal implications that they have not anticipated. T</w:t>
      </w:r>
      <w:r w:rsidRPr="00610A3F">
        <w:rPr>
          <w:rFonts w:eastAsia="Calibri"/>
        </w:rPr>
        <w:t xml:space="preserve">he legal implications are </w:t>
      </w:r>
      <w:r>
        <w:rPr>
          <w:rFonts w:eastAsia="Calibri"/>
        </w:rPr>
        <w:t xml:space="preserve">likely to be </w:t>
      </w:r>
      <w:r w:rsidRPr="00610A3F">
        <w:rPr>
          <w:rFonts w:eastAsia="Calibri"/>
        </w:rPr>
        <w:t>simpler</w:t>
      </w:r>
      <w:r>
        <w:rPr>
          <w:rFonts w:eastAsia="Calibri"/>
        </w:rPr>
        <w:t xml:space="preserve"> in cases that do not involve surrogacy than in surrogacy cases.</w:t>
      </w:r>
    </w:p>
    <w:p w14:paraId="5FD9D064" w14:textId="77777777" w:rsidR="00547D02" w:rsidRDefault="00547D02" w:rsidP="00A8454D">
      <w:pPr>
        <w:rPr>
          <w:rFonts w:eastAsia="Calibri"/>
        </w:rPr>
      </w:pPr>
    </w:p>
    <w:p w14:paraId="421C698A" w14:textId="77777777" w:rsidR="00547D02" w:rsidRPr="009A7A44" w:rsidRDefault="00547D02" w:rsidP="00A8454D">
      <w:pPr>
        <w:pStyle w:val="Heading3"/>
        <w:rPr>
          <w:rFonts w:eastAsia="Calibri"/>
        </w:rPr>
      </w:pPr>
      <w:r w:rsidRPr="009A7A44">
        <w:rPr>
          <w:rFonts w:eastAsia="Calibri"/>
        </w:rPr>
        <w:lastRenderedPageBreak/>
        <w:t>Benefits</w:t>
      </w:r>
      <w:r>
        <w:rPr>
          <w:rFonts w:eastAsia="Calibri"/>
        </w:rPr>
        <w:t xml:space="preserve"> of the change</w:t>
      </w:r>
    </w:p>
    <w:p w14:paraId="5709AB79" w14:textId="77777777" w:rsidR="00547D02" w:rsidRPr="009A7A44" w:rsidRDefault="00547D02" w:rsidP="00A8454D">
      <w:pPr>
        <w:pStyle w:val="Number"/>
        <w:keepLines/>
        <w:rPr>
          <w:rFonts w:eastAsia="Calibri"/>
        </w:rPr>
      </w:pPr>
      <w:r w:rsidRPr="009A7A44">
        <w:rPr>
          <w:rFonts w:eastAsia="Calibri"/>
        </w:rPr>
        <w:t xml:space="preserve">When a child is born from a surrogacy, the surrogate is the legal mother and legal parenthood </w:t>
      </w:r>
      <w:r>
        <w:rPr>
          <w:rFonts w:eastAsia="Calibri"/>
        </w:rPr>
        <w:t xml:space="preserve">is transferred </w:t>
      </w:r>
      <w:r w:rsidRPr="009A7A44">
        <w:rPr>
          <w:rFonts w:eastAsia="Calibri"/>
        </w:rPr>
        <w:t xml:space="preserve">to the intending parents by an adoption order issued by the Family Court. It is therefore </w:t>
      </w:r>
      <w:r>
        <w:rPr>
          <w:rFonts w:eastAsia="Calibri"/>
        </w:rPr>
        <w:t>critical</w:t>
      </w:r>
      <w:r w:rsidRPr="009A7A44">
        <w:rPr>
          <w:rFonts w:eastAsia="Calibri"/>
        </w:rPr>
        <w:t xml:space="preserve"> that all affected parties understand the legal implications of surrogacy and adoption, given the interface with the Adoption Act 1955 and the Adult Adoption Information Act 1985.</w:t>
      </w:r>
    </w:p>
    <w:p w14:paraId="290420B8" w14:textId="77777777" w:rsidR="00547D02" w:rsidRDefault="00547D02" w:rsidP="00A8454D">
      <w:pPr>
        <w:pStyle w:val="Number"/>
        <w:rPr>
          <w:rFonts w:eastAsia="Calibri"/>
        </w:rPr>
      </w:pPr>
      <w:r w:rsidRPr="009A7A44">
        <w:rPr>
          <w:rFonts w:eastAsia="Calibri"/>
        </w:rPr>
        <w:t>Where a surrogacy arrangement is not part of a case, the legal parenthood issues are more straightforward</w:t>
      </w:r>
      <w:r>
        <w:rPr>
          <w:rFonts w:eastAsia="Calibri"/>
        </w:rPr>
        <w:t xml:space="preserve"> because the </w:t>
      </w:r>
      <w:r w:rsidRPr="009A7A44">
        <w:rPr>
          <w:rFonts w:eastAsia="Calibri"/>
        </w:rPr>
        <w:t>intending mother gives birth t</w:t>
      </w:r>
      <w:r>
        <w:rPr>
          <w:rFonts w:eastAsia="Calibri"/>
        </w:rPr>
        <w:t>o the child and is the legal mother. As such, parties may have less need to obtain legal advice and so could save time and money by not seeking it.</w:t>
      </w:r>
      <w:r w:rsidRPr="009A7A44">
        <w:rPr>
          <w:rFonts w:eastAsia="Calibri"/>
        </w:rPr>
        <w:t xml:space="preserve"> </w:t>
      </w:r>
      <w:r>
        <w:rPr>
          <w:rFonts w:eastAsia="Calibri"/>
        </w:rPr>
        <w:t>Despite this,</w:t>
      </w:r>
      <w:r w:rsidRPr="009A7A44">
        <w:rPr>
          <w:rFonts w:eastAsia="Calibri"/>
        </w:rPr>
        <w:t xml:space="preserve"> each affected party should have </w:t>
      </w:r>
      <w:r w:rsidRPr="00680D2F">
        <w:rPr>
          <w:rFonts w:eastAsia="Calibri"/>
          <w:b/>
        </w:rPr>
        <w:t>considered</w:t>
      </w:r>
      <w:r w:rsidRPr="009A7A44">
        <w:rPr>
          <w:rFonts w:eastAsia="Calibri"/>
        </w:rPr>
        <w:t xml:space="preserve"> the merits of receiving independent legal advice. </w:t>
      </w:r>
      <w:proofErr w:type="gramStart"/>
      <w:r>
        <w:rPr>
          <w:rFonts w:eastAsia="Calibri"/>
        </w:rPr>
        <w:t>In</w:t>
      </w:r>
      <w:r w:rsidRPr="009A7A44">
        <w:rPr>
          <w:rFonts w:eastAsia="Calibri"/>
        </w:rPr>
        <w:t xml:space="preserve"> particular circumstances</w:t>
      </w:r>
      <w:proofErr w:type="gramEnd"/>
      <w:r>
        <w:rPr>
          <w:rFonts w:eastAsia="Calibri"/>
        </w:rPr>
        <w:t>,</w:t>
      </w:r>
      <w:r w:rsidRPr="009A7A44">
        <w:rPr>
          <w:rFonts w:eastAsia="Calibri"/>
        </w:rPr>
        <w:t xml:space="preserve"> a party</w:t>
      </w:r>
      <w:r>
        <w:rPr>
          <w:rFonts w:eastAsia="Calibri"/>
        </w:rPr>
        <w:t xml:space="preserve"> may</w:t>
      </w:r>
      <w:r w:rsidRPr="009A7A44">
        <w:rPr>
          <w:rFonts w:eastAsia="Calibri"/>
        </w:rPr>
        <w:t xml:space="preserve"> wish to consider any legal issues associated with a procedure, for example, implications for estate planning</w:t>
      </w:r>
      <w:r>
        <w:rPr>
          <w:rFonts w:eastAsia="Calibri"/>
        </w:rPr>
        <w:t>, and the rights (or absence of rights) of embryo donors to offspring living in other families</w:t>
      </w:r>
      <w:r w:rsidRPr="009A7A44">
        <w:rPr>
          <w:rFonts w:eastAsia="Calibri"/>
        </w:rPr>
        <w:t>.</w:t>
      </w:r>
    </w:p>
    <w:p w14:paraId="1E67EB91" w14:textId="77777777" w:rsidR="00547D02" w:rsidRPr="00F40F7B" w:rsidRDefault="00547D02" w:rsidP="00A8454D">
      <w:pPr>
        <w:rPr>
          <w:rFonts w:eastAsia="Calibri"/>
        </w:rPr>
      </w:pPr>
    </w:p>
    <w:p w14:paraId="13C4E069" w14:textId="77777777" w:rsidR="00547D02" w:rsidRPr="00E17C87" w:rsidRDefault="00547D02" w:rsidP="00A8454D">
      <w:pPr>
        <w:pStyle w:val="Heading3"/>
        <w:rPr>
          <w:rFonts w:eastAsia="Calibri"/>
        </w:rPr>
      </w:pPr>
      <w:r w:rsidRPr="00E17C87">
        <w:rPr>
          <w:rFonts w:eastAsia="Calibri"/>
        </w:rPr>
        <w:t>Submitters</w:t>
      </w:r>
      <w:r w:rsidR="000A0B49">
        <w:rPr>
          <w:rFonts w:eastAsia="Calibri"/>
        </w:rPr>
        <w:t>’</w:t>
      </w:r>
      <w:r w:rsidRPr="00E17C87">
        <w:rPr>
          <w:rFonts w:eastAsia="Calibri"/>
        </w:rPr>
        <w:t xml:space="preserve"> views</w:t>
      </w:r>
      <w:r>
        <w:rPr>
          <w:rFonts w:eastAsia="Calibri"/>
        </w:rPr>
        <w:t xml:space="preserve"> and ACART</w:t>
      </w:r>
      <w:r w:rsidR="000A0B49">
        <w:rPr>
          <w:rFonts w:eastAsia="Calibri"/>
        </w:rPr>
        <w:t>’</w:t>
      </w:r>
      <w:r>
        <w:rPr>
          <w:rFonts w:eastAsia="Calibri"/>
        </w:rPr>
        <w:t>s assessment of them</w:t>
      </w:r>
    </w:p>
    <w:p w14:paraId="02E1E19B" w14:textId="77777777" w:rsidR="00547D02" w:rsidRDefault="00547D02" w:rsidP="00A8454D">
      <w:pPr>
        <w:pStyle w:val="Number"/>
        <w:rPr>
          <w:rFonts w:eastAsia="Calibri"/>
        </w:rPr>
      </w:pPr>
      <w:r>
        <w:rPr>
          <w:rFonts w:eastAsia="Calibri"/>
        </w:rPr>
        <w:t>Most submitters (17 of the 19 who responded to ACART</w:t>
      </w:r>
      <w:r w:rsidR="000A0B49">
        <w:rPr>
          <w:rFonts w:eastAsia="Calibri"/>
        </w:rPr>
        <w:t>’</w:t>
      </w:r>
      <w:r>
        <w:rPr>
          <w:rFonts w:eastAsia="Calibri"/>
        </w:rPr>
        <w:t>s 2017 proposal) supported the proposal. One recommended that, when legal advice is required, parties should obtain it before counselling so that the counsellor can ascertain if, or to what extent, the parties understand the legal implications.</w:t>
      </w:r>
    </w:p>
    <w:p w14:paraId="2E98B966" w14:textId="77777777" w:rsidR="00547D02" w:rsidRDefault="00547D02" w:rsidP="00A8454D">
      <w:pPr>
        <w:pStyle w:val="Number"/>
        <w:rPr>
          <w:rFonts w:eastAsia="Calibri"/>
        </w:rPr>
      </w:pPr>
      <w:r>
        <w:rPr>
          <w:rFonts w:eastAsia="Calibri"/>
        </w:rPr>
        <w:t>One submitter opposing the proposal of optional legal advice in cases involving embryo donation suggested that, if the proposal proceeds, a mechanism must be in place to ensure that the parties involved understand they have no legal rights over the resulting children.</w:t>
      </w:r>
    </w:p>
    <w:p w14:paraId="340D397A" w14:textId="77777777" w:rsidR="00547D02" w:rsidRDefault="00547D02" w:rsidP="00A8454D">
      <w:pPr>
        <w:pStyle w:val="Number"/>
        <w:rPr>
          <w:rFonts w:eastAsia="Calibri"/>
        </w:rPr>
      </w:pPr>
      <w:r>
        <w:rPr>
          <w:rFonts w:eastAsia="Calibri"/>
        </w:rPr>
        <w:t>ACART agrees with the submitters</w:t>
      </w:r>
      <w:r w:rsidR="000A0B49">
        <w:rPr>
          <w:rFonts w:eastAsia="Calibri"/>
        </w:rPr>
        <w:t>’</w:t>
      </w:r>
      <w:r>
        <w:rPr>
          <w:rFonts w:eastAsia="Calibri"/>
        </w:rPr>
        <w:t xml:space="preserve"> suggestions and has changed the provisions in the guidelines accordingly. It will also add text to its supplementary advice (which will be issued when the guidelines are published) recommending that clinics and counsellors advise embryo donors that they will have no legal rights over the resulting children, and advise them that any offspring will have a legal right to find out about their genetic parentage through the HART register.</w:t>
      </w:r>
    </w:p>
    <w:p w14:paraId="7A62C95F" w14:textId="77777777" w:rsidR="00547D02" w:rsidRDefault="00547D02" w:rsidP="00A8454D">
      <w:pPr>
        <w:pStyle w:val="Number"/>
        <w:rPr>
          <w:rFonts w:eastAsia="Calibri"/>
        </w:rPr>
      </w:pPr>
      <w:r>
        <w:rPr>
          <w:rFonts w:eastAsia="Calibri"/>
        </w:rPr>
        <w:t>ACART considers that the provisions, in combination with counselling, will manage any risks appropriately, and deliver the benefits envisaged in the proposal.</w:t>
      </w:r>
    </w:p>
    <w:p w14:paraId="3AD4295D" w14:textId="77777777" w:rsidR="00547D02" w:rsidRPr="006F16B7" w:rsidRDefault="00547D02" w:rsidP="00A8454D">
      <w:pPr>
        <w:rPr>
          <w:rFonts w:eastAsia="Calibri"/>
        </w:rPr>
      </w:pPr>
    </w:p>
    <w:p w14:paraId="7843A554" w14:textId="77777777" w:rsidR="00547D02" w:rsidRDefault="00547D02" w:rsidP="00A8454D">
      <w:pPr>
        <w:pStyle w:val="Heading2"/>
      </w:pPr>
      <w:bookmarkStart w:id="111" w:name="_Toc17118588"/>
      <w:bookmarkStart w:id="112" w:name="_Toc73459730"/>
      <w:r>
        <w:lastRenderedPageBreak/>
        <w:t xml:space="preserve">Change </w:t>
      </w:r>
      <w:r w:rsidRPr="00986EB9">
        <w:t>10</w:t>
      </w:r>
      <w:r>
        <w:t xml:space="preserve">: Improved access for </w:t>
      </w:r>
      <w:r w:rsidRPr="0039695E">
        <w:t>donor offspring to in</w:t>
      </w:r>
      <w:r>
        <w:t>formation about their genetic origins</w:t>
      </w:r>
      <w:bookmarkEnd w:id="111"/>
      <w:bookmarkEnd w:id="112"/>
    </w:p>
    <w:p w14:paraId="562A91D5" w14:textId="77777777" w:rsidR="00547D02" w:rsidRPr="00C43E06" w:rsidRDefault="00547D02" w:rsidP="00A8454D">
      <w:pPr>
        <w:pStyle w:val="Heading3"/>
        <w:rPr>
          <w:rFonts w:eastAsia="Calibri"/>
        </w:rPr>
      </w:pPr>
      <w:r w:rsidRPr="00C43E06">
        <w:rPr>
          <w:rFonts w:eastAsia="Calibri"/>
        </w:rPr>
        <w:t>ACART</w:t>
      </w:r>
      <w:r w:rsidR="000A0B49">
        <w:rPr>
          <w:rFonts w:eastAsia="Calibri"/>
        </w:rPr>
        <w:t>’</w:t>
      </w:r>
      <w:r w:rsidRPr="00C43E06">
        <w:rPr>
          <w:rFonts w:eastAsia="Calibri"/>
        </w:rPr>
        <w:t>S conclusions</w:t>
      </w:r>
    </w:p>
    <w:p w14:paraId="3A297E35" w14:textId="77777777" w:rsidR="00547D02" w:rsidRPr="001858DD" w:rsidRDefault="00547D02" w:rsidP="00A8454D">
      <w:pPr>
        <w:pStyle w:val="Number"/>
        <w:rPr>
          <w:rFonts w:eastAsia="Calibri"/>
        </w:rPr>
      </w:pPr>
      <w:r w:rsidRPr="001858DD">
        <w:rPr>
          <w:rFonts w:eastAsia="Calibri"/>
        </w:rPr>
        <w:t xml:space="preserve">ACART has two recommendations for </w:t>
      </w:r>
      <w:r>
        <w:rPr>
          <w:rFonts w:eastAsia="Calibri"/>
        </w:rPr>
        <w:t>extending the information that</w:t>
      </w:r>
      <w:r w:rsidRPr="001858DD">
        <w:rPr>
          <w:rFonts w:eastAsia="Calibri"/>
        </w:rPr>
        <w:t xml:space="preserve"> donor offspring can obtain about their genetic origins. </w:t>
      </w:r>
      <w:r>
        <w:rPr>
          <w:rFonts w:eastAsia="Calibri"/>
        </w:rPr>
        <w:t>It developed the</w:t>
      </w:r>
      <w:r w:rsidRPr="001858DD">
        <w:rPr>
          <w:rFonts w:eastAsia="Calibri"/>
        </w:rPr>
        <w:t xml:space="preserve"> second recommendation after the two rounds of consultation</w:t>
      </w:r>
      <w:r>
        <w:rPr>
          <w:rFonts w:eastAsia="Calibri"/>
        </w:rPr>
        <w:t>; it</w:t>
      </w:r>
      <w:r w:rsidRPr="001858DD">
        <w:rPr>
          <w:rFonts w:eastAsia="Calibri"/>
        </w:rPr>
        <w:t xml:space="preserve"> has not consulted on </w:t>
      </w:r>
      <w:r>
        <w:rPr>
          <w:rFonts w:eastAsia="Calibri"/>
        </w:rPr>
        <w:t xml:space="preserve">this </w:t>
      </w:r>
      <w:proofErr w:type="gramStart"/>
      <w:r>
        <w:rPr>
          <w:rFonts w:eastAsia="Calibri"/>
        </w:rPr>
        <w:t>recommendation</w:t>
      </w:r>
      <w:proofErr w:type="gramEnd"/>
      <w:r>
        <w:rPr>
          <w:rFonts w:eastAsia="Calibri"/>
        </w:rPr>
        <w:t xml:space="preserve"> </w:t>
      </w:r>
      <w:r w:rsidRPr="001858DD">
        <w:rPr>
          <w:rFonts w:eastAsia="Calibri"/>
        </w:rPr>
        <w:t xml:space="preserve">but </w:t>
      </w:r>
      <w:r>
        <w:rPr>
          <w:rFonts w:eastAsia="Calibri"/>
        </w:rPr>
        <w:t xml:space="preserve">it </w:t>
      </w:r>
      <w:r w:rsidRPr="001858DD">
        <w:rPr>
          <w:rFonts w:eastAsia="Calibri"/>
        </w:rPr>
        <w:t>is simply an operational issue with officials at the Department of Internal Affairs.</w:t>
      </w:r>
    </w:p>
    <w:p w14:paraId="64DB8B52" w14:textId="77777777" w:rsidR="00547D02" w:rsidRPr="001858DD" w:rsidRDefault="00547D02" w:rsidP="00A8454D">
      <w:pPr>
        <w:pStyle w:val="Number"/>
        <w:rPr>
          <w:rFonts w:eastAsia="Calibri"/>
        </w:rPr>
      </w:pPr>
      <w:r w:rsidRPr="001858DD">
        <w:rPr>
          <w:rFonts w:eastAsia="Calibri"/>
        </w:rPr>
        <w:t xml:space="preserve">First, ACART recommends </w:t>
      </w:r>
      <w:r>
        <w:rPr>
          <w:rFonts w:eastAsia="Calibri"/>
        </w:rPr>
        <w:t xml:space="preserve">adopting </w:t>
      </w:r>
      <w:r w:rsidRPr="001858DD">
        <w:rPr>
          <w:rFonts w:eastAsia="Calibri"/>
        </w:rPr>
        <w:t>the Law Commission</w:t>
      </w:r>
      <w:r w:rsidR="000A0B49">
        <w:rPr>
          <w:rFonts w:eastAsia="Calibri"/>
        </w:rPr>
        <w:t>’</w:t>
      </w:r>
      <w:r>
        <w:rPr>
          <w:rFonts w:eastAsia="Calibri"/>
        </w:rPr>
        <w:t>s</w:t>
      </w:r>
      <w:r w:rsidRPr="001858DD">
        <w:rPr>
          <w:rFonts w:eastAsia="Calibri"/>
        </w:rPr>
        <w:t xml:space="preserve"> 2005 recommendation </w:t>
      </w:r>
      <w:r>
        <w:rPr>
          <w:rFonts w:eastAsia="Calibri"/>
        </w:rPr>
        <w:t>to amend</w:t>
      </w:r>
      <w:r w:rsidRPr="001858DD">
        <w:rPr>
          <w:rFonts w:eastAsia="Calibri"/>
        </w:rPr>
        <w:t xml:space="preserve"> all birth certificates to include a statement that the Births, Deaths and Marriages register might contain other information that the certificate</w:t>
      </w:r>
      <w:r w:rsidR="000A0B49">
        <w:rPr>
          <w:rFonts w:eastAsia="Calibri"/>
        </w:rPr>
        <w:t>’</w:t>
      </w:r>
      <w:r w:rsidRPr="001858DD">
        <w:rPr>
          <w:rFonts w:eastAsia="Calibri"/>
        </w:rPr>
        <w:t>s owner</w:t>
      </w:r>
      <w:r>
        <w:rPr>
          <w:rFonts w:eastAsia="Calibri"/>
        </w:rPr>
        <w:t xml:space="preserve"> may access</w:t>
      </w:r>
      <w:r w:rsidRPr="001858DD">
        <w:rPr>
          <w:rFonts w:eastAsia="Calibri"/>
        </w:rPr>
        <w:t>.</w:t>
      </w:r>
    </w:p>
    <w:p w14:paraId="557CC159" w14:textId="77777777" w:rsidR="00547D02" w:rsidRDefault="00547D02" w:rsidP="00A8454D">
      <w:pPr>
        <w:pStyle w:val="Number"/>
        <w:rPr>
          <w:rFonts w:eastAsia="Calibri"/>
        </w:rPr>
      </w:pPr>
      <w:r w:rsidRPr="001858DD">
        <w:rPr>
          <w:rFonts w:eastAsia="Calibri"/>
        </w:rPr>
        <w:t xml:space="preserve">Second, ACART proposes that the website hosted by the Department of Internal Affairs, for people to request birth certificates, could be amended to include a statement that the DIA might hold information (on the HART </w:t>
      </w:r>
      <w:r>
        <w:rPr>
          <w:rFonts w:eastAsia="Calibri"/>
        </w:rPr>
        <w:t>r</w:t>
      </w:r>
      <w:r w:rsidRPr="001858DD">
        <w:rPr>
          <w:rFonts w:eastAsia="Calibri"/>
        </w:rPr>
        <w:t xml:space="preserve">egister) about people born from donated sperm, eggs or embryos. </w:t>
      </w:r>
      <w:r>
        <w:rPr>
          <w:rFonts w:eastAsia="Calibri"/>
        </w:rPr>
        <w:t>Interested</w:t>
      </w:r>
      <w:r w:rsidRPr="001858DD">
        <w:rPr>
          <w:rFonts w:eastAsia="Calibri"/>
        </w:rPr>
        <w:t xml:space="preserve"> parties might respond to this statement by asking DIA for any information about their status as being donor conceived. Although the effects of this change would probably be limited, it could help some individuals learn about their genetic origins. More importantly, the change could help to raise public awareness of the HART </w:t>
      </w:r>
      <w:r>
        <w:rPr>
          <w:rFonts w:eastAsia="Calibri"/>
        </w:rPr>
        <w:t>r</w:t>
      </w:r>
      <w:r w:rsidRPr="001858DD">
        <w:rPr>
          <w:rFonts w:eastAsia="Calibri"/>
        </w:rPr>
        <w:t>egister.</w:t>
      </w:r>
    </w:p>
    <w:p w14:paraId="2E125723" w14:textId="77777777" w:rsidR="00547D02" w:rsidRPr="001858DD" w:rsidRDefault="00547D02" w:rsidP="00A8454D">
      <w:pPr>
        <w:rPr>
          <w:rFonts w:eastAsia="Calibri"/>
        </w:rPr>
      </w:pPr>
    </w:p>
    <w:p w14:paraId="10A5B176" w14:textId="77777777" w:rsidR="00547D02" w:rsidRDefault="00547D02" w:rsidP="00A8454D">
      <w:pPr>
        <w:pStyle w:val="Heading3"/>
        <w:rPr>
          <w:rFonts w:eastAsia="Calibri"/>
        </w:rPr>
      </w:pPr>
      <w:r w:rsidRPr="00365D29">
        <w:rPr>
          <w:rFonts w:eastAsia="Calibri"/>
        </w:rPr>
        <w:t>The problem</w:t>
      </w:r>
    </w:p>
    <w:p w14:paraId="3F95A3E1" w14:textId="77777777" w:rsidR="00547D02" w:rsidRDefault="00547D02" w:rsidP="00A8454D">
      <w:pPr>
        <w:pStyle w:val="Number"/>
        <w:rPr>
          <w:rFonts w:eastAsia="Calibri"/>
        </w:rPr>
      </w:pPr>
      <w:r w:rsidRPr="00F56605">
        <w:rPr>
          <w:rFonts w:eastAsia="Calibri"/>
        </w:rPr>
        <w:t>Many people</w:t>
      </w:r>
      <w:r w:rsidR="000A0B49">
        <w:rPr>
          <w:rFonts w:eastAsia="Calibri"/>
        </w:rPr>
        <w:t>’</w:t>
      </w:r>
      <w:r w:rsidRPr="00F56605">
        <w:rPr>
          <w:rFonts w:eastAsia="Calibri"/>
        </w:rPr>
        <w:t xml:space="preserve">s sense of identity is, at least in part, based on knowing their genetic lineage. </w:t>
      </w:r>
      <w:r>
        <w:rPr>
          <w:rFonts w:eastAsia="Calibri"/>
        </w:rPr>
        <w:t>Offspring may want to know their genetic heritage for many other reasons, such as to find out about their medical history.</w:t>
      </w:r>
      <w:r w:rsidRPr="00A8454D">
        <w:rPr>
          <w:rStyle w:val="FootnoteReference"/>
          <w:rFonts w:eastAsia="Calibri"/>
        </w:rPr>
        <w:footnoteReference w:id="27"/>
      </w:r>
      <w:r>
        <w:rPr>
          <w:rFonts w:eastAsia="Calibri"/>
        </w:rPr>
        <w:t xml:space="preserve"> ACART is aware that in some instances the offspring of assisted reproduction are not made aware of their genetic origins. Another potential problem is that, through medical tests or genealogy involving DNA sequencing, people could accidentally discover that they are not genetically related to their parents. Further, the changes ACART has made to the donation and surrogacy guidelines </w:t>
      </w:r>
      <w:r w:rsidRPr="0093376A">
        <w:rPr>
          <w:rFonts w:eastAsia="Calibri"/>
        </w:rPr>
        <w:t xml:space="preserve">might add complexity </w:t>
      </w:r>
      <w:r>
        <w:rPr>
          <w:rFonts w:eastAsia="Calibri"/>
        </w:rPr>
        <w:t xml:space="preserve">to </w:t>
      </w:r>
      <w:r w:rsidRPr="0093376A">
        <w:rPr>
          <w:rFonts w:eastAsia="Calibri"/>
        </w:rPr>
        <w:t xml:space="preserve">some </w:t>
      </w:r>
      <w:r>
        <w:rPr>
          <w:rFonts w:eastAsia="Calibri"/>
        </w:rPr>
        <w:t>relationships: for example, more people could be born who have no genetic link to either of their parents</w:t>
      </w:r>
      <w:r w:rsidRPr="0093376A">
        <w:rPr>
          <w:rFonts w:eastAsia="Calibri"/>
        </w:rPr>
        <w:t>.</w:t>
      </w:r>
      <w:r>
        <w:rPr>
          <w:rFonts w:eastAsia="Calibri"/>
        </w:rPr>
        <w:t xml:space="preserve"> P</w:t>
      </w:r>
      <w:r w:rsidRPr="00CA1526">
        <w:rPr>
          <w:rFonts w:eastAsia="Calibri"/>
        </w:rPr>
        <w:t xml:space="preserve">eople </w:t>
      </w:r>
      <w:r>
        <w:rPr>
          <w:rFonts w:eastAsia="Calibri"/>
        </w:rPr>
        <w:t>should be able to</w:t>
      </w:r>
      <w:r w:rsidRPr="00CA1526">
        <w:rPr>
          <w:rFonts w:eastAsia="Calibri"/>
        </w:rPr>
        <w:t xml:space="preserve"> obtain accurate information </w:t>
      </w:r>
      <w:r>
        <w:rPr>
          <w:rFonts w:eastAsia="Calibri"/>
        </w:rPr>
        <w:t>identifying their genetic parents</w:t>
      </w:r>
      <w:r w:rsidRPr="00CA1526">
        <w:rPr>
          <w:rFonts w:eastAsia="Calibri"/>
        </w:rPr>
        <w:t>.</w:t>
      </w:r>
    </w:p>
    <w:p w14:paraId="6ABCC86D" w14:textId="77777777" w:rsidR="00547D02" w:rsidRDefault="00547D02" w:rsidP="00A8454D">
      <w:pPr>
        <w:rPr>
          <w:rFonts w:eastAsia="Calibri"/>
        </w:rPr>
      </w:pPr>
    </w:p>
    <w:p w14:paraId="6761E7B2" w14:textId="77777777" w:rsidR="00547D02" w:rsidRPr="000E0232" w:rsidRDefault="00547D02" w:rsidP="00A8454D">
      <w:pPr>
        <w:pStyle w:val="Heading3"/>
        <w:rPr>
          <w:rFonts w:eastAsia="Calibri"/>
        </w:rPr>
      </w:pPr>
      <w:r w:rsidRPr="00C43E06">
        <w:rPr>
          <w:rFonts w:eastAsia="Calibri"/>
        </w:rPr>
        <w:lastRenderedPageBreak/>
        <w:t>ACART</w:t>
      </w:r>
      <w:r w:rsidR="000A0B49">
        <w:rPr>
          <w:rFonts w:eastAsia="Calibri"/>
        </w:rPr>
        <w:t>’</w:t>
      </w:r>
      <w:r w:rsidRPr="00C43E06">
        <w:rPr>
          <w:rFonts w:eastAsia="Calibri"/>
        </w:rPr>
        <w:t xml:space="preserve">s </w:t>
      </w:r>
      <w:r>
        <w:rPr>
          <w:rFonts w:eastAsia="Calibri"/>
        </w:rPr>
        <w:t xml:space="preserve">initial </w:t>
      </w:r>
      <w:r w:rsidRPr="00C43E06">
        <w:rPr>
          <w:rFonts w:eastAsia="Calibri"/>
        </w:rPr>
        <w:t>proposal</w:t>
      </w:r>
    </w:p>
    <w:p w14:paraId="3202794C" w14:textId="77777777" w:rsidR="00547D02" w:rsidRPr="008B05C4" w:rsidRDefault="00547D02" w:rsidP="00A8454D">
      <w:pPr>
        <w:pStyle w:val="Number"/>
        <w:rPr>
          <w:rFonts w:eastAsia="Calibri"/>
        </w:rPr>
      </w:pPr>
      <w:r>
        <w:rPr>
          <w:rFonts w:eastAsia="Calibri"/>
        </w:rPr>
        <w:t xml:space="preserve">In 2017, ACART </w:t>
      </w:r>
      <w:r w:rsidRPr="00C0765B">
        <w:rPr>
          <w:rFonts w:eastAsia="Calibri"/>
        </w:rPr>
        <w:t xml:space="preserve">asked submitters about potential strategies to strengthen </w:t>
      </w:r>
      <w:r>
        <w:rPr>
          <w:rFonts w:eastAsia="Calibri"/>
        </w:rPr>
        <w:t xml:space="preserve">the </w:t>
      </w:r>
      <w:r w:rsidRPr="00C0765B">
        <w:rPr>
          <w:rFonts w:eastAsia="Calibri"/>
        </w:rPr>
        <w:t xml:space="preserve">access donor offspring </w:t>
      </w:r>
      <w:r>
        <w:rPr>
          <w:rFonts w:eastAsia="Calibri"/>
        </w:rPr>
        <w:t xml:space="preserve">have </w:t>
      </w:r>
      <w:r w:rsidRPr="00C0765B">
        <w:rPr>
          <w:rFonts w:eastAsia="Calibri"/>
        </w:rPr>
        <w:t>to inf</w:t>
      </w:r>
      <w:r>
        <w:rPr>
          <w:rFonts w:eastAsia="Calibri"/>
        </w:rPr>
        <w:t>ormation about their origins.</w:t>
      </w:r>
      <w:r w:rsidRPr="008B05C4">
        <w:rPr>
          <w:rFonts w:eastAsia="Calibri"/>
        </w:rPr>
        <w:t xml:space="preserve"> </w:t>
      </w:r>
      <w:r>
        <w:rPr>
          <w:rFonts w:eastAsia="Calibri"/>
        </w:rPr>
        <w:t>It</w:t>
      </w:r>
      <w:r w:rsidRPr="008B05C4">
        <w:rPr>
          <w:rFonts w:eastAsia="Calibri"/>
        </w:rPr>
        <w:t xml:space="preserve"> </w:t>
      </w:r>
      <w:r>
        <w:rPr>
          <w:rFonts w:eastAsia="Calibri"/>
        </w:rPr>
        <w:t xml:space="preserve">explained it would </w:t>
      </w:r>
      <w:r w:rsidRPr="008B05C4">
        <w:rPr>
          <w:rFonts w:eastAsia="Calibri"/>
        </w:rPr>
        <w:t>consider whether to provide advice to the M</w:t>
      </w:r>
      <w:r>
        <w:rPr>
          <w:rFonts w:eastAsia="Calibri"/>
        </w:rPr>
        <w:t>inister of Health on the matter.</w:t>
      </w:r>
    </w:p>
    <w:p w14:paraId="23F42616" w14:textId="77777777" w:rsidR="00547D02" w:rsidRDefault="00547D02" w:rsidP="00A8454D">
      <w:pPr>
        <w:pStyle w:val="Number"/>
        <w:rPr>
          <w:rFonts w:eastAsia="Calibri"/>
        </w:rPr>
      </w:pPr>
      <w:r>
        <w:rPr>
          <w:rFonts w:eastAsia="Calibri"/>
        </w:rPr>
        <w:t xml:space="preserve">The consultation explained earlier work on this topic, including the </w:t>
      </w:r>
      <w:r w:rsidRPr="00526994">
        <w:rPr>
          <w:rFonts w:eastAsia="Calibri"/>
        </w:rPr>
        <w:t>New Zealand Law Commission</w:t>
      </w:r>
      <w:r w:rsidR="000A0B49">
        <w:rPr>
          <w:rFonts w:eastAsia="Calibri"/>
        </w:rPr>
        <w:t>’</w:t>
      </w:r>
      <w:r>
        <w:rPr>
          <w:rFonts w:eastAsia="Calibri"/>
        </w:rPr>
        <w:t>s 2005</w:t>
      </w:r>
      <w:r w:rsidRPr="00526994">
        <w:rPr>
          <w:rFonts w:eastAsia="Calibri"/>
        </w:rPr>
        <w:t xml:space="preserve"> report, </w:t>
      </w:r>
      <w:r w:rsidRPr="00526994">
        <w:rPr>
          <w:rFonts w:eastAsia="Calibri"/>
          <w:i/>
        </w:rPr>
        <w:t>New Issues in Legal Parenthood</w:t>
      </w:r>
      <w:r w:rsidRPr="00526994">
        <w:rPr>
          <w:rFonts w:eastAsia="Calibri"/>
        </w:rPr>
        <w:t>.</w:t>
      </w:r>
      <w:r w:rsidRPr="00A8454D">
        <w:rPr>
          <w:rStyle w:val="FootnoteReference"/>
          <w:rFonts w:eastAsia="Calibri"/>
        </w:rPr>
        <w:footnoteReference w:id="28"/>
      </w:r>
      <w:r w:rsidRPr="00526994">
        <w:rPr>
          <w:rFonts w:eastAsia="Calibri"/>
        </w:rPr>
        <w:t xml:space="preserve"> </w:t>
      </w:r>
      <w:r>
        <w:rPr>
          <w:rFonts w:eastAsia="Calibri"/>
        </w:rPr>
        <w:t>As noted above, that</w:t>
      </w:r>
      <w:r w:rsidRPr="00526994">
        <w:rPr>
          <w:rFonts w:eastAsia="Calibri"/>
        </w:rPr>
        <w:t xml:space="preserve"> report recommended </w:t>
      </w:r>
      <w:r>
        <w:rPr>
          <w:rFonts w:eastAsia="Calibri"/>
        </w:rPr>
        <w:t xml:space="preserve">amending </w:t>
      </w:r>
      <w:r w:rsidRPr="00526994">
        <w:rPr>
          <w:rFonts w:eastAsia="Calibri"/>
        </w:rPr>
        <w:t>all birth certificates to include a statement indicating that the Births, Deaths and Marriages register contains other information that the certificate</w:t>
      </w:r>
      <w:r w:rsidR="000A0B49">
        <w:rPr>
          <w:rFonts w:eastAsia="Calibri"/>
        </w:rPr>
        <w:t>’</w:t>
      </w:r>
      <w:r w:rsidRPr="00526994">
        <w:rPr>
          <w:rFonts w:eastAsia="Calibri"/>
        </w:rPr>
        <w:t>s owner</w:t>
      </w:r>
      <w:r>
        <w:rPr>
          <w:rFonts w:eastAsia="Calibri"/>
        </w:rPr>
        <w:t xml:space="preserve"> may access</w:t>
      </w:r>
      <w:r w:rsidRPr="00526994">
        <w:rPr>
          <w:rFonts w:eastAsia="Calibri"/>
        </w:rPr>
        <w:t xml:space="preserve">. In addition, </w:t>
      </w:r>
      <w:r>
        <w:rPr>
          <w:rFonts w:eastAsia="Calibri"/>
        </w:rPr>
        <w:t xml:space="preserve">it recommended that </w:t>
      </w:r>
      <w:r w:rsidRPr="00526994">
        <w:rPr>
          <w:rFonts w:eastAsia="Calibri"/>
        </w:rPr>
        <w:t>Births, Deaths and Marriages should consider allowing parents to choose to have an annotation stating that the certificate</w:t>
      </w:r>
      <w:r w:rsidR="000A0B49">
        <w:rPr>
          <w:rFonts w:eastAsia="Calibri"/>
        </w:rPr>
        <w:t>’</w:t>
      </w:r>
      <w:r w:rsidRPr="00526994">
        <w:rPr>
          <w:rFonts w:eastAsia="Calibri"/>
        </w:rPr>
        <w:t xml:space="preserve">s owner was born by </w:t>
      </w:r>
      <w:r w:rsidR="000A0B49">
        <w:rPr>
          <w:rFonts w:eastAsia="Calibri"/>
        </w:rPr>
        <w:t>‘</w:t>
      </w:r>
      <w:r w:rsidRPr="00526994">
        <w:rPr>
          <w:rFonts w:eastAsia="Calibri"/>
        </w:rPr>
        <w:t>donor</w:t>
      </w:r>
      <w:r w:rsidR="000A0B49">
        <w:rPr>
          <w:rFonts w:eastAsia="Calibri"/>
        </w:rPr>
        <w:t>’</w:t>
      </w:r>
      <w:r w:rsidRPr="00526994">
        <w:rPr>
          <w:rFonts w:eastAsia="Calibri"/>
        </w:rPr>
        <w:t>.</w:t>
      </w:r>
    </w:p>
    <w:p w14:paraId="6865ECC9" w14:textId="77777777" w:rsidR="00A8454D" w:rsidRDefault="00A8454D" w:rsidP="00A8454D">
      <w:pPr>
        <w:rPr>
          <w:rFonts w:eastAsia="Calibri"/>
        </w:rPr>
      </w:pPr>
    </w:p>
    <w:p w14:paraId="2939D036" w14:textId="77777777" w:rsidR="00547D02" w:rsidRDefault="00547D02" w:rsidP="00A8454D">
      <w:pPr>
        <w:pStyle w:val="Heading3"/>
        <w:rPr>
          <w:rFonts w:eastAsia="Calibri"/>
        </w:rPr>
      </w:pPr>
      <w:r w:rsidRPr="00960CCE">
        <w:rPr>
          <w:rFonts w:eastAsia="Calibri"/>
        </w:rPr>
        <w:t xml:space="preserve">Benefits </w:t>
      </w:r>
      <w:r>
        <w:rPr>
          <w:rFonts w:eastAsia="Calibri"/>
        </w:rPr>
        <w:t>of improved access to information</w:t>
      </w:r>
    </w:p>
    <w:p w14:paraId="29F55E64" w14:textId="77777777" w:rsidR="00547D02" w:rsidRDefault="00547D02" w:rsidP="00A8454D">
      <w:pPr>
        <w:pStyle w:val="Number"/>
        <w:rPr>
          <w:rFonts w:eastAsia="Calibri"/>
        </w:rPr>
      </w:pPr>
      <w:r>
        <w:rPr>
          <w:rFonts w:eastAsia="Calibri"/>
        </w:rPr>
        <w:t xml:space="preserve">A principle of the </w:t>
      </w:r>
      <w:r w:rsidRPr="00C0765B">
        <w:rPr>
          <w:rFonts w:eastAsia="Calibri"/>
        </w:rPr>
        <w:t xml:space="preserve">HART Act </w:t>
      </w:r>
      <w:r>
        <w:rPr>
          <w:rFonts w:eastAsia="Calibri"/>
        </w:rPr>
        <w:t>is</w:t>
      </w:r>
      <w:r w:rsidRPr="00C0765B">
        <w:rPr>
          <w:rFonts w:eastAsia="Calibri"/>
        </w:rPr>
        <w:t xml:space="preserve"> that donor offspring should have access to information about their origins</w:t>
      </w:r>
      <w:r>
        <w:rPr>
          <w:rFonts w:eastAsia="Calibri"/>
        </w:rPr>
        <w:t>. By increasing awareness of the HART register and making it easier for people to obtain information about their genetic origins, ACART would</w:t>
      </w:r>
      <w:r w:rsidRPr="00A11AC3">
        <w:rPr>
          <w:rFonts w:eastAsia="Calibri"/>
        </w:rPr>
        <w:t xml:space="preserve"> ensure that </w:t>
      </w:r>
      <w:r>
        <w:rPr>
          <w:rFonts w:eastAsia="Calibri"/>
        </w:rPr>
        <w:t xml:space="preserve">the guideline </w:t>
      </w:r>
      <w:proofErr w:type="gramStart"/>
      <w:r>
        <w:rPr>
          <w:rFonts w:eastAsia="Calibri"/>
        </w:rPr>
        <w:t>are</w:t>
      </w:r>
      <w:proofErr w:type="gramEnd"/>
      <w:r>
        <w:rPr>
          <w:rFonts w:eastAsia="Calibri"/>
        </w:rPr>
        <w:t xml:space="preserve"> addressing </w:t>
      </w:r>
      <w:r w:rsidRPr="00A11AC3">
        <w:rPr>
          <w:rFonts w:eastAsia="Calibri"/>
        </w:rPr>
        <w:t>the principles of the HART Act</w:t>
      </w:r>
      <w:r>
        <w:rPr>
          <w:rFonts w:eastAsia="Calibri"/>
        </w:rPr>
        <w:t>.</w:t>
      </w:r>
    </w:p>
    <w:p w14:paraId="4532F3B3" w14:textId="77777777" w:rsidR="00547D02" w:rsidRPr="00A11AC3" w:rsidRDefault="00547D02" w:rsidP="00A8454D">
      <w:pPr>
        <w:rPr>
          <w:rFonts w:eastAsia="Calibri"/>
        </w:rPr>
      </w:pPr>
    </w:p>
    <w:p w14:paraId="4EBBFDE8" w14:textId="77777777" w:rsidR="00547D02" w:rsidRPr="00E1223E" w:rsidRDefault="00547D02" w:rsidP="00A8454D">
      <w:pPr>
        <w:pStyle w:val="Heading3"/>
        <w:rPr>
          <w:rFonts w:eastAsia="Calibri"/>
        </w:rPr>
      </w:pPr>
      <w:r w:rsidRPr="00E1223E">
        <w:rPr>
          <w:rFonts w:eastAsia="Calibri"/>
        </w:rPr>
        <w:t xml:space="preserve">Risks of the </w:t>
      </w:r>
      <w:r>
        <w:rPr>
          <w:rFonts w:eastAsia="Calibri"/>
        </w:rPr>
        <w:t>change</w:t>
      </w:r>
    </w:p>
    <w:p w14:paraId="1D088BFE" w14:textId="77777777" w:rsidR="00547D02" w:rsidRPr="00E30355" w:rsidRDefault="00547D02" w:rsidP="00A8454D">
      <w:pPr>
        <w:pStyle w:val="Number"/>
        <w:rPr>
          <w:rFonts w:eastAsia="Calibri"/>
        </w:rPr>
      </w:pPr>
      <w:r>
        <w:rPr>
          <w:rFonts w:eastAsia="Calibri"/>
        </w:rPr>
        <w:t>If</w:t>
      </w:r>
      <w:r w:rsidRPr="00E30355">
        <w:rPr>
          <w:rFonts w:eastAsia="Calibri"/>
        </w:rPr>
        <w:t xml:space="preserve"> a person </w:t>
      </w:r>
      <w:r>
        <w:rPr>
          <w:rFonts w:eastAsia="Calibri"/>
        </w:rPr>
        <w:t>discovered</w:t>
      </w:r>
      <w:r w:rsidRPr="00E30355">
        <w:rPr>
          <w:rFonts w:eastAsia="Calibri"/>
        </w:rPr>
        <w:t xml:space="preserve"> that he or she was donor conceived and that person</w:t>
      </w:r>
      <w:r w:rsidR="000A0B49">
        <w:rPr>
          <w:rFonts w:eastAsia="Calibri"/>
        </w:rPr>
        <w:t>’</w:t>
      </w:r>
      <w:r w:rsidRPr="00E30355">
        <w:rPr>
          <w:rFonts w:eastAsia="Calibri"/>
        </w:rPr>
        <w:t xml:space="preserve">s parents had </w:t>
      </w:r>
      <w:r>
        <w:rPr>
          <w:rFonts w:eastAsia="Calibri"/>
        </w:rPr>
        <w:t xml:space="preserve">not </w:t>
      </w:r>
      <w:r w:rsidRPr="00E30355">
        <w:rPr>
          <w:rFonts w:eastAsia="Calibri"/>
        </w:rPr>
        <w:t xml:space="preserve">told </w:t>
      </w:r>
      <w:r>
        <w:rPr>
          <w:rFonts w:eastAsia="Calibri"/>
        </w:rPr>
        <w:t xml:space="preserve">him </w:t>
      </w:r>
      <w:r w:rsidRPr="00E30355">
        <w:rPr>
          <w:rFonts w:eastAsia="Calibri"/>
        </w:rPr>
        <w:t xml:space="preserve">or her of this </w:t>
      </w:r>
      <w:r>
        <w:rPr>
          <w:rFonts w:eastAsia="Calibri"/>
        </w:rPr>
        <w:t>fact, tension in their relationship with their parents could arise. The potential for such tensions needs</w:t>
      </w:r>
      <w:r w:rsidRPr="0093376A">
        <w:rPr>
          <w:rFonts w:eastAsia="Calibri"/>
        </w:rPr>
        <w:t xml:space="preserve"> careful consideration</w:t>
      </w:r>
      <w:r>
        <w:rPr>
          <w:rFonts w:eastAsia="Calibri"/>
        </w:rPr>
        <w:t xml:space="preserve"> when enforcing the</w:t>
      </w:r>
      <w:r w:rsidRPr="0093376A">
        <w:rPr>
          <w:rFonts w:eastAsia="Calibri"/>
        </w:rPr>
        <w:t xml:space="preserve"> principle</w:t>
      </w:r>
      <w:r w:rsidRPr="00630DFC">
        <w:rPr>
          <w:rFonts w:eastAsia="Calibri"/>
        </w:rPr>
        <w:t xml:space="preserve"> </w:t>
      </w:r>
      <w:r w:rsidRPr="00C0765B">
        <w:rPr>
          <w:rFonts w:eastAsia="Calibri"/>
        </w:rPr>
        <w:t>that donor offspring should have access to information about their origins</w:t>
      </w:r>
      <w:r w:rsidRPr="0093376A">
        <w:rPr>
          <w:rFonts w:eastAsia="Calibri"/>
        </w:rPr>
        <w:t xml:space="preserve">. </w:t>
      </w:r>
      <w:r>
        <w:rPr>
          <w:rFonts w:eastAsia="Calibri"/>
        </w:rPr>
        <w:t>However, ACART notes that such a discovery could happen accidentally in other ways as well, such as through medical tests, science experiments using DNA, or genealogy services.</w:t>
      </w:r>
    </w:p>
    <w:p w14:paraId="6BEF5986" w14:textId="77777777" w:rsidR="00547D02" w:rsidRDefault="00547D02" w:rsidP="00A8454D">
      <w:pPr>
        <w:pStyle w:val="Number"/>
        <w:rPr>
          <w:rFonts w:eastAsia="Calibri"/>
        </w:rPr>
      </w:pPr>
      <w:r>
        <w:rPr>
          <w:rFonts w:eastAsia="Calibri"/>
        </w:rPr>
        <w:t xml:space="preserve">Further, </w:t>
      </w:r>
      <w:r w:rsidRPr="0093376A">
        <w:rPr>
          <w:rFonts w:eastAsia="Calibri"/>
        </w:rPr>
        <w:t>it is not possible to enforce the principle</w:t>
      </w:r>
      <w:r>
        <w:rPr>
          <w:rFonts w:eastAsia="Calibri"/>
        </w:rPr>
        <w:t xml:space="preserve"> (in the HART Act)</w:t>
      </w:r>
      <w:r w:rsidRPr="0093376A">
        <w:rPr>
          <w:rFonts w:eastAsia="Calibri"/>
        </w:rPr>
        <w:t xml:space="preserve"> without unduly intruding on the rights of parents to make decisions about what </w:t>
      </w:r>
      <w:r>
        <w:rPr>
          <w:rFonts w:eastAsia="Calibri"/>
        </w:rPr>
        <w:t xml:space="preserve">they tell </w:t>
      </w:r>
      <w:r w:rsidRPr="0093376A">
        <w:rPr>
          <w:rFonts w:eastAsia="Calibri"/>
        </w:rPr>
        <w:t>their children.</w:t>
      </w:r>
      <w:r>
        <w:rPr>
          <w:rFonts w:eastAsia="Calibri"/>
        </w:rPr>
        <w:t xml:space="preserve"> Currently, counsellors</w:t>
      </w:r>
      <w:r w:rsidRPr="00630BF2">
        <w:rPr>
          <w:rFonts w:eastAsia="Calibri"/>
        </w:rPr>
        <w:t xml:space="preserve"> </w:t>
      </w:r>
      <w:r>
        <w:rPr>
          <w:rFonts w:eastAsia="Calibri"/>
        </w:rPr>
        <w:t>encourage parents to disclose to their offspring at an early age that they are donor conceived and often give them resources such as books to help them do so.</w:t>
      </w:r>
    </w:p>
    <w:p w14:paraId="584A6A1B" w14:textId="77777777" w:rsidR="00547D02" w:rsidRDefault="00547D02" w:rsidP="00A8454D">
      <w:pPr>
        <w:rPr>
          <w:rFonts w:eastAsia="Calibri"/>
        </w:rPr>
      </w:pPr>
    </w:p>
    <w:p w14:paraId="39D57489" w14:textId="77777777" w:rsidR="00547D02" w:rsidRDefault="00547D02" w:rsidP="00A8454D">
      <w:pPr>
        <w:pStyle w:val="Heading3"/>
        <w:rPr>
          <w:rFonts w:eastAsia="Calibri"/>
        </w:rPr>
      </w:pPr>
      <w:r w:rsidRPr="000E0232">
        <w:rPr>
          <w:rFonts w:eastAsia="Calibri"/>
        </w:rPr>
        <w:lastRenderedPageBreak/>
        <w:t>Submitters</w:t>
      </w:r>
      <w:r w:rsidR="000A0B49">
        <w:rPr>
          <w:rFonts w:eastAsia="Calibri"/>
        </w:rPr>
        <w:t>’</w:t>
      </w:r>
      <w:r w:rsidRPr="000E0232">
        <w:rPr>
          <w:rFonts w:eastAsia="Calibri"/>
        </w:rPr>
        <w:t xml:space="preserve"> views</w:t>
      </w:r>
    </w:p>
    <w:p w14:paraId="4CE486BB" w14:textId="77777777" w:rsidR="00547D02" w:rsidRDefault="00547D02" w:rsidP="00A8454D">
      <w:pPr>
        <w:pStyle w:val="Number"/>
        <w:keepLines/>
        <w:rPr>
          <w:rFonts w:eastAsia="Calibri"/>
        </w:rPr>
      </w:pPr>
      <w:r>
        <w:rPr>
          <w:rFonts w:eastAsia="Calibri"/>
        </w:rPr>
        <w:t xml:space="preserve">Twenty-one submitters supported the proposal to allow donor offspring to learn about their genetic origins and </w:t>
      </w:r>
      <w:r w:rsidR="00A8454D">
        <w:rPr>
          <w:rFonts w:eastAsia="Calibri"/>
        </w:rPr>
        <w:t>17</w:t>
      </w:r>
      <w:r>
        <w:rPr>
          <w:rFonts w:eastAsia="Calibri"/>
        </w:rPr>
        <w:t xml:space="preserve"> made suggestions. Four</w:t>
      </w:r>
      <w:r w:rsidRPr="002250ED">
        <w:rPr>
          <w:rFonts w:eastAsia="Calibri"/>
        </w:rPr>
        <w:t xml:space="preserve"> submitters suggested that birth certificates </w:t>
      </w:r>
      <w:r>
        <w:rPr>
          <w:rFonts w:eastAsia="Calibri"/>
        </w:rPr>
        <w:t xml:space="preserve">should </w:t>
      </w:r>
      <w:r w:rsidRPr="002250ED">
        <w:rPr>
          <w:rFonts w:eastAsia="Calibri"/>
        </w:rPr>
        <w:t xml:space="preserve">be annotated, as the New Zealand Law Commission recommended in 2005, to state that a person had been born from donor conception. </w:t>
      </w:r>
      <w:r>
        <w:rPr>
          <w:rFonts w:eastAsia="Calibri"/>
        </w:rPr>
        <w:t>Four others stated work should be done to find a suitable way for offspring to learn of their heritage.</w:t>
      </w:r>
      <w:r w:rsidRPr="002250ED">
        <w:rPr>
          <w:rFonts w:eastAsia="Calibri"/>
        </w:rPr>
        <w:t xml:space="preserve"> </w:t>
      </w:r>
      <w:r>
        <w:rPr>
          <w:rFonts w:eastAsia="Calibri"/>
        </w:rPr>
        <w:t>Seven</w:t>
      </w:r>
      <w:r w:rsidRPr="002250ED">
        <w:rPr>
          <w:rFonts w:eastAsia="Calibri"/>
        </w:rPr>
        <w:t xml:space="preserve"> submitters </w:t>
      </w:r>
      <w:r>
        <w:rPr>
          <w:rFonts w:eastAsia="Calibri"/>
        </w:rPr>
        <w:t>stated</w:t>
      </w:r>
      <w:r w:rsidRPr="002250ED">
        <w:rPr>
          <w:rFonts w:eastAsia="Calibri"/>
        </w:rPr>
        <w:t xml:space="preserve"> that privacy matters should be </w:t>
      </w:r>
      <w:proofErr w:type="gramStart"/>
      <w:r w:rsidRPr="002250ED">
        <w:rPr>
          <w:rFonts w:eastAsia="Calibri"/>
        </w:rPr>
        <w:t>taken into account</w:t>
      </w:r>
      <w:proofErr w:type="gramEnd"/>
      <w:r w:rsidRPr="002250ED">
        <w:rPr>
          <w:rFonts w:eastAsia="Calibri"/>
        </w:rPr>
        <w:t>.</w:t>
      </w:r>
    </w:p>
    <w:p w14:paraId="7611A167" w14:textId="77777777" w:rsidR="00547D02" w:rsidRDefault="00547D02" w:rsidP="00A8454D">
      <w:pPr>
        <w:pStyle w:val="Number"/>
        <w:rPr>
          <w:rFonts w:eastAsia="Calibri"/>
        </w:rPr>
      </w:pPr>
      <w:r>
        <w:rPr>
          <w:rFonts w:eastAsia="Calibri"/>
        </w:rPr>
        <w:t>No submitters suggested other changes that could be effectively implemented.</w:t>
      </w:r>
    </w:p>
    <w:p w14:paraId="1D69D4B8" w14:textId="77777777" w:rsidR="00547D02" w:rsidRDefault="00547D02" w:rsidP="00A8454D">
      <w:pPr>
        <w:rPr>
          <w:rFonts w:eastAsia="Calibri"/>
        </w:rPr>
      </w:pPr>
    </w:p>
    <w:p w14:paraId="00126AB1" w14:textId="77777777" w:rsidR="00A8454D" w:rsidRDefault="00A8454D" w:rsidP="00A8454D">
      <w:pPr>
        <w:pStyle w:val="Heading1"/>
        <w:sectPr w:rsidR="00A8454D" w:rsidSect="00201AC4">
          <w:pgSz w:w="11907" w:h="16834" w:code="9"/>
          <w:pgMar w:top="1701" w:right="1418" w:bottom="1701" w:left="1701" w:header="0" w:footer="425" w:gutter="0"/>
          <w:cols w:space="720"/>
          <w:titlePg/>
        </w:sectPr>
      </w:pPr>
      <w:bookmarkStart w:id="113" w:name="_Toc17118589"/>
    </w:p>
    <w:p w14:paraId="5D93C597" w14:textId="77777777" w:rsidR="00547D02" w:rsidRPr="006C2395" w:rsidRDefault="00547D02" w:rsidP="00A8454D">
      <w:pPr>
        <w:pStyle w:val="Heading1"/>
      </w:pPr>
      <w:bookmarkStart w:id="114" w:name="_Toc73459731"/>
      <w:r w:rsidRPr="006C2395">
        <w:lastRenderedPageBreak/>
        <w:t>Next steps</w:t>
      </w:r>
      <w:bookmarkEnd w:id="113"/>
      <w:bookmarkEnd w:id="114"/>
    </w:p>
    <w:p w14:paraId="09102207" w14:textId="77777777" w:rsidR="00547D02" w:rsidRPr="00986EB9" w:rsidRDefault="00547D02" w:rsidP="00A8454D">
      <w:pPr>
        <w:pStyle w:val="Number"/>
        <w:rPr>
          <w:rFonts w:eastAsia="Calibri"/>
        </w:rPr>
      </w:pPr>
      <w:r>
        <w:rPr>
          <w:rFonts w:eastAsia="Calibri"/>
        </w:rPr>
        <w:t>ACART has given a copy of this</w:t>
      </w:r>
      <w:r w:rsidRPr="00986EB9">
        <w:rPr>
          <w:rFonts w:eastAsia="Calibri"/>
        </w:rPr>
        <w:t xml:space="preserve"> advice to the Ministry of Health in case you decide to seek parallel advice</w:t>
      </w:r>
      <w:r>
        <w:rPr>
          <w:rFonts w:eastAsia="Calibri"/>
        </w:rPr>
        <w:t xml:space="preserve"> from the Ministry</w:t>
      </w:r>
      <w:r w:rsidRPr="00986EB9">
        <w:rPr>
          <w:rFonts w:eastAsia="Calibri"/>
        </w:rPr>
        <w:t xml:space="preserve">. </w:t>
      </w:r>
      <w:proofErr w:type="gramStart"/>
      <w:r>
        <w:rPr>
          <w:rFonts w:eastAsia="Calibri"/>
        </w:rPr>
        <w:t>In particular, you</w:t>
      </w:r>
      <w:proofErr w:type="gramEnd"/>
      <w:r>
        <w:rPr>
          <w:rFonts w:eastAsia="Calibri"/>
        </w:rPr>
        <w:t xml:space="preserve"> might seek parallel advice from the Ministry about ACART</w:t>
      </w:r>
      <w:r w:rsidR="000A0B49">
        <w:rPr>
          <w:rFonts w:eastAsia="Calibri"/>
        </w:rPr>
        <w:t>’</w:t>
      </w:r>
      <w:r>
        <w:rPr>
          <w:rFonts w:eastAsia="Calibri"/>
        </w:rPr>
        <w:t>s recommendations to change the HART Order.</w:t>
      </w:r>
    </w:p>
    <w:p w14:paraId="4AF6246F" w14:textId="77777777" w:rsidR="00547D02" w:rsidRPr="006E3EA1" w:rsidRDefault="00547D02" w:rsidP="00A8454D">
      <w:pPr>
        <w:pStyle w:val="Number"/>
        <w:rPr>
          <w:rFonts w:eastAsia="Calibri"/>
        </w:rPr>
      </w:pPr>
      <w:r w:rsidRPr="006E3EA1">
        <w:rPr>
          <w:rFonts w:eastAsia="Calibri"/>
        </w:rPr>
        <w:t>I</w:t>
      </w:r>
      <w:r>
        <w:rPr>
          <w:rFonts w:eastAsia="Calibri"/>
        </w:rPr>
        <w:t>f</w:t>
      </w:r>
      <w:r w:rsidRPr="006E3EA1">
        <w:rPr>
          <w:rFonts w:eastAsia="Calibri"/>
        </w:rPr>
        <w:t xml:space="preserve"> you agree to recommendation</w:t>
      </w:r>
      <w:r>
        <w:rPr>
          <w:rFonts w:eastAsia="Calibri"/>
        </w:rPr>
        <w:t>s</w:t>
      </w:r>
      <w:r w:rsidRPr="006E3EA1">
        <w:rPr>
          <w:rFonts w:eastAsia="Calibri"/>
        </w:rPr>
        <w:t xml:space="preserve"> </w:t>
      </w:r>
      <w:r w:rsidRPr="00E46CDA">
        <w:rPr>
          <w:rFonts w:eastAsia="Calibri"/>
        </w:rPr>
        <w:t>2, 3 and 4</w:t>
      </w:r>
      <w:r>
        <w:rPr>
          <w:rFonts w:eastAsia="Calibri"/>
        </w:rPr>
        <w:t xml:space="preserve"> to</w:t>
      </w:r>
      <w:r w:rsidRPr="006E3EA1">
        <w:rPr>
          <w:rFonts w:eastAsia="Calibri"/>
        </w:rPr>
        <w:t xml:space="preserve"> amend the </w:t>
      </w:r>
      <w:r>
        <w:rPr>
          <w:rFonts w:eastAsia="Calibri"/>
        </w:rPr>
        <w:t>HART O</w:t>
      </w:r>
      <w:r w:rsidRPr="006E3EA1">
        <w:rPr>
          <w:rFonts w:eastAsia="Calibri"/>
        </w:rPr>
        <w:t>rder</w:t>
      </w:r>
      <w:r>
        <w:rPr>
          <w:rFonts w:eastAsia="Calibri"/>
        </w:rPr>
        <w:t>,</w:t>
      </w:r>
      <w:r w:rsidRPr="006E3EA1">
        <w:rPr>
          <w:rFonts w:eastAsia="Calibri"/>
        </w:rPr>
        <w:t xml:space="preserve"> ACART would </w:t>
      </w:r>
      <w:r>
        <w:rPr>
          <w:rFonts w:eastAsia="Calibri"/>
        </w:rPr>
        <w:t>make a further change to the guid</w:t>
      </w:r>
      <w:r w:rsidRPr="006E3EA1">
        <w:rPr>
          <w:rFonts w:eastAsia="Calibri"/>
        </w:rPr>
        <w:t>e</w:t>
      </w:r>
      <w:r>
        <w:rPr>
          <w:rFonts w:eastAsia="Calibri"/>
        </w:rPr>
        <w:t>l</w:t>
      </w:r>
      <w:r w:rsidRPr="006E3EA1">
        <w:rPr>
          <w:rFonts w:eastAsia="Calibri"/>
        </w:rPr>
        <w:t xml:space="preserve">ines </w:t>
      </w:r>
      <w:r>
        <w:rPr>
          <w:rFonts w:eastAsia="Calibri"/>
        </w:rPr>
        <w:t>to make all clinic assisted surrogacies subject to ECART consideration.</w:t>
      </w:r>
    </w:p>
    <w:p w14:paraId="5FE09183" w14:textId="77777777" w:rsidR="00547D02" w:rsidRPr="00986EB9" w:rsidRDefault="00547D02" w:rsidP="00A8454D">
      <w:pPr>
        <w:pStyle w:val="Number"/>
        <w:rPr>
          <w:rFonts w:eastAsia="Calibri"/>
        </w:rPr>
      </w:pPr>
      <w:r>
        <w:rPr>
          <w:rFonts w:eastAsia="Calibri"/>
        </w:rPr>
        <w:t>The Chair of ACART is</w:t>
      </w:r>
      <w:r w:rsidRPr="00986EB9">
        <w:rPr>
          <w:rFonts w:eastAsia="Calibri"/>
        </w:rPr>
        <w:t xml:space="preserve"> available to discuss the advice with you, if you wish.</w:t>
      </w:r>
    </w:p>
    <w:p w14:paraId="453B2A9A" w14:textId="77777777" w:rsidR="00547D02" w:rsidRPr="00635E70" w:rsidRDefault="00547D02" w:rsidP="00A8454D">
      <w:pPr>
        <w:pStyle w:val="Number"/>
      </w:pPr>
      <w:r w:rsidRPr="008326DC">
        <w:t>ACART plans to publish this advice on its website in October 2019.</w:t>
      </w:r>
    </w:p>
    <w:p w14:paraId="09DE31E3" w14:textId="77777777" w:rsidR="008D1D75" w:rsidRPr="009C039F" w:rsidRDefault="008D1D75" w:rsidP="00A8454D"/>
    <w:sectPr w:rsidR="008D1D75" w:rsidRPr="009C039F" w:rsidSect="00201AC4">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F6E4" w14:textId="77777777" w:rsidR="00F30721" w:rsidRDefault="00F30721">
      <w:r>
        <w:separator/>
      </w:r>
    </w:p>
  </w:endnote>
  <w:endnote w:type="continuationSeparator" w:id="0">
    <w:p w14:paraId="6D3497B0" w14:textId="77777777" w:rsidR="00F30721" w:rsidRDefault="00F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4C0D" w14:textId="77777777" w:rsidR="000B1E32" w:rsidRDefault="000B1E32">
    <w:pP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0B1E32" w14:paraId="7B2C931D" w14:textId="77777777">
      <w:trPr>
        <w:cantSplit/>
      </w:trPr>
      <w:tc>
        <w:tcPr>
          <w:tcW w:w="8789" w:type="dxa"/>
          <w:tcBorders>
            <w:bottom w:val="nil"/>
          </w:tcBorders>
          <w:vAlign w:val="center"/>
        </w:tcPr>
        <w:p w14:paraId="15360CB9" w14:textId="77777777" w:rsidR="000B1E32" w:rsidRDefault="000B1E32" w:rsidP="00451076">
          <w:pPr>
            <w:pStyle w:val="RectoFooter"/>
            <w:jc w:val="right"/>
          </w:pPr>
          <w:r>
            <w:t>Advice to Minister</w:t>
          </w:r>
          <w:r w:rsidR="000B7A81">
            <w:t xml:space="preserve"> of Health</w:t>
          </w:r>
          <w:r>
            <w:t>:</w:t>
          </w:r>
          <w:r>
            <w:br/>
            <w:t>ACART Advice and Guidelines for Gamete and Embryo Donation and Surrogacy</w:t>
          </w:r>
          <w:r>
            <w:rPr>
              <w:noProof/>
              <w:lang w:eastAsia="en-NZ"/>
            </w:rPr>
            <w:drawing>
              <wp:anchor distT="0" distB="0" distL="114300" distR="114300" simplePos="0" relativeHeight="251828224" behindDoc="1" locked="0" layoutInCell="1" allowOverlap="1" wp14:anchorId="2144500D" wp14:editId="54BFBE4A">
                <wp:simplePos x="0" y="0"/>
                <wp:positionH relativeFrom="column">
                  <wp:posOffset>5006975</wp:posOffset>
                </wp:positionH>
                <wp:positionV relativeFrom="paragraph">
                  <wp:posOffset>-914400</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5592C8C2" w14:textId="77777777" w:rsidR="000B1E32" w:rsidRDefault="000B1E32" w:rsidP="00901C70">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13</w:t>
          </w:r>
          <w:r>
            <w:rPr>
              <w:rStyle w:val="PageNumber"/>
            </w:rPr>
            <w:fldChar w:fldCharType="end"/>
          </w:r>
        </w:p>
      </w:tc>
    </w:tr>
  </w:tbl>
  <w:p w14:paraId="7814BB2A" w14:textId="77777777" w:rsidR="000B1E32" w:rsidRPr="00674A36" w:rsidRDefault="000B1E32" w:rsidP="00674A36">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8C4842" w14:paraId="3E4FE577" w14:textId="77777777" w:rsidTr="000268BC">
      <w:trPr>
        <w:cantSplit/>
      </w:trPr>
      <w:tc>
        <w:tcPr>
          <w:tcW w:w="8789" w:type="dxa"/>
          <w:tcBorders>
            <w:bottom w:val="nil"/>
          </w:tcBorders>
          <w:vAlign w:val="center"/>
        </w:tcPr>
        <w:p w14:paraId="71159BC9" w14:textId="77777777" w:rsidR="008C4842" w:rsidRDefault="008C4842" w:rsidP="000268BC">
          <w:pPr>
            <w:pStyle w:val="RectoFooter"/>
            <w:jc w:val="right"/>
          </w:pPr>
          <w:r>
            <w:t>Advice to Minister of Health:</w:t>
          </w:r>
          <w:r>
            <w:br/>
            <w:t>ACART Advice and Guidelines for Gamete and Embryo Donation and Surrogacy</w:t>
          </w:r>
          <w:r>
            <w:rPr>
              <w:noProof/>
              <w:lang w:eastAsia="en-NZ"/>
            </w:rPr>
            <w:drawing>
              <wp:anchor distT="0" distB="0" distL="114300" distR="114300" simplePos="0" relativeHeight="251846656" behindDoc="1" locked="0" layoutInCell="1" allowOverlap="1" wp14:anchorId="387E787F" wp14:editId="66E16F2F">
                <wp:simplePos x="0" y="0"/>
                <wp:positionH relativeFrom="column">
                  <wp:posOffset>5006975</wp:posOffset>
                </wp:positionH>
                <wp:positionV relativeFrom="paragraph">
                  <wp:posOffset>-914400</wp:posOffset>
                </wp:positionV>
                <wp:extent cx="1449705" cy="1449070"/>
                <wp:effectExtent l="0" t="0" r="0" b="0"/>
                <wp:wrapNone/>
                <wp:docPr id="29" name="Picture 2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50650A0" w14:textId="77777777" w:rsidR="008C4842" w:rsidRDefault="008C4842" w:rsidP="000268BC">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7</w:t>
          </w:r>
          <w:r>
            <w:rPr>
              <w:rStyle w:val="PageNumber"/>
            </w:rPr>
            <w:fldChar w:fldCharType="end"/>
          </w:r>
        </w:p>
      </w:tc>
    </w:tr>
  </w:tbl>
  <w:p w14:paraId="1A22C9D2" w14:textId="77777777" w:rsidR="000B1E32" w:rsidRPr="004D655D" w:rsidRDefault="000B1E32">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05909C22" w14:textId="77777777">
      <w:trPr>
        <w:cantSplit/>
      </w:trPr>
      <w:tc>
        <w:tcPr>
          <w:tcW w:w="709" w:type="dxa"/>
        </w:tcPr>
        <w:p w14:paraId="099A9ECE" w14:textId="77777777" w:rsidR="000B1E32" w:rsidRDefault="000B1E32" w:rsidP="00346DCC">
          <w:r>
            <w:rPr>
              <w:noProof/>
              <w:lang w:eastAsia="en-NZ"/>
            </w:rPr>
            <w:drawing>
              <wp:anchor distT="0" distB="0" distL="114300" distR="114300" simplePos="0" relativeHeight="251817984" behindDoc="1" locked="0" layoutInCell="1" allowOverlap="1" wp14:anchorId="7173501D" wp14:editId="6FD553E8">
                <wp:simplePos x="0" y="0"/>
                <wp:positionH relativeFrom="column">
                  <wp:posOffset>-423545</wp:posOffset>
                </wp:positionH>
                <wp:positionV relativeFrom="paragraph">
                  <wp:posOffset>-904933</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8789" w:type="dxa"/>
          <w:tcBorders>
            <w:top w:val="single" w:sz="4" w:space="0" w:color="auto"/>
          </w:tcBorders>
        </w:tcPr>
        <w:p w14:paraId="0BCAFE76" w14:textId="77777777" w:rsidR="000B1E32" w:rsidRDefault="000B1E32" w:rsidP="00BA5785">
          <w:pPr>
            <w:pStyle w:val="RectoFooter"/>
            <w:jc w:val="left"/>
          </w:pPr>
          <w:r>
            <w:t>Proposal that the HART Order should explicitly state that the use of</w:t>
          </w:r>
          <w:r>
            <w:br/>
            <w:t>cryopreserved testicular tissue is an established procedure: Consultation document</w:t>
          </w:r>
        </w:p>
      </w:tc>
    </w:tr>
  </w:tbl>
  <w:p w14:paraId="17C27EB9" w14:textId="77777777" w:rsidR="000B1E32" w:rsidRPr="00346DCC" w:rsidRDefault="000B1E32" w:rsidP="00346DCC">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0B1E32" w14:paraId="6A9BD4B9" w14:textId="77777777">
      <w:trPr>
        <w:cantSplit/>
      </w:trPr>
      <w:tc>
        <w:tcPr>
          <w:tcW w:w="8789" w:type="dxa"/>
          <w:tcBorders>
            <w:bottom w:val="nil"/>
          </w:tcBorders>
          <w:vAlign w:val="center"/>
        </w:tcPr>
        <w:p w14:paraId="3C763445" w14:textId="77777777" w:rsidR="000B1E32" w:rsidRDefault="000B1E32" w:rsidP="00451076">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820032" behindDoc="1" locked="0" layoutInCell="1" allowOverlap="1" wp14:anchorId="6600D05C" wp14:editId="4846349C">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1DC00566" w14:textId="77777777" w:rsidR="000B1E32" w:rsidRDefault="000B1E32"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73C9FA9" w14:textId="77777777" w:rsidR="000B1E32" w:rsidRPr="00674A36" w:rsidRDefault="000B1E32" w:rsidP="00674A36">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68F301C0" w14:textId="77777777" w:rsidTr="00F362FE">
      <w:trPr>
        <w:cantSplit/>
      </w:trPr>
      <w:tc>
        <w:tcPr>
          <w:tcW w:w="709" w:type="dxa"/>
        </w:tcPr>
        <w:p w14:paraId="499B7CB1" w14:textId="77777777" w:rsidR="000B1E32" w:rsidRDefault="000B1E32" w:rsidP="00F362FE">
          <w:r>
            <w:rPr>
              <w:noProof/>
              <w:lang w:eastAsia="en-NZ"/>
            </w:rPr>
            <w:drawing>
              <wp:anchor distT="0" distB="0" distL="114300" distR="114300" simplePos="0" relativeHeight="251822080" behindDoc="1" locked="0" layoutInCell="1" allowOverlap="1" wp14:anchorId="372F378F" wp14:editId="2973420A">
                <wp:simplePos x="0" y="0"/>
                <wp:positionH relativeFrom="column">
                  <wp:posOffset>-423545</wp:posOffset>
                </wp:positionH>
                <wp:positionV relativeFrom="paragraph">
                  <wp:posOffset>-904933</wp:posOffset>
                </wp:positionV>
                <wp:extent cx="1449705" cy="1449070"/>
                <wp:effectExtent l="0" t="0" r="0" b="0"/>
                <wp:wrapNone/>
                <wp:docPr id="20" name="Picture 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14</w:t>
          </w:r>
          <w:r>
            <w:rPr>
              <w:rStyle w:val="PageNumber"/>
            </w:rPr>
            <w:fldChar w:fldCharType="end"/>
          </w:r>
        </w:p>
      </w:tc>
      <w:tc>
        <w:tcPr>
          <w:tcW w:w="8789" w:type="dxa"/>
          <w:tcBorders>
            <w:top w:val="single" w:sz="4" w:space="0" w:color="auto"/>
          </w:tcBorders>
        </w:tcPr>
        <w:p w14:paraId="6D0B6372" w14:textId="77777777" w:rsidR="000B1E32" w:rsidRDefault="000B1E32" w:rsidP="00451076">
          <w:pPr>
            <w:pStyle w:val="RectoFooter"/>
            <w:jc w:val="left"/>
          </w:pPr>
          <w:r>
            <w:t>Advice to Minister</w:t>
          </w:r>
          <w:r w:rsidR="000B7A81">
            <w:t xml:space="preserve"> of Health</w:t>
          </w:r>
          <w:r>
            <w:t>:</w:t>
          </w:r>
          <w:r>
            <w:br/>
            <w:t>ACART Advice and Guidelines for Gamete and Embryo Donation and Surrogacy</w:t>
          </w:r>
        </w:p>
      </w:tc>
    </w:tr>
  </w:tbl>
  <w:p w14:paraId="4D970DF9" w14:textId="77777777" w:rsidR="000B1E32" w:rsidRPr="004D655D" w:rsidRDefault="000B1E32">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060D86D4" w14:textId="77777777">
      <w:trPr>
        <w:cantSplit/>
      </w:trPr>
      <w:tc>
        <w:tcPr>
          <w:tcW w:w="709" w:type="dxa"/>
        </w:tcPr>
        <w:p w14:paraId="405C7495" w14:textId="77777777" w:rsidR="000B1E32" w:rsidRDefault="000B1E32" w:rsidP="00346DCC">
          <w:r>
            <w:rPr>
              <w:noProof/>
              <w:lang w:eastAsia="en-NZ"/>
            </w:rPr>
            <w:drawing>
              <wp:anchor distT="0" distB="0" distL="114300" distR="114300" simplePos="0" relativeHeight="251790336" behindDoc="1" locked="0" layoutInCell="1" allowOverlap="1" wp14:anchorId="45B95259" wp14:editId="7198FC91">
                <wp:simplePos x="0" y="0"/>
                <wp:positionH relativeFrom="column">
                  <wp:posOffset>-423545</wp:posOffset>
                </wp:positionH>
                <wp:positionV relativeFrom="paragraph">
                  <wp:posOffset>-904933</wp:posOffset>
                </wp:positionV>
                <wp:extent cx="1449705" cy="1449070"/>
                <wp:effectExtent l="0" t="0" r="0" b="0"/>
                <wp:wrapNone/>
                <wp:docPr id="41" name="Picture 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8789" w:type="dxa"/>
          <w:tcBorders>
            <w:top w:val="single" w:sz="4" w:space="0" w:color="auto"/>
          </w:tcBorders>
        </w:tcPr>
        <w:p w14:paraId="35F15318" w14:textId="77777777" w:rsidR="000B1E32" w:rsidRDefault="000B1E32" w:rsidP="00451076">
          <w:pPr>
            <w:pStyle w:val="RectoFooter"/>
            <w:jc w:val="left"/>
          </w:pPr>
          <w:r>
            <w:t>Proposal that the HART Order should explicitly state that the use of</w:t>
          </w:r>
          <w:r>
            <w:br/>
            <w:t>cryopreserved testicular tissue is an established procedure: Consultation document</w:t>
          </w:r>
        </w:p>
      </w:tc>
    </w:tr>
  </w:tbl>
  <w:p w14:paraId="4FFA34F4" w14:textId="77777777" w:rsidR="000B1E32" w:rsidRPr="00346DCC" w:rsidRDefault="000B1E32" w:rsidP="00346DCC">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0B1E32" w14:paraId="6F0CCBC7" w14:textId="77777777" w:rsidTr="00C819DC">
      <w:trPr>
        <w:cantSplit/>
      </w:trPr>
      <w:tc>
        <w:tcPr>
          <w:tcW w:w="8789" w:type="dxa"/>
          <w:tcBorders>
            <w:bottom w:val="nil"/>
          </w:tcBorders>
          <w:vAlign w:val="center"/>
        </w:tcPr>
        <w:p w14:paraId="20BFA0B4" w14:textId="77777777" w:rsidR="000B1E32" w:rsidRDefault="000B1E32" w:rsidP="00451076">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805696" behindDoc="1" locked="0" layoutInCell="1" allowOverlap="1" wp14:anchorId="151E3785" wp14:editId="4344B212">
                <wp:simplePos x="0" y="0"/>
                <wp:positionH relativeFrom="column">
                  <wp:posOffset>5006975</wp:posOffset>
                </wp:positionH>
                <wp:positionV relativeFrom="paragraph">
                  <wp:posOffset>-914400</wp:posOffset>
                </wp:positionV>
                <wp:extent cx="1449705" cy="1449070"/>
                <wp:effectExtent l="0" t="0" r="0" b="0"/>
                <wp:wrapNone/>
                <wp:docPr id="51" name="Picture 5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7284E331" w14:textId="77777777" w:rsidR="000B1E32" w:rsidRDefault="000B1E32" w:rsidP="00C819DC">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58F29098" w14:textId="77777777" w:rsidR="000B1E32" w:rsidRPr="00674A36" w:rsidRDefault="000B1E32" w:rsidP="00674A36">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0B1E32" w14:paraId="46BB4F1B" w14:textId="77777777" w:rsidTr="007834D8">
      <w:trPr>
        <w:cantSplit/>
      </w:trPr>
      <w:tc>
        <w:tcPr>
          <w:tcW w:w="8789" w:type="dxa"/>
          <w:tcBorders>
            <w:bottom w:val="nil"/>
          </w:tcBorders>
          <w:vAlign w:val="center"/>
        </w:tcPr>
        <w:p w14:paraId="620F27E5" w14:textId="77777777" w:rsidR="000B1E32" w:rsidRDefault="000B1E32" w:rsidP="00BA5785">
          <w:pPr>
            <w:pStyle w:val="RectoFooter"/>
            <w:jc w:val="right"/>
          </w:pPr>
          <w:r>
            <w:t>Advice to Minister</w:t>
          </w:r>
          <w:r w:rsidR="000B7A81">
            <w:t xml:space="preserve"> of Health</w:t>
          </w:r>
          <w:r>
            <w:t>:</w:t>
          </w:r>
          <w:r>
            <w:br/>
            <w:t>ACART Advice and Guidelines for Gamete and Embryo Donation and Surrogacy</w:t>
          </w:r>
          <w:r>
            <w:rPr>
              <w:noProof/>
              <w:lang w:eastAsia="en-NZ"/>
            </w:rPr>
            <w:drawing>
              <wp:anchor distT="0" distB="0" distL="114300" distR="114300" simplePos="0" relativeHeight="251824128" behindDoc="1" locked="0" layoutInCell="1" allowOverlap="1" wp14:anchorId="28FCDD27" wp14:editId="07BCEA3A">
                <wp:simplePos x="0" y="0"/>
                <wp:positionH relativeFrom="column">
                  <wp:posOffset>5006975</wp:posOffset>
                </wp:positionH>
                <wp:positionV relativeFrom="paragraph">
                  <wp:posOffset>-914400</wp:posOffset>
                </wp:positionV>
                <wp:extent cx="1449705" cy="1449070"/>
                <wp:effectExtent l="0" t="0" r="0" b="0"/>
                <wp:wrapNone/>
                <wp:docPr id="28" name="Picture 2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7A7A73D9" w14:textId="77777777" w:rsidR="000B1E32" w:rsidRDefault="000B1E32" w:rsidP="007834D8">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15</w:t>
          </w:r>
          <w:r>
            <w:rPr>
              <w:rStyle w:val="PageNumber"/>
            </w:rPr>
            <w:fldChar w:fldCharType="end"/>
          </w:r>
        </w:p>
      </w:tc>
    </w:tr>
  </w:tbl>
  <w:p w14:paraId="1AD6A1A4" w14:textId="77777777" w:rsidR="000B1E32" w:rsidRPr="004D655D" w:rsidRDefault="000B1E32">
    <w:pP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6EC6E324" w14:textId="77777777">
      <w:trPr>
        <w:cantSplit/>
      </w:trPr>
      <w:tc>
        <w:tcPr>
          <w:tcW w:w="709" w:type="dxa"/>
        </w:tcPr>
        <w:p w14:paraId="7416AC7F" w14:textId="77777777" w:rsidR="000B1E32" w:rsidRDefault="000B1E32" w:rsidP="00346DCC">
          <w:r>
            <w:rPr>
              <w:noProof/>
              <w:lang w:eastAsia="en-NZ"/>
            </w:rPr>
            <w:drawing>
              <wp:anchor distT="0" distB="0" distL="114300" distR="114300" simplePos="0" relativeHeight="251832320" behindDoc="1" locked="0" layoutInCell="1" allowOverlap="1" wp14:anchorId="75726A5D" wp14:editId="416773F0">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54</w:t>
          </w:r>
          <w:r>
            <w:rPr>
              <w:rStyle w:val="PageNumber"/>
            </w:rPr>
            <w:fldChar w:fldCharType="end"/>
          </w:r>
        </w:p>
      </w:tc>
      <w:tc>
        <w:tcPr>
          <w:tcW w:w="8789" w:type="dxa"/>
          <w:tcBorders>
            <w:top w:val="single" w:sz="4" w:space="0" w:color="auto"/>
          </w:tcBorders>
        </w:tcPr>
        <w:p w14:paraId="24E48B76" w14:textId="77777777" w:rsidR="000B1E32" w:rsidRDefault="000B1E32" w:rsidP="007744C2">
          <w:pPr>
            <w:pStyle w:val="RectoFooter"/>
            <w:jc w:val="left"/>
          </w:pPr>
          <w:r>
            <w:t>Advice to Minister</w:t>
          </w:r>
          <w:r w:rsidR="000B7A81">
            <w:t xml:space="preserve"> of Health</w:t>
          </w:r>
          <w:r>
            <w:t>:</w:t>
          </w:r>
          <w:r>
            <w:br/>
            <w:t>ACART Advice and Guidelines for Gamete and Embryo Donation and Surrogacy</w:t>
          </w:r>
        </w:p>
      </w:tc>
    </w:tr>
  </w:tbl>
  <w:p w14:paraId="5F04BB89" w14:textId="77777777" w:rsidR="000B1E32" w:rsidRPr="00346DCC" w:rsidRDefault="000B1E32" w:rsidP="00346DCC">
    <w:pP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0B1E32" w14:paraId="4AF619A2" w14:textId="77777777" w:rsidTr="00C819DC">
      <w:trPr>
        <w:cantSplit/>
      </w:trPr>
      <w:tc>
        <w:tcPr>
          <w:tcW w:w="8789" w:type="dxa"/>
          <w:tcBorders>
            <w:bottom w:val="nil"/>
          </w:tcBorders>
          <w:vAlign w:val="center"/>
        </w:tcPr>
        <w:p w14:paraId="0AD1A6EE" w14:textId="77777777" w:rsidR="000B1E32" w:rsidRDefault="000B1E32" w:rsidP="00C819DC">
          <w:pPr>
            <w:pStyle w:val="RectoFooter"/>
            <w:jc w:val="right"/>
          </w:pPr>
          <w:r>
            <w:t>Advice to Minister</w:t>
          </w:r>
          <w:r w:rsidR="000B7A81">
            <w:t xml:space="preserve"> of Health</w:t>
          </w:r>
          <w:r>
            <w:t>:</w:t>
          </w:r>
          <w:r>
            <w:br/>
            <w:t>ACART Advice and Guidelines for Gamete and Embryo Donation and Surrogacy</w:t>
          </w:r>
          <w:r>
            <w:rPr>
              <w:noProof/>
              <w:lang w:eastAsia="en-NZ"/>
            </w:rPr>
            <w:drawing>
              <wp:anchor distT="0" distB="0" distL="114300" distR="114300" simplePos="0" relativeHeight="251833344" behindDoc="1" locked="0" layoutInCell="1" allowOverlap="1" wp14:anchorId="38D7854C" wp14:editId="3F21768C">
                <wp:simplePos x="0" y="0"/>
                <wp:positionH relativeFrom="column">
                  <wp:posOffset>5006975</wp:posOffset>
                </wp:positionH>
                <wp:positionV relativeFrom="paragraph">
                  <wp:posOffset>-914400</wp:posOffset>
                </wp:positionV>
                <wp:extent cx="1449705" cy="1449070"/>
                <wp:effectExtent l="0" t="0" r="0" b="0"/>
                <wp:wrapNone/>
                <wp:docPr id="7" name="Picture 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27FDB42E" w14:textId="77777777" w:rsidR="000B1E32" w:rsidRDefault="000B1E32" w:rsidP="00C819DC">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55</w:t>
          </w:r>
          <w:r>
            <w:rPr>
              <w:rStyle w:val="PageNumber"/>
            </w:rPr>
            <w:fldChar w:fldCharType="end"/>
          </w:r>
        </w:p>
      </w:tc>
    </w:tr>
  </w:tbl>
  <w:p w14:paraId="5E423C48" w14:textId="77777777" w:rsidR="000B1E32" w:rsidRPr="00674A36" w:rsidRDefault="000B1E32" w:rsidP="00674A3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8924" w14:textId="77777777" w:rsidR="000B1E32" w:rsidRDefault="000B1E32">
    <w:r>
      <w:t>Proposed Guidelines on Extending Storage of Gametes and Embryos: Consultation document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6C01241F" w14:textId="77777777" w:rsidTr="006E2BBA">
      <w:trPr>
        <w:cantSplit/>
      </w:trPr>
      <w:tc>
        <w:tcPr>
          <w:tcW w:w="709" w:type="dxa"/>
        </w:tcPr>
        <w:p w14:paraId="25E663AD" w14:textId="77777777" w:rsidR="000B1E32" w:rsidRDefault="000B1E32" w:rsidP="006E2BBA">
          <w:r>
            <w:rPr>
              <w:noProof/>
              <w:lang w:eastAsia="en-NZ"/>
            </w:rPr>
            <w:drawing>
              <wp:anchor distT="0" distB="0" distL="114300" distR="114300" simplePos="0" relativeHeight="251834368" behindDoc="1" locked="0" layoutInCell="1" allowOverlap="1" wp14:anchorId="79CFEB2A" wp14:editId="387D97E1">
                <wp:simplePos x="0" y="0"/>
                <wp:positionH relativeFrom="column">
                  <wp:posOffset>-423545</wp:posOffset>
                </wp:positionH>
                <wp:positionV relativeFrom="paragraph">
                  <wp:posOffset>-904933</wp:posOffset>
                </wp:positionV>
                <wp:extent cx="1449705" cy="1449070"/>
                <wp:effectExtent l="0" t="0" r="0" b="0"/>
                <wp:wrapNone/>
                <wp:docPr id="57" name="Picture 5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16</w:t>
          </w:r>
          <w:r>
            <w:rPr>
              <w:rStyle w:val="PageNumber"/>
            </w:rPr>
            <w:fldChar w:fldCharType="end"/>
          </w:r>
        </w:p>
      </w:tc>
      <w:tc>
        <w:tcPr>
          <w:tcW w:w="8789" w:type="dxa"/>
          <w:tcBorders>
            <w:top w:val="single" w:sz="4" w:space="0" w:color="auto"/>
          </w:tcBorders>
        </w:tcPr>
        <w:p w14:paraId="128AA5A3" w14:textId="77777777" w:rsidR="000B1E32" w:rsidRDefault="000B1E32" w:rsidP="006E2BBA">
          <w:pPr>
            <w:pStyle w:val="RectoFooter"/>
            <w:jc w:val="left"/>
          </w:pPr>
          <w:r>
            <w:t>Advice to Minister</w:t>
          </w:r>
          <w:r w:rsidR="000B7A81">
            <w:t xml:space="preserve"> of Health</w:t>
          </w:r>
          <w:r>
            <w:t>:</w:t>
          </w:r>
          <w:r>
            <w:br/>
            <w:t>ACART Advice and Guidelines for Gamete and Embryo Donation and Surrogacy</w:t>
          </w:r>
        </w:p>
      </w:tc>
    </w:tr>
  </w:tbl>
  <w:p w14:paraId="02D3A52A" w14:textId="77777777" w:rsidR="000B1E32" w:rsidRPr="004D655D" w:rsidRDefault="000B1E32">
    <w:pPr>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D69BA" w14:paraId="305BB923" w14:textId="77777777" w:rsidTr="000268BC">
      <w:trPr>
        <w:cantSplit/>
      </w:trPr>
      <w:tc>
        <w:tcPr>
          <w:tcW w:w="8789" w:type="dxa"/>
          <w:tcBorders>
            <w:bottom w:val="nil"/>
          </w:tcBorders>
          <w:vAlign w:val="center"/>
        </w:tcPr>
        <w:p w14:paraId="543CEDF0" w14:textId="77777777" w:rsidR="00DD69BA" w:rsidRDefault="00DD69BA" w:rsidP="000268BC">
          <w:pPr>
            <w:pStyle w:val="RectoFooter"/>
            <w:jc w:val="right"/>
          </w:pPr>
          <w:r>
            <w:t>Advice to Minister of Health:</w:t>
          </w:r>
          <w:r>
            <w:br/>
            <w:t>ACART Advice and Guidelines for Gamete and Embryo Donation and Surrogacy</w:t>
          </w:r>
          <w:r>
            <w:rPr>
              <w:noProof/>
              <w:lang w:eastAsia="en-NZ"/>
            </w:rPr>
            <w:drawing>
              <wp:anchor distT="0" distB="0" distL="114300" distR="114300" simplePos="0" relativeHeight="251848704" behindDoc="1" locked="0" layoutInCell="1" allowOverlap="1" wp14:anchorId="453862B0" wp14:editId="1F2ECC83">
                <wp:simplePos x="0" y="0"/>
                <wp:positionH relativeFrom="column">
                  <wp:posOffset>5006975</wp:posOffset>
                </wp:positionH>
                <wp:positionV relativeFrom="paragraph">
                  <wp:posOffset>-914400</wp:posOffset>
                </wp:positionV>
                <wp:extent cx="1449705" cy="1449070"/>
                <wp:effectExtent l="0" t="0" r="0" b="0"/>
                <wp:wrapNone/>
                <wp:docPr id="31" name="Picture 3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08102F8" w14:textId="77777777" w:rsidR="00DD69BA" w:rsidRDefault="00DD69BA" w:rsidP="000268BC">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17</w:t>
          </w:r>
          <w:r>
            <w:rPr>
              <w:rStyle w:val="PageNumber"/>
            </w:rPr>
            <w:fldChar w:fldCharType="end"/>
          </w:r>
        </w:p>
      </w:tc>
    </w:tr>
  </w:tbl>
  <w:p w14:paraId="49DA53C6" w14:textId="77777777" w:rsidR="00DD69BA" w:rsidRPr="004D655D" w:rsidRDefault="00DD69BA">
    <w:pPr>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F96760" w14:paraId="2FA79541" w14:textId="77777777" w:rsidTr="000268BC">
      <w:trPr>
        <w:cantSplit/>
      </w:trPr>
      <w:tc>
        <w:tcPr>
          <w:tcW w:w="709" w:type="dxa"/>
        </w:tcPr>
        <w:p w14:paraId="61439C4A" w14:textId="77777777" w:rsidR="00F96760" w:rsidRDefault="00F96760" w:rsidP="000268BC">
          <w:r>
            <w:rPr>
              <w:noProof/>
              <w:lang w:eastAsia="en-NZ"/>
            </w:rPr>
            <w:drawing>
              <wp:anchor distT="0" distB="0" distL="114300" distR="114300" simplePos="0" relativeHeight="251850752" behindDoc="1" locked="0" layoutInCell="1" allowOverlap="1" wp14:anchorId="61687782" wp14:editId="7FBD9FB9">
                <wp:simplePos x="0" y="0"/>
                <wp:positionH relativeFrom="column">
                  <wp:posOffset>-423545</wp:posOffset>
                </wp:positionH>
                <wp:positionV relativeFrom="paragraph">
                  <wp:posOffset>-904933</wp:posOffset>
                </wp:positionV>
                <wp:extent cx="1449705" cy="1449070"/>
                <wp:effectExtent l="0" t="0" r="0" b="0"/>
                <wp:wrapNone/>
                <wp:docPr id="33" name="Picture 3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56</w:t>
          </w:r>
          <w:r>
            <w:rPr>
              <w:rStyle w:val="PageNumber"/>
            </w:rPr>
            <w:fldChar w:fldCharType="end"/>
          </w:r>
        </w:p>
      </w:tc>
      <w:tc>
        <w:tcPr>
          <w:tcW w:w="8789" w:type="dxa"/>
          <w:tcBorders>
            <w:top w:val="single" w:sz="4" w:space="0" w:color="auto"/>
          </w:tcBorders>
        </w:tcPr>
        <w:p w14:paraId="79CFB033" w14:textId="77777777" w:rsidR="00F96760" w:rsidRDefault="00F96760" w:rsidP="000268BC">
          <w:pPr>
            <w:pStyle w:val="RectoFooter"/>
            <w:jc w:val="left"/>
          </w:pPr>
          <w:r>
            <w:t>Advice to Minister of Health:</w:t>
          </w:r>
          <w:r>
            <w:br/>
            <w:t>ACART Advice and Guidelines for Gamete and Embryo Donation and Surrogacy</w:t>
          </w:r>
        </w:p>
      </w:tc>
    </w:tr>
  </w:tbl>
  <w:p w14:paraId="4B15BADA" w14:textId="77777777" w:rsidR="00F96760" w:rsidRPr="004D655D" w:rsidRDefault="00F9676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66DDC141" w14:textId="77777777">
      <w:trPr>
        <w:cantSplit/>
      </w:trPr>
      <w:tc>
        <w:tcPr>
          <w:tcW w:w="709" w:type="dxa"/>
        </w:tcPr>
        <w:p w14:paraId="3B09A00A" w14:textId="77777777" w:rsidR="000B1E32" w:rsidRDefault="000B1E32" w:rsidP="00346DCC">
          <w:r>
            <w:rPr>
              <w:noProof/>
              <w:lang w:eastAsia="en-NZ"/>
            </w:rPr>
            <w:drawing>
              <wp:anchor distT="0" distB="0" distL="114300" distR="114300" simplePos="0" relativeHeight="251836416" behindDoc="1" locked="0" layoutInCell="1" allowOverlap="1" wp14:anchorId="338D4567" wp14:editId="4DAC5084">
                <wp:simplePos x="0" y="0"/>
                <wp:positionH relativeFrom="column">
                  <wp:posOffset>-423545</wp:posOffset>
                </wp:positionH>
                <wp:positionV relativeFrom="paragraph">
                  <wp:posOffset>-904933</wp:posOffset>
                </wp:positionV>
                <wp:extent cx="1449705" cy="1449070"/>
                <wp:effectExtent l="0" t="0" r="0" b="0"/>
                <wp:wrapNone/>
                <wp:docPr id="15" name="Picture 1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iv</w:t>
          </w:r>
          <w:r>
            <w:rPr>
              <w:rStyle w:val="PageNumber"/>
            </w:rPr>
            <w:fldChar w:fldCharType="end"/>
          </w:r>
        </w:p>
      </w:tc>
      <w:tc>
        <w:tcPr>
          <w:tcW w:w="8789" w:type="dxa"/>
          <w:tcBorders>
            <w:top w:val="single" w:sz="4" w:space="0" w:color="auto"/>
          </w:tcBorders>
        </w:tcPr>
        <w:p w14:paraId="7B4D7DBD" w14:textId="77777777" w:rsidR="000B1E32" w:rsidRDefault="000B1E32" w:rsidP="00451076">
          <w:pPr>
            <w:pStyle w:val="RectoFooter"/>
            <w:jc w:val="left"/>
          </w:pPr>
          <w:r>
            <w:t>Advice to Minister</w:t>
          </w:r>
          <w:r w:rsidR="000B7A81">
            <w:t xml:space="preserve"> of Health</w:t>
          </w:r>
          <w:r>
            <w:t>:</w:t>
          </w:r>
          <w:r>
            <w:br/>
            <w:t>ACART Advice and Guidelines for Gamete and Embryo Donation and Surrogacy</w:t>
          </w:r>
        </w:p>
      </w:tc>
    </w:tr>
  </w:tbl>
  <w:p w14:paraId="644BD5B8" w14:textId="77777777" w:rsidR="000B1E32" w:rsidRPr="00346DCC" w:rsidRDefault="000B1E32" w:rsidP="00346DC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E0D7E" w14:paraId="1F32D53D" w14:textId="77777777">
      <w:trPr>
        <w:cantSplit/>
      </w:trPr>
      <w:tc>
        <w:tcPr>
          <w:tcW w:w="8789" w:type="dxa"/>
          <w:tcBorders>
            <w:bottom w:val="nil"/>
          </w:tcBorders>
          <w:vAlign w:val="center"/>
        </w:tcPr>
        <w:p w14:paraId="222A8769" w14:textId="77777777" w:rsidR="003E0D7E" w:rsidRDefault="003E0D7E" w:rsidP="000B7A81">
          <w:pPr>
            <w:pStyle w:val="RectoFooter"/>
            <w:jc w:val="right"/>
          </w:pPr>
          <w:r>
            <w:rPr>
              <w:noProof/>
              <w:lang w:eastAsia="en-NZ"/>
            </w:rPr>
            <w:drawing>
              <wp:anchor distT="0" distB="0" distL="114300" distR="114300" simplePos="0" relativeHeight="251840512" behindDoc="1" locked="0" layoutInCell="1" allowOverlap="1" wp14:anchorId="6699B875" wp14:editId="32465EE9">
                <wp:simplePos x="0" y="0"/>
                <wp:positionH relativeFrom="column">
                  <wp:posOffset>5006975</wp:posOffset>
                </wp:positionH>
                <wp:positionV relativeFrom="paragraph">
                  <wp:posOffset>-914400</wp:posOffset>
                </wp:positionV>
                <wp:extent cx="1449705" cy="1449070"/>
                <wp:effectExtent l="0" t="0" r="0" b="0"/>
                <wp:wrapNone/>
                <wp:docPr id="16" name="Picture 1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Advice to Minister</w:t>
          </w:r>
          <w:r w:rsidR="000B7A81">
            <w:t xml:space="preserve"> of Health</w:t>
          </w:r>
          <w:r>
            <w:t>:</w:t>
          </w:r>
          <w:r>
            <w:br/>
            <w:t>ACART Advice and Guidelines for Gamete and Embryo Donation and Surrogacy</w:t>
          </w:r>
        </w:p>
      </w:tc>
      <w:tc>
        <w:tcPr>
          <w:tcW w:w="709" w:type="dxa"/>
          <w:tcBorders>
            <w:top w:val="nil"/>
            <w:bottom w:val="nil"/>
          </w:tcBorders>
        </w:tcPr>
        <w:p w14:paraId="54997BE5" w14:textId="77777777" w:rsidR="003E0D7E" w:rsidRDefault="003E0D7E" w:rsidP="00901C70">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5</w:t>
          </w:r>
          <w:r>
            <w:rPr>
              <w:rStyle w:val="PageNumber"/>
            </w:rPr>
            <w:fldChar w:fldCharType="end"/>
          </w:r>
        </w:p>
      </w:tc>
    </w:tr>
  </w:tbl>
  <w:p w14:paraId="7C2B3EDA" w14:textId="77777777" w:rsidR="003E0D7E" w:rsidRPr="00674A36" w:rsidRDefault="003E0D7E" w:rsidP="00674A36">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2728C7" w14:paraId="291D043A" w14:textId="77777777" w:rsidTr="000268BC">
      <w:trPr>
        <w:cantSplit/>
      </w:trPr>
      <w:tc>
        <w:tcPr>
          <w:tcW w:w="8789" w:type="dxa"/>
          <w:tcBorders>
            <w:bottom w:val="nil"/>
          </w:tcBorders>
          <w:vAlign w:val="center"/>
        </w:tcPr>
        <w:p w14:paraId="25B35E4B" w14:textId="77777777" w:rsidR="002728C7" w:rsidRDefault="002728C7" w:rsidP="000268BC">
          <w:pPr>
            <w:pStyle w:val="RectoFooter"/>
            <w:jc w:val="right"/>
          </w:pPr>
          <w:r>
            <w:rPr>
              <w:noProof/>
              <w:lang w:eastAsia="en-NZ"/>
            </w:rPr>
            <w:drawing>
              <wp:anchor distT="0" distB="0" distL="114300" distR="114300" simplePos="0" relativeHeight="251842560" behindDoc="1" locked="0" layoutInCell="1" allowOverlap="1" wp14:anchorId="50B3D487" wp14:editId="1DED2E9D">
                <wp:simplePos x="0" y="0"/>
                <wp:positionH relativeFrom="column">
                  <wp:posOffset>5006975</wp:posOffset>
                </wp:positionH>
                <wp:positionV relativeFrom="paragraph">
                  <wp:posOffset>-914400</wp:posOffset>
                </wp:positionV>
                <wp:extent cx="1449705" cy="1449070"/>
                <wp:effectExtent l="0" t="0" r="0" b="0"/>
                <wp:wrapNone/>
                <wp:docPr id="24" name="Picture 2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Advice to Minister</w:t>
          </w:r>
          <w:r w:rsidR="000B7A81">
            <w:t xml:space="preserve"> of Health</w:t>
          </w:r>
          <w:r>
            <w:t>:</w:t>
          </w:r>
          <w:r>
            <w:br/>
            <w:t>ACART Advice and Guidelines for Gamete and Embryo Donation and Surrogacy</w:t>
          </w:r>
        </w:p>
      </w:tc>
      <w:tc>
        <w:tcPr>
          <w:tcW w:w="709" w:type="dxa"/>
          <w:tcBorders>
            <w:top w:val="nil"/>
            <w:bottom w:val="nil"/>
          </w:tcBorders>
        </w:tcPr>
        <w:p w14:paraId="6D35196B" w14:textId="77777777" w:rsidR="002728C7" w:rsidRDefault="002728C7" w:rsidP="000268BC">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iii</w:t>
          </w:r>
          <w:r>
            <w:rPr>
              <w:rStyle w:val="PageNumber"/>
            </w:rPr>
            <w:fldChar w:fldCharType="end"/>
          </w:r>
        </w:p>
      </w:tc>
    </w:tr>
  </w:tbl>
  <w:p w14:paraId="5937DD57" w14:textId="77777777" w:rsidR="003E0D7E" w:rsidRPr="002728C7" w:rsidRDefault="003E0D7E" w:rsidP="002728C7">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0EC2449D" w14:textId="77777777">
      <w:trPr>
        <w:cantSplit/>
      </w:trPr>
      <w:tc>
        <w:tcPr>
          <w:tcW w:w="709" w:type="dxa"/>
        </w:tcPr>
        <w:p w14:paraId="7B9B67CB" w14:textId="77777777" w:rsidR="000B1E32" w:rsidRDefault="000B1E32" w:rsidP="00346DCC">
          <w:r>
            <w:rPr>
              <w:noProof/>
              <w:lang w:eastAsia="en-NZ"/>
            </w:rPr>
            <w:drawing>
              <wp:anchor distT="0" distB="0" distL="114300" distR="114300" simplePos="0" relativeHeight="251815936" behindDoc="1" locked="0" layoutInCell="1" allowOverlap="1" wp14:anchorId="2F220245" wp14:editId="46BDE49D">
                <wp:simplePos x="0" y="0"/>
                <wp:positionH relativeFrom="column">
                  <wp:posOffset>-423545</wp:posOffset>
                </wp:positionH>
                <wp:positionV relativeFrom="paragraph">
                  <wp:posOffset>-904933</wp:posOffset>
                </wp:positionV>
                <wp:extent cx="1449705" cy="1449070"/>
                <wp:effectExtent l="0" t="0" r="0" b="0"/>
                <wp:wrapNone/>
                <wp:docPr id="18" name="Picture 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2</w:t>
          </w:r>
          <w:r>
            <w:rPr>
              <w:rStyle w:val="PageNumber"/>
            </w:rPr>
            <w:fldChar w:fldCharType="end"/>
          </w:r>
        </w:p>
      </w:tc>
      <w:tc>
        <w:tcPr>
          <w:tcW w:w="8789" w:type="dxa"/>
          <w:tcBorders>
            <w:top w:val="single" w:sz="4" w:space="0" w:color="auto"/>
          </w:tcBorders>
        </w:tcPr>
        <w:p w14:paraId="13E9E351" w14:textId="77777777" w:rsidR="000B1E32" w:rsidRDefault="000B7A81" w:rsidP="007744C2">
          <w:pPr>
            <w:pStyle w:val="RectoFooter"/>
            <w:jc w:val="left"/>
          </w:pPr>
          <w:r>
            <w:t>Advice to Minister of Health:</w:t>
          </w:r>
          <w:r>
            <w:br/>
          </w:r>
          <w:r w:rsidR="000B1E32">
            <w:t>ACART Advice and Guidelines for Gamete and Embryo Donation and Surrogacy</w:t>
          </w:r>
        </w:p>
      </w:tc>
    </w:tr>
  </w:tbl>
  <w:p w14:paraId="4DCEF8A0" w14:textId="77777777" w:rsidR="000B1E32" w:rsidRPr="00346DCC" w:rsidRDefault="000B1E32" w:rsidP="00346DCC">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0B1E32" w14:paraId="1CD8D7A2" w14:textId="77777777" w:rsidTr="002D5F68">
      <w:trPr>
        <w:cantSplit/>
      </w:trPr>
      <w:tc>
        <w:tcPr>
          <w:tcW w:w="8789" w:type="dxa"/>
          <w:tcBorders>
            <w:bottom w:val="nil"/>
          </w:tcBorders>
          <w:vAlign w:val="center"/>
        </w:tcPr>
        <w:p w14:paraId="40ED4F76" w14:textId="77777777" w:rsidR="000B1E32" w:rsidRDefault="000B1E32" w:rsidP="00451076">
          <w:pPr>
            <w:pStyle w:val="RectoFooter"/>
            <w:jc w:val="right"/>
          </w:pPr>
          <w:r>
            <w:t>Advice to Minister</w:t>
          </w:r>
          <w:r w:rsidR="000B7A81">
            <w:t xml:space="preserve"> of Health</w:t>
          </w:r>
          <w:r>
            <w:t>:</w:t>
          </w:r>
          <w:r>
            <w:br/>
            <w:t>ACART Advice and Guidelines for Gamete and Embryo Donation and Surrogacy</w:t>
          </w:r>
          <w:r>
            <w:rPr>
              <w:noProof/>
              <w:lang w:eastAsia="en-NZ"/>
            </w:rPr>
            <w:drawing>
              <wp:anchor distT="0" distB="0" distL="114300" distR="114300" simplePos="0" relativeHeight="251810816" behindDoc="1" locked="0" layoutInCell="1" allowOverlap="1" wp14:anchorId="7F95C12C" wp14:editId="2F20A2FB">
                <wp:simplePos x="0" y="0"/>
                <wp:positionH relativeFrom="column">
                  <wp:posOffset>5006975</wp:posOffset>
                </wp:positionH>
                <wp:positionV relativeFrom="paragraph">
                  <wp:posOffset>-914400</wp:posOffset>
                </wp:positionV>
                <wp:extent cx="1449705" cy="1449070"/>
                <wp:effectExtent l="0" t="0" r="0" b="0"/>
                <wp:wrapNone/>
                <wp:docPr id="25" name="Picture 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B0E40CD" w14:textId="77777777" w:rsidR="000B1E32" w:rsidRDefault="000B1E32" w:rsidP="002D5F68">
          <w:pPr>
            <w:jc w:val="right"/>
          </w:pP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1</w:t>
          </w:r>
          <w:r>
            <w:rPr>
              <w:rStyle w:val="PageNumber"/>
            </w:rPr>
            <w:fldChar w:fldCharType="end"/>
          </w:r>
        </w:p>
      </w:tc>
    </w:tr>
  </w:tbl>
  <w:p w14:paraId="45D52FB4" w14:textId="77777777" w:rsidR="000B1E32" w:rsidRPr="004D655D" w:rsidRDefault="000B1E32">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8C4842" w14:paraId="3087A62A" w14:textId="77777777" w:rsidTr="000268BC">
      <w:trPr>
        <w:cantSplit/>
      </w:trPr>
      <w:tc>
        <w:tcPr>
          <w:tcW w:w="709" w:type="dxa"/>
        </w:tcPr>
        <w:p w14:paraId="295EE958" w14:textId="77777777" w:rsidR="008C4842" w:rsidRDefault="008C4842" w:rsidP="000268BC">
          <w:r>
            <w:rPr>
              <w:noProof/>
              <w:lang w:eastAsia="en-NZ"/>
            </w:rPr>
            <w:drawing>
              <wp:anchor distT="0" distB="0" distL="114300" distR="114300" simplePos="0" relativeHeight="251844608" behindDoc="1" locked="0" layoutInCell="1" allowOverlap="1" wp14:anchorId="1219438A" wp14:editId="6E40BC21">
                <wp:simplePos x="0" y="0"/>
                <wp:positionH relativeFrom="column">
                  <wp:posOffset>-423545</wp:posOffset>
                </wp:positionH>
                <wp:positionV relativeFrom="paragraph">
                  <wp:posOffset>-904933</wp:posOffset>
                </wp:positionV>
                <wp:extent cx="1449705" cy="1449070"/>
                <wp:effectExtent l="0" t="0" r="0" b="0"/>
                <wp:wrapNone/>
                <wp:docPr id="27" name="Picture 2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6</w:t>
          </w:r>
          <w:r>
            <w:rPr>
              <w:rStyle w:val="PageNumber"/>
            </w:rPr>
            <w:fldChar w:fldCharType="end"/>
          </w:r>
        </w:p>
      </w:tc>
      <w:tc>
        <w:tcPr>
          <w:tcW w:w="8789" w:type="dxa"/>
          <w:tcBorders>
            <w:top w:val="single" w:sz="4" w:space="0" w:color="auto"/>
          </w:tcBorders>
        </w:tcPr>
        <w:p w14:paraId="392A8D9E" w14:textId="77777777" w:rsidR="008C4842" w:rsidRDefault="008C4842" w:rsidP="000268BC">
          <w:pPr>
            <w:pStyle w:val="RectoFooter"/>
            <w:jc w:val="left"/>
          </w:pPr>
          <w:r>
            <w:t>Advice to Minister of Health:</w:t>
          </w:r>
          <w:r>
            <w:br/>
            <w:t>ACART Advice and Guidelines for Gamete and Embryo Donation and Surrogacy</w:t>
          </w:r>
        </w:p>
      </w:tc>
    </w:tr>
  </w:tbl>
  <w:p w14:paraId="5EFE62D6" w14:textId="77777777" w:rsidR="008C4842" w:rsidRPr="004D655D" w:rsidRDefault="008C4842">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0B1E32" w14:paraId="1396B42C" w14:textId="77777777">
      <w:trPr>
        <w:cantSplit/>
      </w:trPr>
      <w:tc>
        <w:tcPr>
          <w:tcW w:w="709" w:type="dxa"/>
        </w:tcPr>
        <w:p w14:paraId="37A8C609" w14:textId="77777777" w:rsidR="000B1E32" w:rsidRDefault="000B1E32" w:rsidP="00346DCC">
          <w:r>
            <w:rPr>
              <w:noProof/>
              <w:lang w:eastAsia="en-NZ"/>
            </w:rPr>
            <w:drawing>
              <wp:anchor distT="0" distB="0" distL="114300" distR="114300" simplePos="0" relativeHeight="251827200" behindDoc="1" locked="0" layoutInCell="1" allowOverlap="1" wp14:anchorId="447E2444" wp14:editId="36421C4C">
                <wp:simplePos x="0" y="0"/>
                <wp:positionH relativeFrom="column">
                  <wp:posOffset>-423545</wp:posOffset>
                </wp:positionH>
                <wp:positionV relativeFrom="paragraph">
                  <wp:posOffset>-904933</wp:posOffset>
                </wp:positionV>
                <wp:extent cx="1449705" cy="1449070"/>
                <wp:effectExtent l="0" t="0" r="0" b="0"/>
                <wp:wrapNone/>
                <wp:docPr id="1" name="Picture 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8D1D75">
            <w:rPr>
              <w:rStyle w:val="PageNumber"/>
              <w:noProof/>
            </w:rPr>
            <w:t>12</w:t>
          </w:r>
          <w:r>
            <w:rPr>
              <w:rStyle w:val="PageNumber"/>
            </w:rPr>
            <w:fldChar w:fldCharType="end"/>
          </w:r>
        </w:p>
      </w:tc>
      <w:tc>
        <w:tcPr>
          <w:tcW w:w="8789" w:type="dxa"/>
          <w:tcBorders>
            <w:top w:val="single" w:sz="4" w:space="0" w:color="auto"/>
          </w:tcBorders>
        </w:tcPr>
        <w:p w14:paraId="60C22873" w14:textId="77777777" w:rsidR="000B1E32" w:rsidRDefault="000B1E32" w:rsidP="00BA5785">
          <w:pPr>
            <w:pStyle w:val="RectoFooter"/>
            <w:jc w:val="left"/>
          </w:pPr>
          <w:r>
            <w:t>Advice to Minister</w:t>
          </w:r>
          <w:r w:rsidR="000B7A81">
            <w:t xml:space="preserve"> of Health</w:t>
          </w:r>
          <w:r>
            <w:t>:</w:t>
          </w:r>
          <w:r>
            <w:br/>
            <w:t>ACART Advice and Guidelines for Gamete and Embryo Donation and Surrogacy</w:t>
          </w:r>
        </w:p>
      </w:tc>
    </w:tr>
  </w:tbl>
  <w:p w14:paraId="178AC125" w14:textId="77777777" w:rsidR="000B1E32" w:rsidRPr="00346DCC" w:rsidRDefault="000B1E32" w:rsidP="00346D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C94F" w14:textId="77777777" w:rsidR="00F30721" w:rsidRPr="00A266FF" w:rsidRDefault="00F30721">
      <w:pPr>
        <w:rPr>
          <w:sz w:val="18"/>
          <w:szCs w:val="18"/>
        </w:rPr>
      </w:pPr>
      <w:r w:rsidRPr="00A266FF">
        <w:rPr>
          <w:sz w:val="18"/>
          <w:szCs w:val="18"/>
        </w:rPr>
        <w:separator/>
      </w:r>
    </w:p>
  </w:footnote>
  <w:footnote w:type="continuationSeparator" w:id="0">
    <w:p w14:paraId="45F58110" w14:textId="77777777" w:rsidR="00F30721" w:rsidRDefault="00F30721">
      <w:r>
        <w:continuationSeparator/>
      </w:r>
    </w:p>
  </w:footnote>
  <w:footnote w:id="1">
    <w:p w14:paraId="28A572D2" w14:textId="77777777" w:rsidR="00FF6216" w:rsidRPr="00980E88" w:rsidRDefault="00FF6216" w:rsidP="00FF6216">
      <w:pPr>
        <w:pStyle w:val="FootnoteText"/>
      </w:pPr>
      <w:r w:rsidRPr="00F269C2">
        <w:rPr>
          <w:rStyle w:val="FootnoteReference"/>
        </w:rPr>
        <w:footnoteRef/>
      </w:r>
      <w:r>
        <w:tab/>
        <w:t>In a traditional surrogacy, the surrogate uses her own egg, with</w:t>
      </w:r>
      <w:r w:rsidRPr="00971B23">
        <w:t xml:space="preserve"> </w:t>
      </w:r>
      <w:r>
        <w:t>either in vitro fertilisation (IVF) or insemination. In a gestational surrogacy, the surrogate uses an embryo created for the intending parents (usually from their own gametes, but removing the mandatory biological link also makes it possible to be a donated embryo).</w:t>
      </w:r>
    </w:p>
  </w:footnote>
  <w:footnote w:id="2">
    <w:p w14:paraId="6E32AA71" w14:textId="77777777" w:rsidR="000B1E32" w:rsidRPr="00D15460" w:rsidRDefault="000B1E32" w:rsidP="00547D02">
      <w:pPr>
        <w:pStyle w:val="FootnoteText"/>
      </w:pPr>
      <w:r w:rsidRPr="00E47BA8">
        <w:rPr>
          <w:rStyle w:val="FootnoteReference"/>
          <w:rFonts w:eastAsia="Calibri"/>
        </w:rPr>
        <w:footnoteRef/>
      </w:r>
      <w:r w:rsidRPr="00D15460">
        <w:tab/>
        <w:t xml:space="preserve">This </w:t>
      </w:r>
      <w:r w:rsidRPr="00D15460">
        <w:rPr>
          <w:rFonts w:eastAsia="Calibri"/>
        </w:rPr>
        <w:t xml:space="preserve">provision does </w:t>
      </w:r>
      <w:r w:rsidRPr="00D15460">
        <w:rPr>
          <w:rFonts w:eastAsia="Calibri"/>
          <w:b/>
        </w:rPr>
        <w:t>not</w:t>
      </w:r>
      <w:r w:rsidRPr="00D15460">
        <w:rPr>
          <w:rFonts w:eastAsia="Calibri"/>
        </w:rPr>
        <w:t xml:space="preserve"> mean that gamete donors (or any other parties) have to give consent every time a recipient has an embryo transferred (after </w:t>
      </w:r>
      <w:r>
        <w:rPr>
          <w:rFonts w:eastAsia="Calibri"/>
        </w:rPr>
        <w:t xml:space="preserve">all parties have agree to </w:t>
      </w:r>
      <w:r w:rsidRPr="00D15460">
        <w:rPr>
          <w:rFonts w:eastAsia="Calibri"/>
        </w:rPr>
        <w:t>the embryo donation).</w:t>
      </w:r>
    </w:p>
  </w:footnote>
  <w:footnote w:id="3">
    <w:p w14:paraId="28C1AE2F" w14:textId="77777777" w:rsidR="000B1E32" w:rsidRPr="00EB072A" w:rsidRDefault="000B1E32" w:rsidP="00547D02">
      <w:pPr>
        <w:pStyle w:val="FootnoteText"/>
      </w:pPr>
      <w:r w:rsidRPr="000608BF">
        <w:rPr>
          <w:rStyle w:val="FootnoteReference"/>
        </w:rPr>
        <w:footnoteRef/>
      </w:r>
      <w:r>
        <w:tab/>
      </w:r>
      <w:r w:rsidRPr="00EB072A">
        <w:t>HART Act s</w:t>
      </w:r>
      <w:r>
        <w:t xml:space="preserve"> </w:t>
      </w:r>
      <w:r w:rsidRPr="00EB072A">
        <w:t>76(1)(a)(i).</w:t>
      </w:r>
    </w:p>
  </w:footnote>
  <w:footnote w:id="4">
    <w:p w14:paraId="294401BD" w14:textId="77777777" w:rsidR="000B1E32" w:rsidRPr="00EB072A" w:rsidRDefault="000B1E32" w:rsidP="00547D02">
      <w:pPr>
        <w:pStyle w:val="FootnoteText"/>
        <w:rPr>
          <w:szCs w:val="18"/>
        </w:rPr>
      </w:pPr>
      <w:r w:rsidRPr="000608BF">
        <w:rPr>
          <w:rStyle w:val="FootnoteReference"/>
        </w:rPr>
        <w:footnoteRef/>
      </w:r>
      <w:r w:rsidRPr="00EB072A">
        <w:tab/>
        <w:t>In this document</w:t>
      </w:r>
      <w:r>
        <w:t>,</w:t>
      </w:r>
      <w:r w:rsidRPr="00EB072A">
        <w:t xml:space="preserve"> </w:t>
      </w:r>
      <w:r>
        <w:t>an ART</w:t>
      </w:r>
      <w:r w:rsidRPr="00EB072A">
        <w:t xml:space="preserve"> </w:t>
      </w:r>
      <w:r>
        <w:t>‘</w:t>
      </w:r>
      <w:r w:rsidRPr="00EB072A">
        <w:t>consumer</w:t>
      </w:r>
      <w:r>
        <w:t xml:space="preserve">’ has </w:t>
      </w:r>
      <w:r w:rsidRPr="00EB072A">
        <w:t xml:space="preserve">the definition </w:t>
      </w:r>
      <w:r>
        <w:t xml:space="preserve">given </w:t>
      </w:r>
      <w:r w:rsidRPr="00EB072A">
        <w:t xml:space="preserve">in the </w:t>
      </w:r>
      <w:r>
        <w:t>g</w:t>
      </w:r>
      <w:r w:rsidRPr="00EB072A">
        <w:t xml:space="preserve">lossary of the Fertility Services Standard: </w:t>
      </w:r>
      <w:r>
        <w:t>‘</w:t>
      </w:r>
      <w:r w:rsidRPr="00EB072A">
        <w:t>A user or participant in the service, including client, patient, gamete or embryo donor. Where appropriate this may include the family/whānau or other representatives.</w:t>
      </w:r>
      <w:r>
        <w:t>’</w:t>
      </w:r>
    </w:p>
  </w:footnote>
  <w:footnote w:id="5">
    <w:p w14:paraId="31038022" w14:textId="77777777" w:rsidR="000B1E32" w:rsidRPr="00913D1C" w:rsidRDefault="000B1E32" w:rsidP="00547D02">
      <w:pPr>
        <w:pStyle w:val="FootnoteText"/>
      </w:pPr>
      <w:r w:rsidRPr="000608BF">
        <w:rPr>
          <w:rStyle w:val="FootnoteReference"/>
        </w:rPr>
        <w:footnoteRef/>
      </w:r>
      <w:r w:rsidRPr="00EB072A">
        <w:tab/>
        <w:t xml:space="preserve">Status of Children Act 1969, s 13. The Act was amended in 2004 to extend the status of parent to a woman living as a de facto partner of the birth mother. The birth mother and her male or female partner will be the legal parents, even if neither person has a biological connection to the child. (See: </w:t>
      </w:r>
      <w:hyperlink r:id="rId1" w:history="1">
        <w:r w:rsidRPr="00615958">
          <w:rPr>
            <w:rStyle w:val="Hyperlink"/>
          </w:rPr>
          <w:t>www.legislation.govt.nz/act/public/2004/0091/latest/whole.html</w:t>
        </w:r>
      </w:hyperlink>
      <w:r>
        <w:t>.)</w:t>
      </w:r>
    </w:p>
  </w:footnote>
  <w:footnote w:id="6">
    <w:p w14:paraId="6E577556" w14:textId="77777777" w:rsidR="000B1E32" w:rsidRPr="00913D1C" w:rsidRDefault="000B1E32" w:rsidP="00547D02">
      <w:pPr>
        <w:pStyle w:val="FootnoteText"/>
      </w:pPr>
      <w:r w:rsidRPr="000608BF">
        <w:rPr>
          <w:rStyle w:val="FootnoteReference"/>
        </w:rPr>
        <w:footnoteRef/>
      </w:r>
      <w:r w:rsidRPr="00913D1C">
        <w:tab/>
        <w:t xml:space="preserve">Peart N. 2015. Alternative </w:t>
      </w:r>
      <w:r>
        <w:t>m</w:t>
      </w:r>
      <w:r w:rsidRPr="00913D1C">
        <w:t xml:space="preserve">eans of </w:t>
      </w:r>
      <w:r>
        <w:t>r</w:t>
      </w:r>
      <w:r w:rsidRPr="00913D1C">
        <w:t xml:space="preserve">eproduction. In </w:t>
      </w:r>
      <w:r>
        <w:t xml:space="preserve">P </w:t>
      </w:r>
      <w:r w:rsidRPr="00913D1C">
        <w:t xml:space="preserve">Skegg and </w:t>
      </w:r>
      <w:r>
        <w:t xml:space="preserve">R </w:t>
      </w:r>
      <w:r w:rsidRPr="00913D1C">
        <w:t>Paterson (eds)</w:t>
      </w:r>
      <w:r w:rsidRPr="004E3203">
        <w:rPr>
          <w:i/>
        </w:rPr>
        <w:t xml:space="preserve"> Health Law in New Zealand</w:t>
      </w:r>
      <w:r>
        <w:t>.</w:t>
      </w:r>
      <w:r w:rsidRPr="00913D1C">
        <w:t xml:space="preserve"> Wellington: Thomson Reuters (p 537).</w:t>
      </w:r>
    </w:p>
  </w:footnote>
  <w:footnote w:id="7">
    <w:p w14:paraId="2C3D4E0B" w14:textId="77777777" w:rsidR="000B1E32" w:rsidRPr="002C53DC" w:rsidRDefault="000B1E32" w:rsidP="00547D02">
      <w:pPr>
        <w:pStyle w:val="FootnoteText"/>
      </w:pPr>
      <w:r w:rsidRPr="006B72DA">
        <w:rPr>
          <w:rStyle w:val="FootnoteReference"/>
        </w:rPr>
        <w:footnoteRef/>
      </w:r>
      <w:r w:rsidRPr="006B72DA">
        <w:tab/>
      </w:r>
      <w:hyperlink r:id="rId2" w:history="1">
        <w:r w:rsidRPr="006B72DA">
          <w:rPr>
            <w:rStyle w:val="Hyperlink"/>
            <w:color w:val="auto"/>
          </w:rPr>
          <w:t>www.legislation.govt.nz/act/public/1955/0093/32.0/DLM292661.html</w:t>
        </w:r>
      </w:hyperlink>
    </w:p>
  </w:footnote>
  <w:footnote w:id="8">
    <w:p w14:paraId="46E7C1C1" w14:textId="77777777" w:rsidR="000B1E32" w:rsidRPr="006B72DA" w:rsidRDefault="000B1E32" w:rsidP="00547D02">
      <w:pPr>
        <w:pStyle w:val="FootnoteText"/>
      </w:pPr>
      <w:r w:rsidRPr="006B72DA">
        <w:rPr>
          <w:rStyle w:val="FootnoteReference"/>
        </w:rPr>
        <w:footnoteRef/>
      </w:r>
      <w:r w:rsidRPr="006B72DA">
        <w:tab/>
        <w:t>For a copy of ACART</w:t>
      </w:r>
      <w:r>
        <w:t>’</w:t>
      </w:r>
      <w:r w:rsidRPr="006B72DA">
        <w:t xml:space="preserve">s ethical framework, go to the ACART website: </w:t>
      </w:r>
      <w:hyperlink r:id="rId3" w:history="1">
        <w:r w:rsidRPr="006B72DA">
          <w:rPr>
            <w:rStyle w:val="Hyperlink"/>
            <w:rFonts w:cs="Arial"/>
            <w:color w:val="auto"/>
          </w:rPr>
          <w:t>www.acart.health.govt.nz</w:t>
        </w:r>
      </w:hyperlink>
      <w:r w:rsidRPr="006B72DA">
        <w:rPr>
          <w:rStyle w:val="Hyperlink"/>
          <w:rFonts w:cs="Arial"/>
          <w:color w:val="auto"/>
        </w:rPr>
        <w:t>.</w:t>
      </w:r>
    </w:p>
  </w:footnote>
  <w:footnote w:id="9">
    <w:p w14:paraId="4400E713" w14:textId="77777777" w:rsidR="000B1E32" w:rsidRPr="00B51A03" w:rsidRDefault="000B1E32" w:rsidP="00547D02">
      <w:pPr>
        <w:pStyle w:val="FootnoteText"/>
      </w:pPr>
      <w:r w:rsidRPr="006B72DA">
        <w:rPr>
          <w:rStyle w:val="FootnoteReference"/>
        </w:rPr>
        <w:footnoteRef/>
      </w:r>
      <w:r w:rsidRPr="006B72DA">
        <w:tab/>
        <w:t xml:space="preserve">Dyall L, Keith J. 1994. Analysis of written submissions made to Ministerial Committee on Assisted Reproductive Technologies. In B Atkin and P Reid, </w:t>
      </w:r>
      <w:r w:rsidRPr="006B72DA">
        <w:rPr>
          <w:i/>
        </w:rPr>
        <w:t>Assisted Human Reproduction: Navigating our future</w:t>
      </w:r>
      <w:r w:rsidRPr="006B72DA">
        <w:t xml:space="preserve">. Wellington: Ministry of Justice. URL: </w:t>
      </w:r>
      <w:hyperlink r:id="rId4" w:history="1">
        <w:r w:rsidRPr="00C535CC">
          <w:rPr>
            <w:rStyle w:val="Hyperlink"/>
          </w:rPr>
          <w:t>www.moh.govt.nz/notebook/nbbooks.nsf/0/8E8C59B6E4F845EE4C2565D70018BEB1</w:t>
        </w:r>
      </w:hyperlink>
      <w:r w:rsidRPr="006B72DA">
        <w:t xml:space="preserve"> (accessed 27 July 2017).</w:t>
      </w:r>
    </w:p>
  </w:footnote>
  <w:footnote w:id="10">
    <w:p w14:paraId="71AD9532" w14:textId="77777777" w:rsidR="000B1E32" w:rsidRPr="00D46241" w:rsidRDefault="000B1E32" w:rsidP="00547D02">
      <w:pPr>
        <w:pStyle w:val="FootnoteText"/>
      </w:pPr>
      <w:r w:rsidRPr="00F4324A">
        <w:rPr>
          <w:rStyle w:val="FootnoteReference"/>
        </w:rPr>
        <w:footnoteRef/>
      </w:r>
      <w:r w:rsidRPr="00F4324A">
        <w:tab/>
        <w:t>A genetic link means that the embryo used must be created by the sperm and/or eggs of the intending parents. A gestational link means that an embryo is gestated by a woman who is an intending parent.</w:t>
      </w:r>
    </w:p>
  </w:footnote>
  <w:footnote w:id="11">
    <w:p w14:paraId="2B41A271" w14:textId="77777777" w:rsidR="000B1E32" w:rsidRPr="00F4324A" w:rsidRDefault="000B1E32" w:rsidP="00547D02">
      <w:pPr>
        <w:pStyle w:val="FootnoteText"/>
        <w:rPr>
          <w:rFonts w:eastAsia="Calibri"/>
        </w:rPr>
      </w:pPr>
      <w:r w:rsidRPr="00F4324A">
        <w:rPr>
          <w:rStyle w:val="FootnoteReference"/>
        </w:rPr>
        <w:footnoteRef/>
      </w:r>
      <w:r w:rsidRPr="00F4324A">
        <w:tab/>
        <w:t>That requirement was in the guidelines for the use of donated eggs in conjunction with donated sperm.</w:t>
      </w:r>
    </w:p>
  </w:footnote>
  <w:footnote w:id="12">
    <w:p w14:paraId="10018585" w14:textId="77777777" w:rsidR="000B1E32" w:rsidRPr="002C53DC" w:rsidRDefault="000B1E32" w:rsidP="00547D02">
      <w:pPr>
        <w:pStyle w:val="FootnoteText"/>
      </w:pPr>
      <w:r w:rsidRPr="00F4324A">
        <w:rPr>
          <w:rStyle w:val="FootnoteReference"/>
        </w:rPr>
        <w:footnoteRef/>
      </w:r>
      <w:r>
        <w:tab/>
      </w:r>
      <w:hyperlink r:id="rId5" w:history="1">
        <w:r w:rsidRPr="00761D8B">
          <w:rPr>
            <w:rStyle w:val="Hyperlink"/>
          </w:rPr>
          <w:t>http://acart.health.govt.nz/advice-minister-health-requirements-importing-and-exporting-vitro-gametes-and-embryos-human</w:t>
        </w:r>
      </w:hyperlink>
    </w:p>
  </w:footnote>
  <w:footnote w:id="13">
    <w:p w14:paraId="256C0933" w14:textId="77777777" w:rsidR="000B1E32" w:rsidRPr="00052A5C" w:rsidRDefault="000B1E32" w:rsidP="00547D02">
      <w:pPr>
        <w:pStyle w:val="FootnoteText"/>
      </w:pPr>
      <w:r w:rsidRPr="00761846">
        <w:rPr>
          <w:rStyle w:val="FootnoteReference"/>
        </w:rPr>
        <w:footnoteRef/>
      </w:r>
      <w:r w:rsidRPr="00052A5C">
        <w:tab/>
        <w:t xml:space="preserve">Legge M, Fitzgerald R. 2016. Valuing embryos as both commodities and singularities. </w:t>
      </w:r>
      <w:r w:rsidRPr="00052A5C">
        <w:rPr>
          <w:i/>
        </w:rPr>
        <w:t>New Zealand Medical Journal</w:t>
      </w:r>
      <w:r w:rsidRPr="00052A5C">
        <w:t xml:space="preserve"> 129(1431). URL: </w:t>
      </w:r>
      <w:hyperlink r:id="rId6" w:history="1">
        <w:r w:rsidRPr="00052A5C">
          <w:rPr>
            <w:rStyle w:val="Hyperlink"/>
            <w:rFonts w:cs="Arial"/>
            <w:szCs w:val="18"/>
          </w:rPr>
          <w:t>www.nzma.org.nz/journal/read-the-journal/all-issues/2010-2019/2016/vol-129-no-1431-11-march-2016/6835</w:t>
        </w:r>
      </w:hyperlink>
      <w:r w:rsidRPr="00052A5C">
        <w:t xml:space="preserve"> (accessed 28 July 2017).</w:t>
      </w:r>
    </w:p>
  </w:footnote>
  <w:footnote w:id="14">
    <w:p w14:paraId="3CA9A0C0" w14:textId="77777777" w:rsidR="000B1E32" w:rsidRPr="00052A5C" w:rsidRDefault="000B1E32" w:rsidP="00547D02">
      <w:pPr>
        <w:pStyle w:val="FootnoteText"/>
      </w:pPr>
      <w:r w:rsidRPr="00761846">
        <w:rPr>
          <w:rStyle w:val="FootnoteReference"/>
        </w:rPr>
        <w:footnoteRef/>
      </w:r>
      <w:r w:rsidRPr="00052A5C">
        <w:tab/>
        <w:t xml:space="preserve">Golombok S. 2013. Families created by reproductive donation: issues and research. </w:t>
      </w:r>
      <w:r w:rsidRPr="00052A5C">
        <w:rPr>
          <w:i/>
        </w:rPr>
        <w:t>Child Development Perspectives</w:t>
      </w:r>
      <w:r w:rsidRPr="00052A5C">
        <w:t xml:space="preserve"> 7(1): 61–5.</w:t>
      </w:r>
    </w:p>
  </w:footnote>
  <w:footnote w:id="15">
    <w:p w14:paraId="5288BA91" w14:textId="77777777" w:rsidR="000B1E32" w:rsidRDefault="000B1E32" w:rsidP="00547D02">
      <w:pPr>
        <w:pStyle w:val="FootnoteText"/>
      </w:pPr>
      <w:r w:rsidRPr="00761846">
        <w:rPr>
          <w:rStyle w:val="FootnoteReference"/>
        </w:rPr>
        <w:footnoteRef/>
      </w:r>
      <w:r>
        <w:tab/>
      </w:r>
      <w:r w:rsidRPr="00052A5C">
        <w:t xml:space="preserve">Golombok </w:t>
      </w:r>
      <w:r>
        <w:t xml:space="preserve">S, Ilioi E, Blake L, </w:t>
      </w:r>
      <w:r w:rsidRPr="00052A5C">
        <w:t>et al</w:t>
      </w:r>
      <w:r>
        <w:t>.</w:t>
      </w:r>
      <w:r w:rsidRPr="00052A5C">
        <w:t xml:space="preserve"> </w:t>
      </w:r>
      <w:r>
        <w:t>2017.</w:t>
      </w:r>
      <w:r w:rsidRPr="00052A5C">
        <w:t xml:space="preserve"> A </w:t>
      </w:r>
      <w:r>
        <w:t>l</w:t>
      </w:r>
      <w:r w:rsidRPr="00052A5C">
        <w:t xml:space="preserve">ongitudinal </w:t>
      </w:r>
      <w:r>
        <w:t>s</w:t>
      </w:r>
      <w:r w:rsidRPr="00052A5C">
        <w:t xml:space="preserve">tudy of </w:t>
      </w:r>
      <w:r>
        <w:t>f</w:t>
      </w:r>
      <w:r w:rsidRPr="00052A5C">
        <w:t xml:space="preserve">amilies </w:t>
      </w:r>
      <w:r>
        <w:t>f</w:t>
      </w:r>
      <w:r w:rsidRPr="00052A5C">
        <w:t xml:space="preserve">ormed </w:t>
      </w:r>
      <w:r>
        <w:t>t</w:t>
      </w:r>
      <w:r w:rsidRPr="00052A5C">
        <w:t xml:space="preserve">hrough </w:t>
      </w:r>
      <w:r>
        <w:t>r</w:t>
      </w:r>
      <w:r w:rsidRPr="00052A5C">
        <w:t xml:space="preserve">eproductive </w:t>
      </w:r>
      <w:r>
        <w:t>d</w:t>
      </w:r>
      <w:r w:rsidRPr="00052A5C">
        <w:t xml:space="preserve">onation: </w:t>
      </w:r>
      <w:r>
        <w:t>p</w:t>
      </w:r>
      <w:r w:rsidRPr="00052A5C">
        <w:t>arent-</w:t>
      </w:r>
      <w:r>
        <w:t>a</w:t>
      </w:r>
      <w:r w:rsidRPr="00052A5C">
        <w:t xml:space="preserve">dolescent </w:t>
      </w:r>
      <w:r>
        <w:t>r</w:t>
      </w:r>
      <w:r w:rsidRPr="00052A5C">
        <w:t xml:space="preserve">elationships and </w:t>
      </w:r>
      <w:r>
        <w:t>a</w:t>
      </w:r>
      <w:r w:rsidRPr="00052A5C">
        <w:t xml:space="preserve">dolescent </w:t>
      </w:r>
      <w:r>
        <w:t>a</w:t>
      </w:r>
      <w:r w:rsidRPr="00052A5C">
        <w:t xml:space="preserve">djustment at </w:t>
      </w:r>
      <w:r>
        <w:t>a</w:t>
      </w:r>
      <w:r w:rsidRPr="00052A5C">
        <w:t>ge 14.</w:t>
      </w:r>
      <w:r>
        <w:t xml:space="preserve"> </w:t>
      </w:r>
      <w:r w:rsidRPr="006B4C20">
        <w:rPr>
          <w:i/>
        </w:rPr>
        <w:t>Developmental Psychology</w:t>
      </w:r>
      <w:r>
        <w:t xml:space="preserve"> 53(10): 1966–77.</w:t>
      </w:r>
    </w:p>
  </w:footnote>
  <w:footnote w:id="16">
    <w:p w14:paraId="626A3E31" w14:textId="77777777" w:rsidR="000B1E32" w:rsidRPr="00083600" w:rsidRDefault="000B1E32" w:rsidP="00547D02">
      <w:pPr>
        <w:pStyle w:val="FootnoteText"/>
      </w:pPr>
      <w:r w:rsidRPr="00761846">
        <w:rPr>
          <w:rStyle w:val="FootnoteReference"/>
        </w:rPr>
        <w:footnoteRef/>
      </w:r>
      <w:r>
        <w:tab/>
      </w:r>
      <w:r w:rsidRPr="00083600">
        <w:t>Section 4</w:t>
      </w:r>
      <w:r>
        <w:t>,</w:t>
      </w:r>
      <w:r w:rsidRPr="00083600">
        <w:t xml:space="preserve"> HART Act 2004.</w:t>
      </w:r>
    </w:p>
  </w:footnote>
  <w:footnote w:id="17">
    <w:p w14:paraId="20E0BEC3" w14:textId="77777777" w:rsidR="000B1E32" w:rsidRPr="00083600" w:rsidRDefault="000B1E32" w:rsidP="00547D02">
      <w:pPr>
        <w:pStyle w:val="FootnoteText"/>
      </w:pPr>
      <w:r w:rsidRPr="00D26FBD">
        <w:rPr>
          <w:rStyle w:val="FootnoteReference"/>
        </w:rPr>
        <w:footnoteRef/>
      </w:r>
      <w:r>
        <w:tab/>
      </w:r>
      <w:r w:rsidRPr="00083600">
        <w:t>ACART</w:t>
      </w:r>
      <w:r>
        <w:t>’</w:t>
      </w:r>
      <w:r w:rsidRPr="00083600">
        <w:t>s view on this matter is stated in general terms, and ECART must consider the status of each case on its own facts.</w:t>
      </w:r>
    </w:p>
  </w:footnote>
  <w:footnote w:id="18">
    <w:p w14:paraId="6902F3F6" w14:textId="77777777" w:rsidR="000B1E32" w:rsidRPr="00083600" w:rsidRDefault="000B1E32" w:rsidP="00547D02">
      <w:pPr>
        <w:pStyle w:val="FootnoteText"/>
      </w:pPr>
      <w:r w:rsidRPr="00D26FBD">
        <w:rPr>
          <w:rStyle w:val="FootnoteReference"/>
        </w:rPr>
        <w:footnoteRef/>
      </w:r>
      <w:r>
        <w:tab/>
        <w:t xml:space="preserve">Section 5, </w:t>
      </w:r>
      <w:r w:rsidRPr="00083600">
        <w:t xml:space="preserve">HART Act </w:t>
      </w:r>
      <w:r>
        <w:t>2004</w:t>
      </w:r>
      <w:r w:rsidRPr="00083600">
        <w:t>.</w:t>
      </w:r>
    </w:p>
  </w:footnote>
  <w:footnote w:id="19">
    <w:p w14:paraId="31561C41" w14:textId="77777777" w:rsidR="000B1E32" w:rsidRPr="00083600" w:rsidRDefault="000B1E32" w:rsidP="00547D02">
      <w:pPr>
        <w:pStyle w:val="FootnoteText"/>
      </w:pPr>
      <w:r w:rsidRPr="00D26FBD">
        <w:rPr>
          <w:rStyle w:val="FootnoteReference"/>
        </w:rPr>
        <w:footnoteRef/>
      </w:r>
      <w:r>
        <w:tab/>
      </w:r>
      <w:r w:rsidRPr="00083600">
        <w:t xml:space="preserve">Goedeke S, Daniels K, Thorpe M. 2016. Embryo donation and counselling for the welfare of donors, recipients, their families and children. </w:t>
      </w:r>
      <w:r w:rsidRPr="004E3203">
        <w:rPr>
          <w:i/>
        </w:rPr>
        <w:t>Human Reproduction</w:t>
      </w:r>
      <w:r w:rsidRPr="00083600">
        <w:t xml:space="preserve"> 31(2)</w:t>
      </w:r>
      <w:r>
        <w:t>:</w:t>
      </w:r>
      <w:r w:rsidRPr="00083600">
        <w:t xml:space="preserve"> 412–8.</w:t>
      </w:r>
    </w:p>
  </w:footnote>
  <w:footnote w:id="20">
    <w:p w14:paraId="4F86B511" w14:textId="77777777" w:rsidR="000B1E32" w:rsidRPr="008973E6" w:rsidRDefault="000B1E32" w:rsidP="00547D02">
      <w:pPr>
        <w:pStyle w:val="FootnoteText"/>
      </w:pPr>
      <w:r w:rsidRPr="00D26FBD">
        <w:rPr>
          <w:rStyle w:val="FootnoteReference"/>
        </w:rPr>
        <w:footnoteRef/>
      </w:r>
      <w:r>
        <w:tab/>
      </w:r>
      <w:r w:rsidRPr="00083600">
        <w:t xml:space="preserve">Goedeke S. 2015. Thinking about embryo donation? </w:t>
      </w:r>
      <w:r w:rsidRPr="00083600">
        <w:rPr>
          <w:i/>
        </w:rPr>
        <w:t>The Dandelion</w:t>
      </w:r>
      <w:r w:rsidRPr="00083600">
        <w:t xml:space="preserve"> February. URL: </w:t>
      </w:r>
      <w:hyperlink r:id="rId7" w:history="1">
        <w:r w:rsidRPr="00083600">
          <w:rPr>
            <w:rStyle w:val="Hyperlink"/>
            <w:rFonts w:cs="Arial"/>
          </w:rPr>
          <w:t>www.fertilitynz.org.nz/information/dandelion-newsletter/february-2015-dandelion</w:t>
        </w:r>
      </w:hyperlink>
      <w:r w:rsidRPr="00083600">
        <w:t xml:space="preserve"> (accessed 31 July 2017).</w:t>
      </w:r>
    </w:p>
  </w:footnote>
  <w:footnote w:id="21">
    <w:p w14:paraId="7DDD23A4" w14:textId="77777777" w:rsidR="000B1E32" w:rsidRPr="00083600" w:rsidRDefault="000B1E32" w:rsidP="00547D02">
      <w:pPr>
        <w:pStyle w:val="FootnoteText"/>
      </w:pPr>
      <w:r w:rsidRPr="00D26FBD">
        <w:rPr>
          <w:rStyle w:val="FootnoteReference"/>
        </w:rPr>
        <w:footnoteRef/>
      </w:r>
      <w:r>
        <w:tab/>
      </w:r>
      <w:r w:rsidRPr="00083600">
        <w:t>ACART</w:t>
      </w:r>
      <w:r>
        <w:t>’</w:t>
      </w:r>
      <w:r w:rsidRPr="00083600">
        <w:t>s view on this matter is stated in general terms</w:t>
      </w:r>
      <w:r>
        <w:t>.</w:t>
      </w:r>
      <w:r w:rsidRPr="00083600">
        <w:t xml:space="preserve"> ECART must consider the status of each case on its own facts.</w:t>
      </w:r>
    </w:p>
  </w:footnote>
  <w:footnote w:id="22">
    <w:p w14:paraId="27AD3BF2" w14:textId="77777777" w:rsidR="000B1E32" w:rsidRPr="00627532" w:rsidRDefault="000B1E32" w:rsidP="00547D02">
      <w:pPr>
        <w:pStyle w:val="FootnoteText"/>
      </w:pPr>
      <w:r w:rsidRPr="00EA1DE2">
        <w:rPr>
          <w:rStyle w:val="FootnoteReference"/>
        </w:rPr>
        <w:footnoteRef/>
      </w:r>
      <w:r>
        <w:tab/>
      </w:r>
      <w:r w:rsidRPr="00627532">
        <w:t>HART Act section 5 defines an assisted reproductive procedure as a procedure performed for the purpose of assisting human reproduction that does not include an established procedure. Established procedures are listed in the HART Order, together with some exceptions.</w:t>
      </w:r>
    </w:p>
  </w:footnote>
  <w:footnote w:id="23">
    <w:p w14:paraId="3BE18603" w14:textId="77777777" w:rsidR="000B1E32" w:rsidRPr="00F073C5" w:rsidRDefault="000B1E32" w:rsidP="00547D02">
      <w:pPr>
        <w:pStyle w:val="FootnoteText"/>
        <w:rPr>
          <w:szCs w:val="18"/>
        </w:rPr>
      </w:pPr>
      <w:r w:rsidRPr="00EA1DE2">
        <w:rPr>
          <w:rStyle w:val="FootnoteReference"/>
        </w:rPr>
        <w:footnoteRef/>
      </w:r>
      <w:r>
        <w:tab/>
      </w:r>
      <w:r w:rsidRPr="00627532">
        <w:rPr>
          <w:rFonts w:eastAsia="Calibri"/>
        </w:rPr>
        <w:t>However, if the eggs as well as the sperm are donated, as is often the case, it is an assisted reproductive procedure and therefore requires ECART approval. An intending parent who contributes sperm or eggs to the gestated embryo is technically donating gametes to the surrogate.</w:t>
      </w:r>
    </w:p>
  </w:footnote>
  <w:footnote w:id="24">
    <w:p w14:paraId="55DEE56C" w14:textId="77777777" w:rsidR="000B1E32" w:rsidRPr="00372522" w:rsidRDefault="000B1E32" w:rsidP="00547D02">
      <w:pPr>
        <w:pStyle w:val="FootnoteText"/>
      </w:pPr>
      <w:r w:rsidRPr="00EA1DE2">
        <w:rPr>
          <w:rStyle w:val="FootnoteReference"/>
        </w:rPr>
        <w:footnoteRef/>
      </w:r>
      <w:r>
        <w:tab/>
      </w:r>
      <w:r w:rsidRPr="00372522">
        <w:t>Details are in the summary of submissions</w:t>
      </w:r>
      <w:r>
        <w:t xml:space="preserve"> (see </w:t>
      </w:r>
      <w:r w:rsidRPr="00306095">
        <w:t>Appendix 1).</w:t>
      </w:r>
    </w:p>
  </w:footnote>
  <w:footnote w:id="25">
    <w:p w14:paraId="6314533F" w14:textId="77777777" w:rsidR="000B1E32" w:rsidRDefault="000B1E32" w:rsidP="00547D02">
      <w:pPr>
        <w:pStyle w:val="FootnoteText"/>
      </w:pPr>
      <w:r w:rsidRPr="00EA1DE2">
        <w:rPr>
          <w:rStyle w:val="FootnoteReference"/>
        </w:rPr>
        <w:footnoteRef/>
      </w:r>
      <w:r>
        <w:tab/>
      </w:r>
      <w:r w:rsidRPr="004A2EFD">
        <w:t>Surrogacies can be ethically complex. The wellbeing of offspring depends on the relationship between the surrogate</w:t>
      </w:r>
      <w:r>
        <w:t xml:space="preserve"> (</w:t>
      </w:r>
      <w:r w:rsidRPr="004A2EFD">
        <w:t>and any partner she may have</w:t>
      </w:r>
      <w:r>
        <w:t>)</w:t>
      </w:r>
      <w:r w:rsidRPr="004A2EFD">
        <w:t xml:space="preserve"> and the intending parents</w:t>
      </w:r>
      <w:r>
        <w:t>,</w:t>
      </w:r>
      <w:r w:rsidRPr="004A2EFD">
        <w:t xml:space="preserve"> </w:t>
      </w:r>
      <w:r>
        <w:t xml:space="preserve">or </w:t>
      </w:r>
      <w:r w:rsidRPr="004A2EFD">
        <w:t xml:space="preserve">whether the intending parents will adopt the child, thereby legalising their status as parents. Also, a </w:t>
      </w:r>
      <w:r>
        <w:t>surrogate’s behaviour and</w:t>
      </w:r>
      <w:r w:rsidRPr="004A2EFD">
        <w:t xml:space="preserve"> choices can conflict with the interests of the potential child and the intending parents; surrogates could be subject to undue influence, particularly if the surrogacy involves close family members; </w:t>
      </w:r>
      <w:r>
        <w:t xml:space="preserve">or </w:t>
      </w:r>
      <w:r w:rsidRPr="004A2EFD">
        <w:t>the surrogate might not relinquish the child even if it is the genetic child of the intending parents.</w:t>
      </w:r>
    </w:p>
  </w:footnote>
  <w:footnote w:id="26">
    <w:p w14:paraId="1DCA9120" w14:textId="77777777" w:rsidR="000B1E32" w:rsidRPr="0002001B" w:rsidRDefault="000B1E32" w:rsidP="00A8454D">
      <w:pPr>
        <w:pStyle w:val="FootnoteText"/>
      </w:pPr>
      <w:r w:rsidRPr="00A8454D">
        <w:rPr>
          <w:rStyle w:val="FootnoteReference"/>
        </w:rPr>
        <w:footnoteRef/>
      </w:r>
      <w:r>
        <w:tab/>
      </w:r>
      <w:r w:rsidRPr="008C29CD">
        <w:t xml:space="preserve">In the first consultation, 18 submitters supported the proposal and none opposed it. In the second consultation, </w:t>
      </w:r>
      <w:r>
        <w:t>13</w:t>
      </w:r>
      <w:r w:rsidRPr="008C29CD">
        <w:t xml:space="preserve"> supported and none opposed</w:t>
      </w:r>
      <w:r>
        <w:t xml:space="preserve"> it</w:t>
      </w:r>
      <w:r w:rsidRPr="008C29CD">
        <w:t>.</w:t>
      </w:r>
    </w:p>
  </w:footnote>
  <w:footnote w:id="27">
    <w:p w14:paraId="7F2E280D" w14:textId="77777777" w:rsidR="000B1E32" w:rsidRDefault="000B1E32" w:rsidP="00A8454D">
      <w:pPr>
        <w:pStyle w:val="FootnoteText"/>
      </w:pPr>
      <w:r w:rsidRPr="00A8454D">
        <w:rPr>
          <w:rStyle w:val="FootnoteReference"/>
        </w:rPr>
        <w:footnoteRef/>
      </w:r>
      <w:r>
        <w:tab/>
      </w:r>
      <w:r w:rsidRPr="007E35E1">
        <w:t>Ravelingien</w:t>
      </w:r>
      <w:r>
        <w:t xml:space="preserve"> A</w:t>
      </w:r>
      <w:r w:rsidRPr="007E35E1">
        <w:t>, Provoost</w:t>
      </w:r>
      <w:r>
        <w:t xml:space="preserve"> V</w:t>
      </w:r>
      <w:r w:rsidRPr="007E35E1">
        <w:t>, Pennings</w:t>
      </w:r>
      <w:r>
        <w:t xml:space="preserve"> G. 2013. </w:t>
      </w:r>
      <w:r w:rsidRPr="007E35E1">
        <w:rPr>
          <w:lang w:eastAsia="en-NZ"/>
        </w:rPr>
        <w:t>Donor-conceived children looking for their sperm donor: what do they want to know?</w:t>
      </w:r>
      <w:r>
        <w:t xml:space="preserve"> </w:t>
      </w:r>
      <w:r>
        <w:rPr>
          <w:i/>
        </w:rPr>
        <w:t xml:space="preserve">Facts, Views and Vision: Issues in Obstetrics, Gynaecology and Reproductive Health </w:t>
      </w:r>
      <w:r>
        <w:t xml:space="preserve">5(4): 257–64. URL: </w:t>
      </w:r>
      <w:hyperlink r:id="rId8" w:history="1">
        <w:r w:rsidRPr="009037CB">
          <w:rPr>
            <w:rStyle w:val="Hyperlink"/>
          </w:rPr>
          <w:t>www.ncbi.nlm.nih.gov/pmc/articles/PMC3987373</w:t>
        </w:r>
      </w:hyperlink>
      <w:r>
        <w:t xml:space="preserve"> (accessed 11 August 2019).</w:t>
      </w:r>
    </w:p>
  </w:footnote>
  <w:footnote w:id="28">
    <w:p w14:paraId="28C37A1A" w14:textId="77777777" w:rsidR="000B1E32" w:rsidRPr="00630BF2" w:rsidRDefault="000B1E32" w:rsidP="00A8454D">
      <w:pPr>
        <w:pStyle w:val="FootnoteText"/>
      </w:pPr>
      <w:r w:rsidRPr="00A8454D">
        <w:rPr>
          <w:rStyle w:val="FootnoteReference"/>
        </w:rPr>
        <w:footnoteRef/>
      </w:r>
      <w:r>
        <w:tab/>
        <w:t>New Zealand Law Commission. 2005.</w:t>
      </w:r>
      <w:r w:rsidRPr="00630BF2">
        <w:rPr>
          <w:rFonts w:eastAsia="Calibri" w:cs="Arial"/>
          <w:i/>
          <w:szCs w:val="24"/>
        </w:rPr>
        <w:t xml:space="preserve"> </w:t>
      </w:r>
      <w:r w:rsidRPr="00526994">
        <w:rPr>
          <w:rFonts w:eastAsia="Calibri" w:cs="Arial"/>
          <w:i/>
          <w:szCs w:val="24"/>
        </w:rPr>
        <w:t>New Issues in Legal Parenthood</w:t>
      </w:r>
      <w:r>
        <w:rPr>
          <w:rFonts w:eastAsia="Calibri"/>
        </w:rPr>
        <w:t xml:space="preserve">. NZLC R88. Wellington: </w:t>
      </w:r>
      <w:r>
        <w:t>New Zealand Law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73DD" w14:textId="77777777" w:rsidR="000B1E32" w:rsidRDefault="000B1E32">
    <w:pPr>
      <w:pStyle w:val="Header"/>
    </w:pPr>
    <w:r>
      <w:rPr>
        <w:noProof/>
        <w:lang w:eastAsia="en-NZ"/>
      </w:rPr>
      <w:drawing>
        <wp:anchor distT="0" distB="0" distL="114300" distR="114300" simplePos="0" relativeHeight="251648000" behindDoc="1" locked="0" layoutInCell="1" allowOverlap="1" wp14:anchorId="26DA7C5B" wp14:editId="26E17D36">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75C6" w14:textId="77777777" w:rsidR="000B1E32" w:rsidRDefault="000B1E32">
    <w:r>
      <w:rPr>
        <w:noProof/>
        <w:lang w:eastAsia="en-NZ"/>
      </w:rPr>
      <w:drawing>
        <wp:anchor distT="0" distB="0" distL="114300" distR="114300" simplePos="0" relativeHeight="251650048" behindDoc="0" locked="0" layoutInCell="1" allowOverlap="1" wp14:anchorId="3D7044B1" wp14:editId="17080036">
          <wp:simplePos x="0" y="0"/>
          <wp:positionH relativeFrom="column">
            <wp:posOffset>-849630</wp:posOffset>
          </wp:positionH>
          <wp:positionV relativeFrom="paragraph">
            <wp:posOffset>446405</wp:posOffset>
          </wp:positionV>
          <wp:extent cx="2148205" cy="1466215"/>
          <wp:effectExtent l="0" t="0" r="444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9817" w14:textId="77777777" w:rsidR="000B1E32" w:rsidRDefault="000B1E3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C83A" w14:textId="77777777" w:rsidR="000B1E32" w:rsidRDefault="000B1E32">
    <w:r>
      <w:rPr>
        <w:noProof/>
        <w:lang w:eastAsia="en-NZ"/>
      </w:rPr>
      <w:drawing>
        <wp:anchor distT="0" distB="0" distL="114300" distR="114300" simplePos="0" relativeHeight="251831296" behindDoc="0" locked="0" layoutInCell="1" allowOverlap="1" wp14:anchorId="01CDACB5" wp14:editId="4A67590C">
          <wp:simplePos x="0" y="0"/>
          <wp:positionH relativeFrom="column">
            <wp:posOffset>-849630</wp:posOffset>
          </wp:positionH>
          <wp:positionV relativeFrom="paragraph">
            <wp:posOffset>446405</wp:posOffset>
          </wp:positionV>
          <wp:extent cx="2148205" cy="146621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FBD4" w14:textId="77777777" w:rsidR="003E0D7E" w:rsidRPr="003A7A1F" w:rsidRDefault="003E0D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B0DA" w14:textId="77777777" w:rsidR="004A368A" w:rsidRDefault="004A3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5FF8" w14:textId="77777777" w:rsidR="000B1E32" w:rsidRDefault="000B1E32">
    <w:r>
      <w:rPr>
        <w:noProof/>
        <w:lang w:eastAsia="en-NZ"/>
      </w:rPr>
      <w:drawing>
        <wp:anchor distT="0" distB="0" distL="114300" distR="114300" simplePos="0" relativeHeight="251809792" behindDoc="0" locked="0" layoutInCell="1" allowOverlap="1" wp14:anchorId="7DF822D0" wp14:editId="335C8637">
          <wp:simplePos x="0" y="0"/>
          <wp:positionH relativeFrom="column">
            <wp:posOffset>-805873</wp:posOffset>
          </wp:positionH>
          <wp:positionV relativeFrom="paragraph">
            <wp:posOffset>483235</wp:posOffset>
          </wp:positionV>
          <wp:extent cx="2148205" cy="1466215"/>
          <wp:effectExtent l="0" t="0" r="444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9E3B" w14:textId="77777777" w:rsidR="000B1E32" w:rsidRPr="003A7A1F" w:rsidRDefault="000B1E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25C1" w14:textId="77777777" w:rsidR="000B1E32" w:rsidRDefault="000B1E32">
    <w:r>
      <w:rPr>
        <w:noProof/>
        <w:lang w:eastAsia="en-NZ"/>
      </w:rPr>
      <w:drawing>
        <wp:anchor distT="0" distB="0" distL="114300" distR="114300" simplePos="0" relativeHeight="251826176" behindDoc="0" locked="0" layoutInCell="1" allowOverlap="1" wp14:anchorId="5AF4063B" wp14:editId="5E9FEE1B">
          <wp:simplePos x="0" y="0"/>
          <wp:positionH relativeFrom="column">
            <wp:posOffset>-805873</wp:posOffset>
          </wp:positionH>
          <wp:positionV relativeFrom="paragraph">
            <wp:posOffset>483235</wp:posOffset>
          </wp:positionV>
          <wp:extent cx="2148205" cy="14662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EB7B" w14:textId="77777777" w:rsidR="000B1E32" w:rsidRPr="003A7A1F" w:rsidRDefault="000B1E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92CC" w14:textId="77777777" w:rsidR="000B1E32" w:rsidRDefault="000B1E32">
    <w:r>
      <w:rPr>
        <w:noProof/>
        <w:lang w:eastAsia="en-NZ"/>
      </w:rPr>
      <w:drawing>
        <wp:anchor distT="0" distB="0" distL="114300" distR="114300" simplePos="0" relativeHeight="251747328" behindDoc="0" locked="0" layoutInCell="1" allowOverlap="1" wp14:anchorId="485D20AF" wp14:editId="37BBB583">
          <wp:simplePos x="0" y="0"/>
          <wp:positionH relativeFrom="column">
            <wp:posOffset>-805873</wp:posOffset>
          </wp:positionH>
          <wp:positionV relativeFrom="paragraph">
            <wp:posOffset>483235</wp:posOffset>
          </wp:positionV>
          <wp:extent cx="2148205" cy="1466215"/>
          <wp:effectExtent l="0" t="0" r="444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5112" w14:textId="77777777" w:rsidR="000B1E32" w:rsidRDefault="000B1E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D38EC3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47C77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DA2A8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37BBA"/>
    <w:multiLevelType w:val="hybridMultilevel"/>
    <w:tmpl w:val="010A2C6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14B17975"/>
    <w:multiLevelType w:val="hybridMultilevel"/>
    <w:tmpl w:val="A852C02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15:restartNumberingAfterBreak="0">
    <w:nsid w:val="18204320"/>
    <w:multiLevelType w:val="hybridMultilevel"/>
    <w:tmpl w:val="8DAA260A"/>
    <w:lvl w:ilvl="0" w:tplc="95D0CA86">
      <w:start w:val="1"/>
      <w:numFmt w:val="upperLetter"/>
      <w:lvlText w:val="%1."/>
      <w:lvlJc w:val="left"/>
      <w:pPr>
        <w:ind w:left="360" w:hanging="360"/>
      </w:pPr>
      <w:rPr>
        <w:rFonts w:eastAsia="Calibri"/>
        <w:b w:val="0"/>
        <w:color w:val="0A6AB4"/>
        <w:sz w:val="3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23DC7796"/>
    <w:multiLevelType w:val="multilevel"/>
    <w:tmpl w:val="B8D2E37E"/>
    <w:lvl w:ilvl="0">
      <w:start w:val="1"/>
      <w:numFmt w:val="decimal"/>
      <w:lvlText w:val="%1."/>
      <w:lvlJc w:val="left"/>
      <w:pPr>
        <w:ind w:left="567" w:hanging="567"/>
      </w:pPr>
    </w:lvl>
    <w:lvl w:ilvl="1">
      <w:start w:val="1"/>
      <w:numFmt w:val="lowerLetter"/>
      <w:lvlText w:val="(%2)"/>
      <w:lvlJc w:val="left"/>
      <w:pPr>
        <w:ind w:left="1275"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074A60"/>
    <w:multiLevelType w:val="multilevel"/>
    <w:tmpl w:val="ECE6BCE0"/>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894290"/>
    <w:multiLevelType w:val="hybridMultilevel"/>
    <w:tmpl w:val="22D4955A"/>
    <w:lvl w:ilvl="0" w:tplc="738A002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EA65523"/>
    <w:multiLevelType w:val="hybridMultilevel"/>
    <w:tmpl w:val="B948B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0777A1"/>
    <w:multiLevelType w:val="hybridMultilevel"/>
    <w:tmpl w:val="DEBC5D2A"/>
    <w:lvl w:ilvl="0" w:tplc="AB5C9218">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A36DE6"/>
    <w:multiLevelType w:val="multilevel"/>
    <w:tmpl w:val="B74C7B4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405A9"/>
    <w:multiLevelType w:val="multilevel"/>
    <w:tmpl w:val="88A21CFC"/>
    <w:lvl w:ilvl="0">
      <w:start w:val="1"/>
      <w:numFmt w:val="upperLetter"/>
      <w:pStyle w:val="Heading1"/>
      <w:lvlText w:val="%1"/>
      <w:lvlJc w:val="left"/>
      <w:pPr>
        <w:ind w:left="851" w:hanging="851"/>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C4BFE"/>
    <w:multiLevelType w:val="hybridMultilevel"/>
    <w:tmpl w:val="3B3E0944"/>
    <w:lvl w:ilvl="0" w:tplc="14090019">
      <w:start w:val="1"/>
      <w:numFmt w:val="lowerLetter"/>
      <w:lvlText w:val="%1."/>
      <w:lvlJc w:val="left"/>
      <w:pPr>
        <w:ind w:left="1004" w:hanging="360"/>
      </w:pPr>
      <w:rPr>
        <w:rFonts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53036493"/>
    <w:multiLevelType w:val="hybridMultilevel"/>
    <w:tmpl w:val="D49608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601B31CE"/>
    <w:multiLevelType w:val="hybridMultilevel"/>
    <w:tmpl w:val="C25850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35D2231"/>
    <w:multiLevelType w:val="hybridMultilevel"/>
    <w:tmpl w:val="EDB4B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6F45A60"/>
    <w:multiLevelType w:val="multilevel"/>
    <w:tmpl w:val="0D888CB8"/>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2" w15:restartNumberingAfterBreak="0">
    <w:nsid w:val="6810018A"/>
    <w:multiLevelType w:val="hybridMultilevel"/>
    <w:tmpl w:val="7124E7D0"/>
    <w:lvl w:ilvl="0" w:tplc="14090015">
      <w:start w:val="7"/>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82B01D2"/>
    <w:multiLevelType w:val="hybridMultilevel"/>
    <w:tmpl w:val="F5C08006"/>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15:restartNumberingAfterBreak="0">
    <w:nsid w:val="69BF1EAB"/>
    <w:multiLevelType w:val="multilevel"/>
    <w:tmpl w:val="45B484EE"/>
    <w:lvl w:ilvl="0">
      <w:start w:val="1"/>
      <w:numFmt w:val="none"/>
      <w:suff w:val="nothing"/>
      <w:lvlText w:val="%1"/>
      <w:lvlJc w:val="left"/>
      <w:pPr>
        <w:ind w:left="0" w:firstLine="0"/>
      </w:pPr>
      <w:rPr>
        <w:rFonts w:hint="default"/>
        <w:b/>
        <w:i w:val="0"/>
        <w:sz w:val="48"/>
        <w:szCs w:val="52"/>
      </w:rPr>
    </w:lvl>
    <w:lvl w:ilvl="1">
      <w:start w:val="1"/>
      <w:numFmt w:val="none"/>
      <w:lvlRestart w:val="0"/>
      <w:suff w:val="nothing"/>
      <w:lvlText w:val=""/>
      <w:lvlJc w:val="left"/>
      <w:pPr>
        <w:ind w:left="0" w:firstLine="0"/>
      </w:pPr>
      <w:rPr>
        <w:rFonts w:hint="default"/>
        <w:b w:val="0"/>
        <w:i w:val="0"/>
        <w:sz w:val="32"/>
        <w:szCs w:val="32"/>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trike w:val="0"/>
        <w:color w:val="auto"/>
        <w:sz w:val="22"/>
        <w:szCs w:val="24"/>
      </w:rPr>
    </w:lvl>
    <w:lvl w:ilvl="4">
      <w:start w:val="1"/>
      <w:numFmt w:val="lowerRoman"/>
      <w:lvlText w:val="%5."/>
      <w:lvlJc w:val="right"/>
      <w:pPr>
        <w:tabs>
          <w:tab w:val="num" w:pos="992"/>
        </w:tabs>
        <w:ind w:left="992" w:hanging="992"/>
      </w:pPr>
      <w:rPr>
        <w:rFonts w:hint="default"/>
        <w:b w:val="0"/>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5" w15:restartNumberingAfterBreak="0">
    <w:nsid w:val="722A7AC0"/>
    <w:multiLevelType w:val="multilevel"/>
    <w:tmpl w:val="37760CBA"/>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6" w15:restartNumberingAfterBreak="0">
    <w:nsid w:val="777F0941"/>
    <w:multiLevelType w:val="hybridMultilevel"/>
    <w:tmpl w:val="9EFCCD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7" w15:restartNumberingAfterBreak="0">
    <w:nsid w:val="79A759B3"/>
    <w:multiLevelType w:val="hybridMultilevel"/>
    <w:tmpl w:val="9A541A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A8D362B"/>
    <w:multiLevelType w:val="hybridMultilevel"/>
    <w:tmpl w:val="B4A6DA94"/>
    <w:lvl w:ilvl="0" w:tplc="DDE064E4">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B5D6DCC"/>
    <w:multiLevelType w:val="multilevel"/>
    <w:tmpl w:val="B1B4E0AC"/>
    <w:lvl w:ilvl="0">
      <w:start w:val="1"/>
      <w:numFmt w:val="upperLetter"/>
      <w:lvlText w:val="%1."/>
      <w:lvlJc w:val="left"/>
      <w:pPr>
        <w:ind w:left="851" w:hanging="851"/>
      </w:pPr>
      <w:rPr>
        <w:rFonts w:hint="default"/>
      </w:rPr>
    </w:lvl>
    <w:lvl w:ilvl="1">
      <w:start w:val="1"/>
      <w:numFmt w:val="none"/>
      <w:suff w:val="nothing"/>
      <w:lvlText w:val=""/>
      <w:lvlJc w:val="left"/>
      <w:pPr>
        <w:ind w:left="0" w:firstLine="0"/>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30"/>
  </w:num>
  <w:num w:numId="2">
    <w:abstractNumId w:val="13"/>
  </w:num>
  <w:num w:numId="3">
    <w:abstractNumId w:val="4"/>
  </w:num>
  <w:num w:numId="4">
    <w:abstractNumId w:val="15"/>
  </w:num>
  <w:num w:numId="5">
    <w:abstractNumId w:val="12"/>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21"/>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3"/>
  </w:num>
  <w:num w:numId="24">
    <w:abstractNumId w:val="2"/>
  </w:num>
  <w:num w:numId="25">
    <w:abstractNumId w:val="1"/>
  </w:num>
  <w:num w:numId="26">
    <w:abstractNumId w:val="11"/>
  </w:num>
  <w:num w:numId="27">
    <w:abstractNumId w:val="0"/>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num>
  <w:num w:numId="35">
    <w:abstractNumId w:val="1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4"/>
  </w:num>
  <w:num w:numId="39">
    <w:abstractNumId w:val="27"/>
  </w:num>
  <w:num w:numId="40">
    <w:abstractNumId w:val="10"/>
  </w:num>
  <w:num w:numId="41">
    <w:abstractNumId w:val="14"/>
  </w:num>
  <w:num w:numId="42">
    <w:abstractNumId w:val="8"/>
  </w:num>
  <w:num w:numId="43">
    <w:abstractNumId w:val="29"/>
  </w:num>
  <w:num w:numId="4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173"/>
    <w:rsid w:val="00002EFF"/>
    <w:rsid w:val="000040F9"/>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329"/>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0B49"/>
    <w:rsid w:val="000A23E4"/>
    <w:rsid w:val="000A3F18"/>
    <w:rsid w:val="000A3F7E"/>
    <w:rsid w:val="000A4F92"/>
    <w:rsid w:val="000B1E32"/>
    <w:rsid w:val="000B3D09"/>
    <w:rsid w:val="000B4EBA"/>
    <w:rsid w:val="000B58FC"/>
    <w:rsid w:val="000B7A81"/>
    <w:rsid w:val="000B7ECC"/>
    <w:rsid w:val="000C082B"/>
    <w:rsid w:val="000C25E4"/>
    <w:rsid w:val="000C2851"/>
    <w:rsid w:val="000C2882"/>
    <w:rsid w:val="000C3BCE"/>
    <w:rsid w:val="000C3CF0"/>
    <w:rsid w:val="000C3F81"/>
    <w:rsid w:val="000C60CC"/>
    <w:rsid w:val="000C6246"/>
    <w:rsid w:val="000C6299"/>
    <w:rsid w:val="000C7E48"/>
    <w:rsid w:val="000D16AF"/>
    <w:rsid w:val="000D3172"/>
    <w:rsid w:val="000D6D52"/>
    <w:rsid w:val="000D77F8"/>
    <w:rsid w:val="000E47E9"/>
    <w:rsid w:val="000E4B7E"/>
    <w:rsid w:val="000E5491"/>
    <w:rsid w:val="000E692E"/>
    <w:rsid w:val="000E6B72"/>
    <w:rsid w:val="000F0FD7"/>
    <w:rsid w:val="000F14F0"/>
    <w:rsid w:val="000F17CD"/>
    <w:rsid w:val="000F3152"/>
    <w:rsid w:val="000F32F3"/>
    <w:rsid w:val="000F4EB6"/>
    <w:rsid w:val="000F504A"/>
    <w:rsid w:val="000F7B2A"/>
    <w:rsid w:val="001009AC"/>
    <w:rsid w:val="00102063"/>
    <w:rsid w:val="0010541C"/>
    <w:rsid w:val="00105E83"/>
    <w:rsid w:val="0010602B"/>
    <w:rsid w:val="00111DFD"/>
    <w:rsid w:val="00113B8E"/>
    <w:rsid w:val="00113BC7"/>
    <w:rsid w:val="00117B16"/>
    <w:rsid w:val="00122226"/>
    <w:rsid w:val="001227C4"/>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5FF"/>
    <w:rsid w:val="001A1F2E"/>
    <w:rsid w:val="001A1FEF"/>
    <w:rsid w:val="001A2817"/>
    <w:rsid w:val="001A3632"/>
    <w:rsid w:val="001A3E43"/>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6C04"/>
    <w:rsid w:val="001D6D23"/>
    <w:rsid w:val="001E1598"/>
    <w:rsid w:val="001E2A59"/>
    <w:rsid w:val="001E2CA3"/>
    <w:rsid w:val="001E42F7"/>
    <w:rsid w:val="001E4A64"/>
    <w:rsid w:val="001E5389"/>
    <w:rsid w:val="001E5A8D"/>
    <w:rsid w:val="001F4994"/>
    <w:rsid w:val="001F525F"/>
    <w:rsid w:val="0020007A"/>
    <w:rsid w:val="002002C9"/>
    <w:rsid w:val="002012EA"/>
    <w:rsid w:val="00201AC4"/>
    <w:rsid w:val="00206894"/>
    <w:rsid w:val="00206B6E"/>
    <w:rsid w:val="002105B7"/>
    <w:rsid w:val="002117B9"/>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492E"/>
    <w:rsid w:val="00265B97"/>
    <w:rsid w:val="00267578"/>
    <w:rsid w:val="002728C7"/>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A6EA4"/>
    <w:rsid w:val="002B0FFB"/>
    <w:rsid w:val="002B2978"/>
    <w:rsid w:val="002B3078"/>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6FC1"/>
    <w:rsid w:val="002D7C75"/>
    <w:rsid w:val="002E192B"/>
    <w:rsid w:val="002E2723"/>
    <w:rsid w:val="002E3C31"/>
    <w:rsid w:val="002E4A55"/>
    <w:rsid w:val="002E4C11"/>
    <w:rsid w:val="002E53E0"/>
    <w:rsid w:val="002E7298"/>
    <w:rsid w:val="002E7817"/>
    <w:rsid w:val="002E7A2B"/>
    <w:rsid w:val="002F1793"/>
    <w:rsid w:val="002F1899"/>
    <w:rsid w:val="002F1D11"/>
    <w:rsid w:val="002F3B29"/>
    <w:rsid w:val="002F3E83"/>
    <w:rsid w:val="002F6CDE"/>
    <w:rsid w:val="002F7D23"/>
    <w:rsid w:val="00301088"/>
    <w:rsid w:val="00301293"/>
    <w:rsid w:val="003025E3"/>
    <w:rsid w:val="00304C1A"/>
    <w:rsid w:val="0030530B"/>
    <w:rsid w:val="0030567E"/>
    <w:rsid w:val="00306095"/>
    <w:rsid w:val="003064D5"/>
    <w:rsid w:val="003071A7"/>
    <w:rsid w:val="0031000E"/>
    <w:rsid w:val="003105A7"/>
    <w:rsid w:val="0031168F"/>
    <w:rsid w:val="0031228A"/>
    <w:rsid w:val="00312802"/>
    <w:rsid w:val="003131EA"/>
    <w:rsid w:val="00315E7C"/>
    <w:rsid w:val="00316708"/>
    <w:rsid w:val="003167E6"/>
    <w:rsid w:val="0032125F"/>
    <w:rsid w:val="00322C73"/>
    <w:rsid w:val="00323C38"/>
    <w:rsid w:val="003245ED"/>
    <w:rsid w:val="00326E38"/>
    <w:rsid w:val="00330324"/>
    <w:rsid w:val="0033055A"/>
    <w:rsid w:val="00331920"/>
    <w:rsid w:val="0033360A"/>
    <w:rsid w:val="00335532"/>
    <w:rsid w:val="00340BD3"/>
    <w:rsid w:val="00341393"/>
    <w:rsid w:val="00344836"/>
    <w:rsid w:val="00344C30"/>
    <w:rsid w:val="00346DCC"/>
    <w:rsid w:val="00347884"/>
    <w:rsid w:val="003500EC"/>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7508"/>
    <w:rsid w:val="003A05B6"/>
    <w:rsid w:val="003A3152"/>
    <w:rsid w:val="003A4267"/>
    <w:rsid w:val="003A534C"/>
    <w:rsid w:val="003A5FEA"/>
    <w:rsid w:val="003A67F6"/>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2C2"/>
    <w:rsid w:val="003D59CF"/>
    <w:rsid w:val="003D59D4"/>
    <w:rsid w:val="003E0D7E"/>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26E3"/>
    <w:rsid w:val="00415CA1"/>
    <w:rsid w:val="00417481"/>
    <w:rsid w:val="00420164"/>
    <w:rsid w:val="004201C9"/>
    <w:rsid w:val="0042143B"/>
    <w:rsid w:val="0042156C"/>
    <w:rsid w:val="00424289"/>
    <w:rsid w:val="00424C9F"/>
    <w:rsid w:val="004250B5"/>
    <w:rsid w:val="00425FAB"/>
    <w:rsid w:val="00427C0F"/>
    <w:rsid w:val="00432622"/>
    <w:rsid w:val="00432ECB"/>
    <w:rsid w:val="004335FC"/>
    <w:rsid w:val="00433A87"/>
    <w:rsid w:val="00435A6E"/>
    <w:rsid w:val="0043769E"/>
    <w:rsid w:val="00437A2F"/>
    <w:rsid w:val="00437A90"/>
    <w:rsid w:val="00437DF3"/>
    <w:rsid w:val="00440DC2"/>
    <w:rsid w:val="0044143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EA3"/>
    <w:rsid w:val="00464D34"/>
    <w:rsid w:val="00465A2F"/>
    <w:rsid w:val="00466488"/>
    <w:rsid w:val="0046701B"/>
    <w:rsid w:val="0046721E"/>
    <w:rsid w:val="00470ED2"/>
    <w:rsid w:val="00472A20"/>
    <w:rsid w:val="00481955"/>
    <w:rsid w:val="00482865"/>
    <w:rsid w:val="00485B1E"/>
    <w:rsid w:val="00487A54"/>
    <w:rsid w:val="00487E0F"/>
    <w:rsid w:val="00492664"/>
    <w:rsid w:val="0049339C"/>
    <w:rsid w:val="004A0CDC"/>
    <w:rsid w:val="004A368A"/>
    <w:rsid w:val="004A4346"/>
    <w:rsid w:val="004A4DB5"/>
    <w:rsid w:val="004A6559"/>
    <w:rsid w:val="004A744F"/>
    <w:rsid w:val="004B3905"/>
    <w:rsid w:val="004B547A"/>
    <w:rsid w:val="004B5C83"/>
    <w:rsid w:val="004B6F05"/>
    <w:rsid w:val="004B77F8"/>
    <w:rsid w:val="004B7BC9"/>
    <w:rsid w:val="004B7E6A"/>
    <w:rsid w:val="004B7F5D"/>
    <w:rsid w:val="004C2620"/>
    <w:rsid w:val="004C2CF4"/>
    <w:rsid w:val="004C489E"/>
    <w:rsid w:val="004C5EC9"/>
    <w:rsid w:val="004C65A0"/>
    <w:rsid w:val="004D1D9B"/>
    <w:rsid w:val="004D6255"/>
    <w:rsid w:val="004D655D"/>
    <w:rsid w:val="004E12E1"/>
    <w:rsid w:val="004E1356"/>
    <w:rsid w:val="004E1B4E"/>
    <w:rsid w:val="004E3B58"/>
    <w:rsid w:val="004E7AC8"/>
    <w:rsid w:val="004F113E"/>
    <w:rsid w:val="004F1741"/>
    <w:rsid w:val="004F6013"/>
    <w:rsid w:val="00501820"/>
    <w:rsid w:val="00501DAD"/>
    <w:rsid w:val="0050204D"/>
    <w:rsid w:val="005022D2"/>
    <w:rsid w:val="0050635B"/>
    <w:rsid w:val="00507904"/>
    <w:rsid w:val="0051117B"/>
    <w:rsid w:val="00511503"/>
    <w:rsid w:val="005149CD"/>
    <w:rsid w:val="005150CA"/>
    <w:rsid w:val="005204B1"/>
    <w:rsid w:val="00520756"/>
    <w:rsid w:val="00520C79"/>
    <w:rsid w:val="00521CF5"/>
    <w:rsid w:val="005234B3"/>
    <w:rsid w:val="0052370B"/>
    <w:rsid w:val="00527190"/>
    <w:rsid w:val="00531F49"/>
    <w:rsid w:val="00533AE3"/>
    <w:rsid w:val="005356F8"/>
    <w:rsid w:val="0053577C"/>
    <w:rsid w:val="00540048"/>
    <w:rsid w:val="005421A6"/>
    <w:rsid w:val="005432CB"/>
    <w:rsid w:val="005432E9"/>
    <w:rsid w:val="00543813"/>
    <w:rsid w:val="00543A52"/>
    <w:rsid w:val="00547D02"/>
    <w:rsid w:val="005504AD"/>
    <w:rsid w:val="005517F5"/>
    <w:rsid w:val="00553FE0"/>
    <w:rsid w:val="0055423F"/>
    <w:rsid w:val="005548AF"/>
    <w:rsid w:val="005552E1"/>
    <w:rsid w:val="005567F3"/>
    <w:rsid w:val="0055694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5F18"/>
    <w:rsid w:val="005A6244"/>
    <w:rsid w:val="005B040D"/>
    <w:rsid w:val="005B44B3"/>
    <w:rsid w:val="005B4BE9"/>
    <w:rsid w:val="005C4EE6"/>
    <w:rsid w:val="005C51D6"/>
    <w:rsid w:val="005C59C1"/>
    <w:rsid w:val="005C61B9"/>
    <w:rsid w:val="005C6BC4"/>
    <w:rsid w:val="005C762F"/>
    <w:rsid w:val="005D271C"/>
    <w:rsid w:val="005D51E3"/>
    <w:rsid w:val="005D78E4"/>
    <w:rsid w:val="005D79FF"/>
    <w:rsid w:val="005E3B54"/>
    <w:rsid w:val="005E47B7"/>
    <w:rsid w:val="005F382B"/>
    <w:rsid w:val="005F47FD"/>
    <w:rsid w:val="006028B6"/>
    <w:rsid w:val="00606768"/>
    <w:rsid w:val="00607C6F"/>
    <w:rsid w:val="00610BAA"/>
    <w:rsid w:val="00613F26"/>
    <w:rsid w:val="006178E7"/>
    <w:rsid w:val="00617F1D"/>
    <w:rsid w:val="0062080D"/>
    <w:rsid w:val="00620B61"/>
    <w:rsid w:val="006211D9"/>
    <w:rsid w:val="00623B85"/>
    <w:rsid w:val="006251FF"/>
    <w:rsid w:val="00625539"/>
    <w:rsid w:val="00625E48"/>
    <w:rsid w:val="006309F1"/>
    <w:rsid w:val="00633034"/>
    <w:rsid w:val="00633DBC"/>
    <w:rsid w:val="006350D3"/>
    <w:rsid w:val="00635445"/>
    <w:rsid w:val="00640042"/>
    <w:rsid w:val="0064071C"/>
    <w:rsid w:val="006407D5"/>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2692"/>
    <w:rsid w:val="00664592"/>
    <w:rsid w:val="00674121"/>
    <w:rsid w:val="00674549"/>
    <w:rsid w:val="00674A36"/>
    <w:rsid w:val="006773C9"/>
    <w:rsid w:val="00683A8B"/>
    <w:rsid w:val="00684219"/>
    <w:rsid w:val="00684AB7"/>
    <w:rsid w:val="006917CA"/>
    <w:rsid w:val="00694895"/>
    <w:rsid w:val="006A0FF8"/>
    <w:rsid w:val="006A2C16"/>
    <w:rsid w:val="006A4E6D"/>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753"/>
    <w:rsid w:val="006C6C24"/>
    <w:rsid w:val="006C78EB"/>
    <w:rsid w:val="006D0663"/>
    <w:rsid w:val="006D1660"/>
    <w:rsid w:val="006D2758"/>
    <w:rsid w:val="006D4A87"/>
    <w:rsid w:val="006E2BBA"/>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4C18"/>
    <w:rsid w:val="00707E57"/>
    <w:rsid w:val="00710B30"/>
    <w:rsid w:val="0071173B"/>
    <w:rsid w:val="00711C29"/>
    <w:rsid w:val="00714513"/>
    <w:rsid w:val="00717B44"/>
    <w:rsid w:val="00720C67"/>
    <w:rsid w:val="00722ACA"/>
    <w:rsid w:val="00723321"/>
    <w:rsid w:val="00724708"/>
    <w:rsid w:val="0072790C"/>
    <w:rsid w:val="00740899"/>
    <w:rsid w:val="007458CC"/>
    <w:rsid w:val="00746D63"/>
    <w:rsid w:val="007519EC"/>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9D3"/>
    <w:rsid w:val="007C1102"/>
    <w:rsid w:val="007C61D7"/>
    <w:rsid w:val="007C7428"/>
    <w:rsid w:val="007D0056"/>
    <w:rsid w:val="007D2AA0"/>
    <w:rsid w:val="007D3A25"/>
    <w:rsid w:val="007D70FF"/>
    <w:rsid w:val="007E3766"/>
    <w:rsid w:val="007E3FA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8C5"/>
    <w:rsid w:val="00806D9C"/>
    <w:rsid w:val="008070BA"/>
    <w:rsid w:val="0081279B"/>
    <w:rsid w:val="00813AE0"/>
    <w:rsid w:val="00814540"/>
    <w:rsid w:val="00814728"/>
    <w:rsid w:val="00816742"/>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527FC"/>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C34D8"/>
    <w:rsid w:val="008C4842"/>
    <w:rsid w:val="008C4A48"/>
    <w:rsid w:val="008C4E3E"/>
    <w:rsid w:val="008C51EC"/>
    <w:rsid w:val="008C6534"/>
    <w:rsid w:val="008C7574"/>
    <w:rsid w:val="008C76B1"/>
    <w:rsid w:val="008C77F7"/>
    <w:rsid w:val="008D1D75"/>
    <w:rsid w:val="008D23CE"/>
    <w:rsid w:val="008D4A59"/>
    <w:rsid w:val="008D50C5"/>
    <w:rsid w:val="008D6A05"/>
    <w:rsid w:val="008E007C"/>
    <w:rsid w:val="008E1E58"/>
    <w:rsid w:val="008E3453"/>
    <w:rsid w:val="008E72FD"/>
    <w:rsid w:val="008F0EE4"/>
    <w:rsid w:val="008F2609"/>
    <w:rsid w:val="008F35E3"/>
    <w:rsid w:val="008F4564"/>
    <w:rsid w:val="008F6525"/>
    <w:rsid w:val="008F6B2F"/>
    <w:rsid w:val="008F72AA"/>
    <w:rsid w:val="009002B9"/>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1004"/>
    <w:rsid w:val="0093156E"/>
    <w:rsid w:val="00931B6A"/>
    <w:rsid w:val="00932D69"/>
    <w:rsid w:val="00933377"/>
    <w:rsid w:val="009339C1"/>
    <w:rsid w:val="00933EE6"/>
    <w:rsid w:val="009348DB"/>
    <w:rsid w:val="00934DC2"/>
    <w:rsid w:val="00937F36"/>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6146"/>
    <w:rsid w:val="00967274"/>
    <w:rsid w:val="009674A2"/>
    <w:rsid w:val="00970803"/>
    <w:rsid w:val="0097275F"/>
    <w:rsid w:val="009727BB"/>
    <w:rsid w:val="00974AF8"/>
    <w:rsid w:val="00975BF0"/>
    <w:rsid w:val="00980E88"/>
    <w:rsid w:val="00981514"/>
    <w:rsid w:val="009826D1"/>
    <w:rsid w:val="009845AD"/>
    <w:rsid w:val="009867B1"/>
    <w:rsid w:val="009907AF"/>
    <w:rsid w:val="0099189C"/>
    <w:rsid w:val="00991FE9"/>
    <w:rsid w:val="00992F43"/>
    <w:rsid w:val="0099413A"/>
    <w:rsid w:val="009975E9"/>
    <w:rsid w:val="00997D4D"/>
    <w:rsid w:val="009A32D5"/>
    <w:rsid w:val="009A3D74"/>
    <w:rsid w:val="009A62B2"/>
    <w:rsid w:val="009A62E3"/>
    <w:rsid w:val="009A691E"/>
    <w:rsid w:val="009A694F"/>
    <w:rsid w:val="009A738F"/>
    <w:rsid w:val="009B4DFE"/>
    <w:rsid w:val="009B4E13"/>
    <w:rsid w:val="009B7963"/>
    <w:rsid w:val="009C039F"/>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43FD"/>
    <w:rsid w:val="009F4ECD"/>
    <w:rsid w:val="009F6CA4"/>
    <w:rsid w:val="00A00B5B"/>
    <w:rsid w:val="00A015C7"/>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601F7"/>
    <w:rsid w:val="00A60B25"/>
    <w:rsid w:val="00A61BD8"/>
    <w:rsid w:val="00A62EF2"/>
    <w:rsid w:val="00A644DC"/>
    <w:rsid w:val="00A66034"/>
    <w:rsid w:val="00A66F56"/>
    <w:rsid w:val="00A673D2"/>
    <w:rsid w:val="00A67D74"/>
    <w:rsid w:val="00A72839"/>
    <w:rsid w:val="00A74021"/>
    <w:rsid w:val="00A749B9"/>
    <w:rsid w:val="00A77345"/>
    <w:rsid w:val="00A77A99"/>
    <w:rsid w:val="00A812BF"/>
    <w:rsid w:val="00A828C1"/>
    <w:rsid w:val="00A829FE"/>
    <w:rsid w:val="00A8454D"/>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1733"/>
    <w:rsid w:val="00AB2C51"/>
    <w:rsid w:val="00AB34FD"/>
    <w:rsid w:val="00AB59BA"/>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55FB"/>
    <w:rsid w:val="00AF17F7"/>
    <w:rsid w:val="00AF1C52"/>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07FA"/>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FA1"/>
    <w:rsid w:val="00B513A8"/>
    <w:rsid w:val="00B5227D"/>
    <w:rsid w:val="00B52846"/>
    <w:rsid w:val="00B5311F"/>
    <w:rsid w:val="00B53F3E"/>
    <w:rsid w:val="00B5451F"/>
    <w:rsid w:val="00B55BD4"/>
    <w:rsid w:val="00B56371"/>
    <w:rsid w:val="00B60558"/>
    <w:rsid w:val="00B61609"/>
    <w:rsid w:val="00B625D3"/>
    <w:rsid w:val="00B67049"/>
    <w:rsid w:val="00B704F3"/>
    <w:rsid w:val="00B71557"/>
    <w:rsid w:val="00B7187A"/>
    <w:rsid w:val="00B722DA"/>
    <w:rsid w:val="00B73632"/>
    <w:rsid w:val="00B74C71"/>
    <w:rsid w:val="00B74FBA"/>
    <w:rsid w:val="00B7551A"/>
    <w:rsid w:val="00B75756"/>
    <w:rsid w:val="00B7577C"/>
    <w:rsid w:val="00B75C2C"/>
    <w:rsid w:val="00B75F2D"/>
    <w:rsid w:val="00B82946"/>
    <w:rsid w:val="00B83DF5"/>
    <w:rsid w:val="00B86478"/>
    <w:rsid w:val="00B86BCA"/>
    <w:rsid w:val="00B86D38"/>
    <w:rsid w:val="00B86E69"/>
    <w:rsid w:val="00B87460"/>
    <w:rsid w:val="00B90A0F"/>
    <w:rsid w:val="00B92F20"/>
    <w:rsid w:val="00B940B5"/>
    <w:rsid w:val="00B947DB"/>
    <w:rsid w:val="00B96EA4"/>
    <w:rsid w:val="00B96F53"/>
    <w:rsid w:val="00B97B7B"/>
    <w:rsid w:val="00B97D92"/>
    <w:rsid w:val="00BA230D"/>
    <w:rsid w:val="00BA4DCD"/>
    <w:rsid w:val="00BA5785"/>
    <w:rsid w:val="00BA5D89"/>
    <w:rsid w:val="00BB009C"/>
    <w:rsid w:val="00BB0ACF"/>
    <w:rsid w:val="00BB27A2"/>
    <w:rsid w:val="00BB3299"/>
    <w:rsid w:val="00BB5F3D"/>
    <w:rsid w:val="00BB5F89"/>
    <w:rsid w:val="00BC2683"/>
    <w:rsid w:val="00BC43F9"/>
    <w:rsid w:val="00BC4BBF"/>
    <w:rsid w:val="00BC5ADA"/>
    <w:rsid w:val="00BD3EF0"/>
    <w:rsid w:val="00BD6DE2"/>
    <w:rsid w:val="00BD781A"/>
    <w:rsid w:val="00BE08DC"/>
    <w:rsid w:val="00BE09B4"/>
    <w:rsid w:val="00BE1DB9"/>
    <w:rsid w:val="00BE34D5"/>
    <w:rsid w:val="00BE3BEA"/>
    <w:rsid w:val="00BE5013"/>
    <w:rsid w:val="00BE50AA"/>
    <w:rsid w:val="00BE53B3"/>
    <w:rsid w:val="00BF09ED"/>
    <w:rsid w:val="00BF241B"/>
    <w:rsid w:val="00BF41C9"/>
    <w:rsid w:val="00BF6068"/>
    <w:rsid w:val="00BF6414"/>
    <w:rsid w:val="00C01607"/>
    <w:rsid w:val="00C02DF7"/>
    <w:rsid w:val="00C03766"/>
    <w:rsid w:val="00C03797"/>
    <w:rsid w:val="00C04801"/>
    <w:rsid w:val="00C05B4A"/>
    <w:rsid w:val="00C1173B"/>
    <w:rsid w:val="00C12275"/>
    <w:rsid w:val="00C177BA"/>
    <w:rsid w:val="00C17D3E"/>
    <w:rsid w:val="00C20CC0"/>
    <w:rsid w:val="00C21E1E"/>
    <w:rsid w:val="00C22E9E"/>
    <w:rsid w:val="00C25247"/>
    <w:rsid w:val="00C25F66"/>
    <w:rsid w:val="00C26FE9"/>
    <w:rsid w:val="00C303B7"/>
    <w:rsid w:val="00C328EE"/>
    <w:rsid w:val="00C32F5F"/>
    <w:rsid w:val="00C367FC"/>
    <w:rsid w:val="00C372F7"/>
    <w:rsid w:val="00C37C3C"/>
    <w:rsid w:val="00C40C4C"/>
    <w:rsid w:val="00C41821"/>
    <w:rsid w:val="00C41C32"/>
    <w:rsid w:val="00C42A4C"/>
    <w:rsid w:val="00C45A33"/>
    <w:rsid w:val="00C51606"/>
    <w:rsid w:val="00C535CC"/>
    <w:rsid w:val="00C53FDC"/>
    <w:rsid w:val="00C55EA5"/>
    <w:rsid w:val="00C56FEF"/>
    <w:rsid w:val="00C6126B"/>
    <w:rsid w:val="00C619F6"/>
    <w:rsid w:val="00C63424"/>
    <w:rsid w:val="00C663D2"/>
    <w:rsid w:val="00C67AE8"/>
    <w:rsid w:val="00C70EA8"/>
    <w:rsid w:val="00C7149F"/>
    <w:rsid w:val="00C71B9C"/>
    <w:rsid w:val="00C73967"/>
    <w:rsid w:val="00C75C6E"/>
    <w:rsid w:val="00C7675E"/>
    <w:rsid w:val="00C77557"/>
    <w:rsid w:val="00C809E7"/>
    <w:rsid w:val="00C819DC"/>
    <w:rsid w:val="00C821C8"/>
    <w:rsid w:val="00C86248"/>
    <w:rsid w:val="00C875FF"/>
    <w:rsid w:val="00C87B9E"/>
    <w:rsid w:val="00C9113C"/>
    <w:rsid w:val="00C9125E"/>
    <w:rsid w:val="00C9174E"/>
    <w:rsid w:val="00C91BDE"/>
    <w:rsid w:val="00C945D3"/>
    <w:rsid w:val="00C95E25"/>
    <w:rsid w:val="00CA3136"/>
    <w:rsid w:val="00CA3E0A"/>
    <w:rsid w:val="00CA4CE1"/>
    <w:rsid w:val="00CA513D"/>
    <w:rsid w:val="00CA7A48"/>
    <w:rsid w:val="00CB5399"/>
    <w:rsid w:val="00CB65E5"/>
    <w:rsid w:val="00CC00AF"/>
    <w:rsid w:val="00CC0215"/>
    <w:rsid w:val="00CC0690"/>
    <w:rsid w:val="00CC1288"/>
    <w:rsid w:val="00CC14CA"/>
    <w:rsid w:val="00CC2057"/>
    <w:rsid w:val="00CC2C95"/>
    <w:rsid w:val="00CC39E1"/>
    <w:rsid w:val="00CC7343"/>
    <w:rsid w:val="00CD0A20"/>
    <w:rsid w:val="00CD0AEB"/>
    <w:rsid w:val="00CD1E86"/>
    <w:rsid w:val="00CD2398"/>
    <w:rsid w:val="00CD3EC5"/>
    <w:rsid w:val="00CD4344"/>
    <w:rsid w:val="00CE0802"/>
    <w:rsid w:val="00CE227E"/>
    <w:rsid w:val="00CE2649"/>
    <w:rsid w:val="00CE36D0"/>
    <w:rsid w:val="00CE4317"/>
    <w:rsid w:val="00CE59E1"/>
    <w:rsid w:val="00CE72DE"/>
    <w:rsid w:val="00CE7862"/>
    <w:rsid w:val="00CF12FA"/>
    <w:rsid w:val="00CF158F"/>
    <w:rsid w:val="00CF1747"/>
    <w:rsid w:val="00CF3F73"/>
    <w:rsid w:val="00CF6D31"/>
    <w:rsid w:val="00CF7685"/>
    <w:rsid w:val="00D001FB"/>
    <w:rsid w:val="00D0225B"/>
    <w:rsid w:val="00D0266D"/>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40F3"/>
    <w:rsid w:val="00D35437"/>
    <w:rsid w:val="00D355B1"/>
    <w:rsid w:val="00D36ECF"/>
    <w:rsid w:val="00D37EC0"/>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5925"/>
    <w:rsid w:val="00D8651D"/>
    <w:rsid w:val="00D86623"/>
    <w:rsid w:val="00D91012"/>
    <w:rsid w:val="00D9405F"/>
    <w:rsid w:val="00D9614F"/>
    <w:rsid w:val="00D975E0"/>
    <w:rsid w:val="00DA2027"/>
    <w:rsid w:val="00DA580F"/>
    <w:rsid w:val="00DA5D50"/>
    <w:rsid w:val="00DA6180"/>
    <w:rsid w:val="00DB2C7D"/>
    <w:rsid w:val="00DB4269"/>
    <w:rsid w:val="00DB4624"/>
    <w:rsid w:val="00DB6C21"/>
    <w:rsid w:val="00DB7B00"/>
    <w:rsid w:val="00DC08F3"/>
    <w:rsid w:val="00DC2F82"/>
    <w:rsid w:val="00DC312C"/>
    <w:rsid w:val="00DC484A"/>
    <w:rsid w:val="00DC5F45"/>
    <w:rsid w:val="00DC7E0F"/>
    <w:rsid w:val="00DD0EDD"/>
    <w:rsid w:val="00DD13AC"/>
    <w:rsid w:val="00DD2260"/>
    <w:rsid w:val="00DD2537"/>
    <w:rsid w:val="00DD69BA"/>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14E"/>
    <w:rsid w:val="00DF6555"/>
    <w:rsid w:val="00DF6EE0"/>
    <w:rsid w:val="00DF7344"/>
    <w:rsid w:val="00DF7DC5"/>
    <w:rsid w:val="00E001C4"/>
    <w:rsid w:val="00E00850"/>
    <w:rsid w:val="00E02E5B"/>
    <w:rsid w:val="00E05187"/>
    <w:rsid w:val="00E11D3C"/>
    <w:rsid w:val="00E1634F"/>
    <w:rsid w:val="00E16F5B"/>
    <w:rsid w:val="00E17DC4"/>
    <w:rsid w:val="00E20636"/>
    <w:rsid w:val="00E2119F"/>
    <w:rsid w:val="00E21F4E"/>
    <w:rsid w:val="00E234AC"/>
    <w:rsid w:val="00E23B5A"/>
    <w:rsid w:val="00E27ED2"/>
    <w:rsid w:val="00E326FD"/>
    <w:rsid w:val="00E3287F"/>
    <w:rsid w:val="00E33EB5"/>
    <w:rsid w:val="00E348A2"/>
    <w:rsid w:val="00E35226"/>
    <w:rsid w:val="00E37C78"/>
    <w:rsid w:val="00E43BF2"/>
    <w:rsid w:val="00E45AB0"/>
    <w:rsid w:val="00E46920"/>
    <w:rsid w:val="00E4747D"/>
    <w:rsid w:val="00E47632"/>
    <w:rsid w:val="00E47972"/>
    <w:rsid w:val="00E506FB"/>
    <w:rsid w:val="00E52A86"/>
    <w:rsid w:val="00E52C94"/>
    <w:rsid w:val="00E52CAF"/>
    <w:rsid w:val="00E53D26"/>
    <w:rsid w:val="00E53E3D"/>
    <w:rsid w:val="00E55D5E"/>
    <w:rsid w:val="00E56550"/>
    <w:rsid w:val="00E579F0"/>
    <w:rsid w:val="00E62037"/>
    <w:rsid w:val="00E62175"/>
    <w:rsid w:val="00E62A5F"/>
    <w:rsid w:val="00E65F42"/>
    <w:rsid w:val="00E668F2"/>
    <w:rsid w:val="00E66D48"/>
    <w:rsid w:val="00E6731A"/>
    <w:rsid w:val="00E7079C"/>
    <w:rsid w:val="00E708E1"/>
    <w:rsid w:val="00E7250E"/>
    <w:rsid w:val="00E74979"/>
    <w:rsid w:val="00E77EA8"/>
    <w:rsid w:val="00E861A1"/>
    <w:rsid w:val="00E9056D"/>
    <w:rsid w:val="00E926D8"/>
    <w:rsid w:val="00E92764"/>
    <w:rsid w:val="00E94DD7"/>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189E"/>
    <w:rsid w:val="00EE42B0"/>
    <w:rsid w:val="00EE5216"/>
    <w:rsid w:val="00EE6432"/>
    <w:rsid w:val="00EE7481"/>
    <w:rsid w:val="00EE74CD"/>
    <w:rsid w:val="00EE7615"/>
    <w:rsid w:val="00EE7E90"/>
    <w:rsid w:val="00EF0AF6"/>
    <w:rsid w:val="00EF17E4"/>
    <w:rsid w:val="00EF4088"/>
    <w:rsid w:val="00EF4EB7"/>
    <w:rsid w:val="00F01BDD"/>
    <w:rsid w:val="00F02748"/>
    <w:rsid w:val="00F0545B"/>
    <w:rsid w:val="00F0708B"/>
    <w:rsid w:val="00F125A0"/>
    <w:rsid w:val="00F14363"/>
    <w:rsid w:val="00F14909"/>
    <w:rsid w:val="00F150DA"/>
    <w:rsid w:val="00F152F5"/>
    <w:rsid w:val="00F20DA6"/>
    <w:rsid w:val="00F224C7"/>
    <w:rsid w:val="00F22974"/>
    <w:rsid w:val="00F23CF7"/>
    <w:rsid w:val="00F254C2"/>
    <w:rsid w:val="00F264D7"/>
    <w:rsid w:val="00F26912"/>
    <w:rsid w:val="00F27632"/>
    <w:rsid w:val="00F30721"/>
    <w:rsid w:val="00F31BD2"/>
    <w:rsid w:val="00F31DC0"/>
    <w:rsid w:val="00F338E9"/>
    <w:rsid w:val="00F362FE"/>
    <w:rsid w:val="00F36F2D"/>
    <w:rsid w:val="00F40E95"/>
    <w:rsid w:val="00F424C6"/>
    <w:rsid w:val="00F42743"/>
    <w:rsid w:val="00F43F25"/>
    <w:rsid w:val="00F44D8D"/>
    <w:rsid w:val="00F47108"/>
    <w:rsid w:val="00F50C60"/>
    <w:rsid w:val="00F517E1"/>
    <w:rsid w:val="00F5282D"/>
    <w:rsid w:val="00F557EF"/>
    <w:rsid w:val="00F55DAD"/>
    <w:rsid w:val="00F55EA8"/>
    <w:rsid w:val="00F57732"/>
    <w:rsid w:val="00F60D8E"/>
    <w:rsid w:val="00F61523"/>
    <w:rsid w:val="00F61ECF"/>
    <w:rsid w:val="00F65D6F"/>
    <w:rsid w:val="00F704B5"/>
    <w:rsid w:val="00F71058"/>
    <w:rsid w:val="00F7189B"/>
    <w:rsid w:val="00F73509"/>
    <w:rsid w:val="00F7365E"/>
    <w:rsid w:val="00F74B5D"/>
    <w:rsid w:val="00F74EA4"/>
    <w:rsid w:val="00F80039"/>
    <w:rsid w:val="00F845A7"/>
    <w:rsid w:val="00F84B21"/>
    <w:rsid w:val="00F84CA7"/>
    <w:rsid w:val="00F8594F"/>
    <w:rsid w:val="00F86B72"/>
    <w:rsid w:val="00F932D2"/>
    <w:rsid w:val="00F94169"/>
    <w:rsid w:val="00F96760"/>
    <w:rsid w:val="00FA0910"/>
    <w:rsid w:val="00FA1F33"/>
    <w:rsid w:val="00FA2964"/>
    <w:rsid w:val="00FA5794"/>
    <w:rsid w:val="00FB1DBB"/>
    <w:rsid w:val="00FB2F52"/>
    <w:rsid w:val="00FB3856"/>
    <w:rsid w:val="00FB4E4D"/>
    <w:rsid w:val="00FB5386"/>
    <w:rsid w:val="00FB5614"/>
    <w:rsid w:val="00FB76BF"/>
    <w:rsid w:val="00FC3137"/>
    <w:rsid w:val="00FC3FE2"/>
    <w:rsid w:val="00FC4C29"/>
    <w:rsid w:val="00FC5496"/>
    <w:rsid w:val="00FC596A"/>
    <w:rsid w:val="00FC5D25"/>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216"/>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75827"/>
  <w15:docId w15:val="{F18AB695-1A8A-4837-A1B4-364A0A5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36595B"/>
    <w:pPr>
      <w:pageBreakBefore/>
      <w:numPr>
        <w:numId w:val="41"/>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numPr>
        <w:ilvl w:val="1"/>
        <w:numId w:val="41"/>
      </w:numPr>
      <w:spacing w:before="480" w:after="120"/>
      <w:jc w:val="left"/>
      <w:outlineLvl w:val="1"/>
    </w:pPr>
    <w:rPr>
      <w:sz w:val="32"/>
    </w:rPr>
  </w:style>
  <w:style w:type="paragraph" w:styleId="Heading3">
    <w:name w:val="heading 3"/>
    <w:basedOn w:val="Normal"/>
    <w:next w:val="Normal"/>
    <w:link w:val="Heading3Char"/>
    <w:uiPriority w:val="9"/>
    <w:qFormat/>
    <w:rsid w:val="00265B97"/>
    <w:pPr>
      <w:keepNext/>
      <w:spacing w:before="360" w:after="240" w:line="276" w:lineRule="auto"/>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265B9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1A3E43"/>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C535CC"/>
    <w:pPr>
      <w:numPr>
        <w:numId w:val="1"/>
      </w:numPr>
      <w:tabs>
        <w:tab w:val="clear" w:pos="851"/>
        <w:tab w:val="left" w:pos="284"/>
      </w:tabs>
      <w:spacing w:before="90"/>
    </w:pPr>
  </w:style>
  <w:style w:type="character" w:customStyle="1" w:styleId="BulletChar">
    <w:name w:val="Bullet Char"/>
    <w:link w:val="Bullet"/>
    <w:rsid w:val="00C535CC"/>
    <w:rPr>
      <w:rFonts w:ascii="Arial" w:hAnsi="Arial"/>
      <w:sz w:val="22"/>
      <w:lang w:eastAsia="en-GB"/>
    </w:rPr>
  </w:style>
  <w:style w:type="paragraph" w:styleId="Quote">
    <w:name w:val="Quote"/>
    <w:basedOn w:val="Box"/>
    <w:next w:val="Normal"/>
    <w:link w:val="QuoteChar"/>
    <w:uiPriority w:val="29"/>
    <w:qFormat/>
    <w:rsid w:val="006251FF"/>
    <w:pPr>
      <w:ind w:left="851"/>
    </w:pPr>
    <w:rPr>
      <w:i/>
      <w:sz w:val="21"/>
    </w:r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6251FF"/>
    <w:rPr>
      <w:rFonts w:ascii="Arial" w:hAnsi="Arial"/>
      <w:i/>
      <w:sz w:val="21"/>
      <w:shd w:val="clear" w:color="auto" w:fill="F2F2F2" w:themeFill="background1" w:themeFillShade="F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rsid w:val="002117B9"/>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rsid w:val="001A15FF"/>
    <w:pPr>
      <w:spacing w:before="360"/>
    </w:pPr>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C26FE9"/>
    <w:pPr>
      <w:spacing w:before="60" w:after="60" w:line="240" w:lineRule="auto"/>
      <w:jc w:val="left"/>
    </w:pPr>
    <w:rPr>
      <w:sz w:val="18"/>
    </w:rPr>
  </w:style>
  <w:style w:type="paragraph" w:customStyle="1" w:styleId="TableBullet">
    <w:name w:val="TableBullet"/>
    <w:basedOn w:val="TableText"/>
    <w:rsid w:val="000B3D09"/>
    <w:pPr>
      <w:numPr>
        <w:numId w:val="3"/>
      </w:numPr>
      <w:spacing w:before="0"/>
      <w:ind w:left="709"/>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CD0AEB"/>
    <w:pPr>
      <w:numPr>
        <w:numId w:val="0"/>
      </w:numPr>
      <w:outlineLvl w:val="9"/>
    </w:pPr>
  </w:style>
  <w:style w:type="paragraph" w:customStyle="1" w:styleId="Source">
    <w:name w:val="Source"/>
    <w:basedOn w:val="Figure"/>
    <w:next w:val="Normal"/>
    <w:pPr>
      <w:keepNext w:val="0"/>
      <w:spacing w:before="80" w:after="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D001FB"/>
    <w:pPr>
      <w:spacing w:before="180"/>
    </w:p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3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511503"/>
    <w:rPr>
      <w:rFonts w:ascii="Arial" w:hAnsi="Arial"/>
      <w:sz w:val="22"/>
      <w:lang w:eastAsia="en-GB"/>
    </w:rPr>
  </w:style>
  <w:style w:type="paragraph" w:customStyle="1" w:styleId="Number">
    <w:name w:val="Number"/>
    <w:basedOn w:val="Normal"/>
    <w:link w:val="NumberChar"/>
    <w:qFormat/>
    <w:rsid w:val="00511503"/>
    <w:pPr>
      <w:numPr>
        <w:ilvl w:val="2"/>
        <w:numId w:val="41"/>
      </w:numPr>
      <w:spacing w:before="220"/>
    </w:pPr>
  </w:style>
  <w:style w:type="paragraph" w:customStyle="1" w:styleId="Letter">
    <w:name w:val="Letter"/>
    <w:basedOn w:val="Normal"/>
    <w:qFormat/>
    <w:rsid w:val="00723321"/>
    <w:pPr>
      <w:numPr>
        <w:ilvl w:val="3"/>
        <w:numId w:val="41"/>
      </w:numPr>
      <w:spacing w:before="90"/>
    </w:pPr>
  </w:style>
  <w:style w:type="paragraph" w:customStyle="1" w:styleId="TableNumber">
    <w:name w:val="TableNumber"/>
    <w:basedOn w:val="TableText"/>
    <w:qFormat/>
    <w:rsid w:val="00B86E69"/>
    <w:pPr>
      <w:ind w:left="425" w:hanging="425"/>
    </w:pPr>
  </w:style>
  <w:style w:type="paragraph" w:customStyle="1" w:styleId="TableLetter">
    <w:name w:val="TableLetter"/>
    <w:basedOn w:val="Normal"/>
    <w:qFormat/>
    <w:rsid w:val="002D6FC1"/>
    <w:pPr>
      <w:numPr>
        <w:ilvl w:val="6"/>
        <w:numId w:val="10"/>
      </w:numPr>
      <w:spacing w:before="80" w:after="80"/>
      <w:jc w:val="left"/>
    </w:pPr>
    <w:rPr>
      <w:sz w:val="18"/>
    </w:rPr>
  </w:style>
  <w:style w:type="paragraph" w:customStyle="1" w:styleId="Roman">
    <w:name w:val="Roman"/>
    <w:basedOn w:val="Normal"/>
    <w:qFormat/>
    <w:rsid w:val="00E52CAF"/>
    <w:pPr>
      <w:spacing w:before="90" w:line="240" w:lineRule="auto"/>
      <w:ind w:left="1701" w:hanging="567"/>
      <w:jc w:val="left"/>
    </w:pPr>
    <w:rPr>
      <w:rFonts w:ascii="Segoe UI" w:hAnsi="Segoe UI"/>
      <w:sz w:val="21"/>
    </w:rPr>
  </w:style>
  <w:style w:type="paragraph" w:styleId="Caption">
    <w:name w:val="caption"/>
    <w:basedOn w:val="Normal"/>
    <w:next w:val="Normal"/>
    <w:uiPriority w:val="35"/>
    <w:unhideWhenUsed/>
    <w:qFormat/>
    <w:rsid w:val="001A15FF"/>
    <w:pPr>
      <w:spacing w:after="200" w:line="240" w:lineRule="auto"/>
    </w:pPr>
    <w:rPr>
      <w:b/>
      <w:bCs/>
      <w:color w:val="4F81BD" w:themeColor="accent1"/>
      <w:sz w:val="18"/>
      <w:szCs w:val="18"/>
    </w:rPr>
  </w:style>
  <w:style w:type="paragraph" w:customStyle="1" w:styleId="Heading2-notforToC">
    <w:name w:val="Heading 2 - not for ToC"/>
    <w:basedOn w:val="Heading2"/>
    <w:qFormat/>
    <w:rsid w:val="00724708"/>
    <w:pPr>
      <w:ind w:left="567" w:hanging="567"/>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7.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1.xml"/><Relationship Id="rId45" Type="http://schemas.openxmlformats.org/officeDocument/2006/relationships/footer" Target="footer21.xml"/><Relationship Id="rId5" Type="http://schemas.openxmlformats.org/officeDocument/2006/relationships/numbering" Target="numbering.xml"/><Relationship Id="rId15" Type="http://schemas.openxmlformats.org/officeDocument/2006/relationships/hyperlink" Target="http://www.acart.health.govt.nz" TargetMode="Externa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12.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11.xml.rels><?xml version="1.0" encoding="UTF-8" standalone="yes"?>
<Relationships xmlns="http://schemas.openxmlformats.org/package/2006/relationships"><Relationship Id="rId1" Type="http://schemas.openxmlformats.org/officeDocument/2006/relationships/image" Target="media/image4.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13.xml.rels><?xml version="1.0" encoding="UTF-8" standalone="yes"?>
<Relationships xmlns="http://schemas.openxmlformats.org/package/2006/relationships"><Relationship Id="rId1" Type="http://schemas.openxmlformats.org/officeDocument/2006/relationships/image" Target="media/image4.jpeg"/></Relationships>
</file>

<file path=word/_rels/footer14.xml.rels><?xml version="1.0" encoding="UTF-8" standalone="yes"?>
<Relationships xmlns="http://schemas.openxmlformats.org/package/2006/relationships"><Relationship Id="rId1" Type="http://schemas.openxmlformats.org/officeDocument/2006/relationships/image" Target="media/image3.jpeg"/></Relationships>
</file>

<file path=word/_rels/footer15.xml.rels><?xml version="1.0" encoding="UTF-8" standalone="yes"?>
<Relationships xmlns="http://schemas.openxmlformats.org/package/2006/relationships"><Relationship Id="rId1" Type="http://schemas.openxmlformats.org/officeDocument/2006/relationships/image" Target="media/image3.jpeg"/></Relationships>
</file>

<file path=word/_rels/footer16.xml.rels><?xml version="1.0" encoding="UTF-8" standalone="yes"?>
<Relationships xmlns="http://schemas.openxmlformats.org/package/2006/relationships"><Relationship Id="rId1" Type="http://schemas.openxmlformats.org/officeDocument/2006/relationships/image" Target="media/image4.jpeg"/></Relationships>
</file>

<file path=word/_rels/footer17.xml.rels><?xml version="1.0" encoding="UTF-8" standalone="yes"?>
<Relationships xmlns="http://schemas.openxmlformats.org/package/2006/relationships"><Relationship Id="rId1" Type="http://schemas.openxmlformats.org/officeDocument/2006/relationships/image" Target="media/image4.jpeg"/></Relationships>
</file>

<file path=word/_rels/footer18.xml.rels><?xml version="1.0" encoding="UTF-8" standalone="yes"?>
<Relationships xmlns="http://schemas.openxmlformats.org/package/2006/relationships"><Relationship Id="rId1" Type="http://schemas.openxmlformats.org/officeDocument/2006/relationships/image" Target="media/image3.jpeg"/></Relationships>
</file>

<file path=word/_rels/footer19.xml.rels><?xml version="1.0" encoding="UTF-8" standalone="yes"?>
<Relationships xmlns="http://schemas.openxmlformats.org/package/2006/relationships"><Relationship Id="rId1" Type="http://schemas.openxmlformats.org/officeDocument/2006/relationships/image" Target="media/image4.jpeg"/></Relationships>
</file>

<file path=word/_rels/footer20.xml.rels><?xml version="1.0" encoding="UTF-8" standalone="yes"?>
<Relationships xmlns="http://schemas.openxmlformats.org/package/2006/relationships"><Relationship Id="rId1" Type="http://schemas.openxmlformats.org/officeDocument/2006/relationships/image" Target="media/image3.jpeg"/></Relationships>
</file>

<file path=word/_rels/footer21.xml.rels><?xml version="1.0" encoding="UTF-8" standalone="yes"?>
<Relationships xmlns="http://schemas.openxmlformats.org/package/2006/relationships"><Relationship Id="rId1" Type="http://schemas.openxmlformats.org/officeDocument/2006/relationships/image" Target="media/image4.jpeg"/></Relationships>
</file>

<file path=word/_rels/footer2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3987373" TargetMode="External"/><Relationship Id="rId3" Type="http://schemas.openxmlformats.org/officeDocument/2006/relationships/hyperlink" Target="http://www.acart.health.govt.nz" TargetMode="External"/><Relationship Id="rId7" Type="http://schemas.openxmlformats.org/officeDocument/2006/relationships/hyperlink" Target="http://www.fertilitynz.org.nz/information/dandelion-newsletter/february-2015-dandelion/" TargetMode="External"/><Relationship Id="rId2" Type="http://schemas.openxmlformats.org/officeDocument/2006/relationships/hyperlink" Target="http://www.legislation.govt.nz/act/public/1955/0093/32.0/DLM292661.html" TargetMode="External"/><Relationship Id="rId1" Type="http://schemas.openxmlformats.org/officeDocument/2006/relationships/hyperlink" Target="http://www.legislation.govt.nz/act/public/2004/0091/latest/whole.html" TargetMode="External"/><Relationship Id="rId6" Type="http://schemas.openxmlformats.org/officeDocument/2006/relationships/hyperlink" Target="https://www.nzma.org.nz/journal/read-the-journal/all-issues/2010-2019/2016/vol-129-no-1431-11-march-2016/6835" TargetMode="External"/><Relationship Id="rId5" Type="http://schemas.openxmlformats.org/officeDocument/2006/relationships/hyperlink" Target="http://acart.health.govt.nz/advice-minister-health-requirements-importing-and-exporting-vitro-gametes-and-embryos-human" TargetMode="External"/><Relationship Id="rId4" Type="http://schemas.openxmlformats.org/officeDocument/2006/relationships/hyperlink" Target="http://www.moh.govt.nz/notebook/nbbooks.nsf/0/8E8C59B6E4F845EE4C2565D70018B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5.wmf"/></Relationships>
</file>

<file path=word/_rels/header12.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_rels/header8.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5C32-5527-4D50-B8BA-23C1A0BC7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DF4F5-A188-41EA-AB5A-FB209935081D}">
  <ds:schemaRefs>
    <ds:schemaRef ds:uri="http://schemas.microsoft.com/sharepoint/v3/contenttype/forms"/>
  </ds:schemaRefs>
</ds:datastoreItem>
</file>

<file path=customXml/itemProps3.xml><?xml version="1.0" encoding="utf-8"?>
<ds:datastoreItem xmlns:ds="http://schemas.openxmlformats.org/officeDocument/2006/customXml" ds:itemID="{FB463002-B27A-48E7-8E14-2F425DC6D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8FB364-90E9-41AB-BB46-8C8CCC58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6</TotalTime>
  <Pages>60</Pages>
  <Words>16612</Words>
  <Characters>94689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Stage One Consultation: Submissions Analysis – Posthumous Reproduction: A review of the current Guidelines for the Storage, Use, and Disposal of Sperm from a Deceased Man to take into account gametes and embryos</vt:lpstr>
    </vt:vector>
  </TitlesOfParts>
  <Company>Wordprocessing Services</Company>
  <LinksUpToDate>false</LinksUpToDate>
  <CharactersWithSpaces>111079</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One Consultation: Submissions Analysis – Posthumous Reproduction: A review of the current Guidelines for the Storage, Use, and Disposal of Sperm from a Deceased Man to take into account gametes and embryos</dc:title>
  <dc:creator>ACART</dc:creator>
  <cp:lastModifiedBy>Martin Kennedy</cp:lastModifiedBy>
  <cp:revision>4</cp:revision>
  <cp:lastPrinted>2021-06-10T22:54:00Z</cp:lastPrinted>
  <dcterms:created xsi:type="dcterms:W3CDTF">2021-06-10T22:48:00Z</dcterms:created>
  <dcterms:modified xsi:type="dcterms:W3CDTF">2021-06-10T22:55:00Z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