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D6AA" w14:textId="4FF046CA" w:rsidR="009303CD" w:rsidRDefault="009303CD" w:rsidP="009303CD">
      <w:pPr>
        <w:pStyle w:val="09Versotitlepagetext"/>
        <w:rPr>
          <w:rFonts w:cs="Arial"/>
          <w:color w:val="auto"/>
        </w:rPr>
      </w:pPr>
    </w:p>
    <w:p w14:paraId="4FD89C5B" w14:textId="43F33B41" w:rsidR="00C90966" w:rsidRPr="00C90966" w:rsidRDefault="00C90966" w:rsidP="00C90966"/>
    <w:p w14:paraId="6535118A" w14:textId="3FEECEAC" w:rsidR="00C90966" w:rsidRPr="00C90966" w:rsidRDefault="00C90966" w:rsidP="00C90966"/>
    <w:p w14:paraId="477B79C5" w14:textId="66FB59E0" w:rsidR="00C90966" w:rsidRPr="00C90966" w:rsidRDefault="00C90966" w:rsidP="00C90966"/>
    <w:p w14:paraId="53B3C203" w14:textId="3226CC8D" w:rsidR="00C90966" w:rsidRPr="00C90966" w:rsidRDefault="00C90966" w:rsidP="00C90966"/>
    <w:p w14:paraId="15820070" w14:textId="3757798B" w:rsidR="00C90966" w:rsidRPr="00C90966" w:rsidRDefault="00C90966" w:rsidP="00C90966"/>
    <w:p w14:paraId="31DE8D75" w14:textId="41E591AD" w:rsidR="00C90966" w:rsidRPr="00C90966" w:rsidRDefault="00C90966" w:rsidP="00C90966"/>
    <w:p w14:paraId="1F128153" w14:textId="23F82113" w:rsidR="00C90966" w:rsidRPr="00C90966" w:rsidRDefault="00C90966" w:rsidP="00C90966"/>
    <w:p w14:paraId="01199A2B" w14:textId="4E3C02F1" w:rsidR="00C90966" w:rsidRPr="00C90966" w:rsidRDefault="00C90966" w:rsidP="00C90966"/>
    <w:p w14:paraId="6F49AE8B" w14:textId="78B9EB60" w:rsidR="00C90966" w:rsidRPr="00C90966" w:rsidRDefault="00C90966" w:rsidP="00C90966"/>
    <w:p w14:paraId="0F87BCD6" w14:textId="73BF6B06" w:rsidR="00C90966" w:rsidRPr="00C90966" w:rsidRDefault="00F35BD7" w:rsidP="00C90966">
      <w:r>
        <w:rPr>
          <w:noProof/>
        </w:rPr>
        <mc:AlternateContent>
          <mc:Choice Requires="wps">
            <w:drawing>
              <wp:anchor distT="0" distB="0" distL="114300" distR="114300" simplePos="0" relativeHeight="251659264" behindDoc="1" locked="0" layoutInCell="0" allowOverlap="1" wp14:anchorId="3122E02E" wp14:editId="5170E99F">
                <wp:simplePos x="0" y="0"/>
                <wp:positionH relativeFrom="margin">
                  <wp:align>center</wp:align>
                </wp:positionH>
                <wp:positionV relativeFrom="page">
                  <wp:posOffset>3780790</wp:posOffset>
                </wp:positionV>
                <wp:extent cx="4294505" cy="1457325"/>
                <wp:effectExtent l="0" t="0" r="0" b="0"/>
                <wp:wrapNone/>
                <wp:docPr id="7261541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4505" cy="1457325"/>
                        </a:xfrm>
                        <a:prstGeom prst="rect">
                          <a:avLst/>
                        </a:prstGeom>
                        <a:noFill/>
                        <a:ln>
                          <a:noFill/>
                        </a:ln>
                      </wps:spPr>
                      <wps:txbx>
                        <w:txbxContent>
                          <w:p w14:paraId="373516B2" w14:textId="0A0370E8" w:rsidR="00F67AC0" w:rsidRPr="00B32956" w:rsidRDefault="00F67AC0" w:rsidP="00C90966">
                            <w:pPr>
                              <w:spacing w:after="0" w:line="240" w:lineRule="auto"/>
                              <w:jc w:val="center"/>
                              <w:rPr>
                                <w:rFonts w:ascii="Sommet" w:hAnsi="Sommet"/>
                                <w:sz w:val="59"/>
                                <w:szCs w:val="59"/>
                                <w:lang w:val="en-US"/>
                              </w:rPr>
                            </w:pPr>
                            <w:r>
                              <w:rPr>
                                <w:rFonts w:ascii="Sommet" w:hAnsi="Sommet"/>
                                <w:sz w:val="59"/>
                                <w:szCs w:val="59"/>
                                <w:lang w:val="en-US"/>
                              </w:rPr>
                              <w:t xml:space="preserve">Assisted Reproductive Technology in New Zealand </w:t>
                            </w:r>
                            <w:r w:rsidR="008C147B" w:rsidRPr="00B74D33">
                              <w:rPr>
                                <w:rFonts w:ascii="Sommet" w:hAnsi="Sommet"/>
                                <w:sz w:val="59"/>
                                <w:szCs w:val="59"/>
                                <w:lang w:val="en-US"/>
                              </w:rPr>
                              <w:t>20</w:t>
                            </w:r>
                            <w:r w:rsidR="00792E8E">
                              <w:rPr>
                                <w:rFonts w:ascii="Sommet" w:hAnsi="Sommet"/>
                                <w:sz w:val="59"/>
                                <w:szCs w:val="59"/>
                                <w:lang w:val="en-US"/>
                              </w:rPr>
                              <w:t>2</w:t>
                            </w:r>
                            <w:r w:rsidR="00691533">
                              <w:rPr>
                                <w:rFonts w:ascii="Sommet" w:hAnsi="Sommet"/>
                                <w:sz w:val="59"/>
                                <w:szCs w:val="59"/>
                                <w:lang w:val="en-US"/>
                              </w:rPr>
                              <w:t>1</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22E02E" id="_x0000_t202" coordsize="21600,21600" o:spt="202" path="m,l,21600r21600,l21600,xe">
                <v:stroke joinstyle="miter"/>
                <v:path gradientshapeok="t" o:connecttype="rect"/>
              </v:shapetype>
              <v:shape id="Text Box 3" o:spid="_x0000_s1026" type="#_x0000_t202" style="position:absolute;margin-left:0;margin-top:297.7pt;width:338.15pt;height:114.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" o:allowincell="f" filled="f" stroked="f">
                <v:textbox inset="0,0,0,0">
                  <w:txbxContent>
                    <w:p w14:paraId="373516B2" w14:textId="0A0370E8" w:rsidR="00F67AC0" w:rsidRPr="00B32956" w:rsidRDefault="00F67AC0" w:rsidP="00C90966">
                      <w:pPr>
                        <w:spacing w:after="0" w:line="240" w:lineRule="auto"/>
                        <w:jc w:val="center"/>
                        <w:rPr>
                          <w:rFonts w:ascii="Sommet" w:hAnsi="Sommet"/>
                          <w:sz w:val="59"/>
                          <w:szCs w:val="59"/>
                          <w:lang w:val="en-US"/>
                        </w:rPr>
                      </w:pPr>
                      <w:r>
                        <w:rPr>
                          <w:rFonts w:ascii="Sommet" w:hAnsi="Sommet"/>
                          <w:sz w:val="59"/>
                          <w:szCs w:val="59"/>
                          <w:lang w:val="en-US"/>
                        </w:rPr>
                        <w:t xml:space="preserve">Assisted Reproductive Technology in New Zealand </w:t>
                      </w:r>
                      <w:r w:rsidR="008C147B" w:rsidRPr="00B74D33">
                        <w:rPr>
                          <w:rFonts w:ascii="Sommet" w:hAnsi="Sommet"/>
                          <w:sz w:val="59"/>
                          <w:szCs w:val="59"/>
                          <w:lang w:val="en-US"/>
                        </w:rPr>
                        <w:t>20</w:t>
                      </w:r>
                      <w:r w:rsidR="00792E8E">
                        <w:rPr>
                          <w:rFonts w:ascii="Sommet" w:hAnsi="Sommet"/>
                          <w:sz w:val="59"/>
                          <w:szCs w:val="59"/>
                          <w:lang w:val="en-US"/>
                        </w:rPr>
                        <w:t>2</w:t>
                      </w:r>
                      <w:r w:rsidR="00691533">
                        <w:rPr>
                          <w:rFonts w:ascii="Sommet" w:hAnsi="Sommet"/>
                          <w:sz w:val="59"/>
                          <w:szCs w:val="59"/>
                          <w:lang w:val="en-US"/>
                        </w:rPr>
                        <w:t>1</w:t>
                      </w:r>
                    </w:p>
                  </w:txbxContent>
                </v:textbox>
                <w10:wrap anchorx="margin" anchory="page"/>
              </v:shape>
            </w:pict>
          </mc:Fallback>
        </mc:AlternateContent>
      </w:r>
    </w:p>
    <w:p w14:paraId="4B629E1A" w14:textId="215821B1" w:rsidR="00C90966" w:rsidRPr="00C90966" w:rsidRDefault="00C90966" w:rsidP="00C90966"/>
    <w:p w14:paraId="4D113966" w14:textId="28D3DD71" w:rsidR="00C90966" w:rsidRPr="00C90966" w:rsidRDefault="00C90966" w:rsidP="00C90966"/>
    <w:p w14:paraId="62E2F44B" w14:textId="37C2BC96" w:rsidR="00C90966" w:rsidRPr="00C90966" w:rsidRDefault="00C90966" w:rsidP="00C90966"/>
    <w:p w14:paraId="44C98A14" w14:textId="02C2F4F7" w:rsidR="00C90966" w:rsidRPr="00C90966" w:rsidRDefault="00C90966" w:rsidP="00C90966"/>
    <w:p w14:paraId="0C3C5717" w14:textId="01E5B90C" w:rsidR="00C90966" w:rsidRPr="00C90966" w:rsidRDefault="00C90966" w:rsidP="00C90966"/>
    <w:p w14:paraId="64F8A17E" w14:textId="31584CCD" w:rsidR="00C90966" w:rsidRPr="00C90966" w:rsidRDefault="00C90966" w:rsidP="00C90966"/>
    <w:p w14:paraId="238718E2" w14:textId="44C522B4" w:rsidR="00C90966" w:rsidRPr="00C90966" w:rsidRDefault="00F35BD7" w:rsidP="00C90966">
      <w:r>
        <w:rPr>
          <w:noProof/>
        </w:rPr>
        <mc:AlternateContent>
          <mc:Choice Requires="wps">
            <w:drawing>
              <wp:anchor distT="0" distB="0" distL="114300" distR="114300" simplePos="0" relativeHeight="251661312" behindDoc="1" locked="0" layoutInCell="0" allowOverlap="1" wp14:anchorId="1E5ED80F" wp14:editId="246B55BE">
                <wp:simplePos x="0" y="0"/>
                <wp:positionH relativeFrom="margin">
                  <wp:align>center</wp:align>
                </wp:positionH>
                <wp:positionV relativeFrom="page">
                  <wp:posOffset>5876925</wp:posOffset>
                </wp:positionV>
                <wp:extent cx="4294505" cy="1457325"/>
                <wp:effectExtent l="0" t="0" r="0" b="0"/>
                <wp:wrapNone/>
                <wp:docPr id="910023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4505" cy="1457325"/>
                        </a:xfrm>
                        <a:prstGeom prst="rect">
                          <a:avLst/>
                        </a:prstGeom>
                        <a:noFill/>
                        <a:ln>
                          <a:noFill/>
                        </a:ln>
                      </wps:spPr>
                      <wps:txbx>
                        <w:txbxContent>
                          <w:p w14:paraId="5E714716" w14:textId="02C36771" w:rsidR="00F67AC0" w:rsidRPr="00CE614E" w:rsidRDefault="00442013" w:rsidP="00C90966">
                            <w:pPr>
                              <w:spacing w:after="0" w:line="240" w:lineRule="auto"/>
                              <w:jc w:val="center"/>
                              <w:rPr>
                                <w:rFonts w:ascii="Sommet" w:hAnsi="Sommet"/>
                                <w:sz w:val="40"/>
                                <w:szCs w:val="40"/>
                                <w:lang w:val="en-US"/>
                              </w:rPr>
                            </w:pPr>
                            <w:r>
                              <w:rPr>
                                <w:rFonts w:ascii="Sommet" w:hAnsi="Sommet"/>
                                <w:sz w:val="40"/>
                                <w:szCs w:val="40"/>
                                <w:lang w:val="en-US"/>
                              </w:rPr>
                              <w:t>March</w:t>
                            </w:r>
                            <w:r w:rsidR="00304852">
                              <w:rPr>
                                <w:rFonts w:ascii="Sommet" w:hAnsi="Sommet"/>
                                <w:sz w:val="40"/>
                                <w:szCs w:val="40"/>
                                <w:lang w:val="en-US"/>
                              </w:rPr>
                              <w:t xml:space="preserve"> </w:t>
                            </w:r>
                            <w:r w:rsidR="00F67AC0" w:rsidRPr="00CE614E">
                              <w:rPr>
                                <w:rFonts w:ascii="Sommet" w:hAnsi="Sommet"/>
                                <w:sz w:val="40"/>
                                <w:szCs w:val="40"/>
                                <w:lang w:val="en-US"/>
                              </w:rPr>
                              <w:t>20</w:t>
                            </w:r>
                            <w:r w:rsidR="00F67AC0">
                              <w:rPr>
                                <w:rFonts w:ascii="Sommet" w:hAnsi="Sommet"/>
                                <w:sz w:val="40"/>
                                <w:szCs w:val="40"/>
                                <w:lang w:val="en-US"/>
                              </w:rPr>
                              <w:t>2</w:t>
                            </w:r>
                            <w:r w:rsidR="00691533">
                              <w:rPr>
                                <w:rFonts w:ascii="Sommet" w:hAnsi="Sommet"/>
                                <w:sz w:val="40"/>
                                <w:szCs w:val="40"/>
                                <w:lang w:val="en-US"/>
                              </w:rPr>
                              <w:t>4</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ED80F" id="Text Box 2" o:spid="_x0000_s1027" type="#_x0000_t202" style="position:absolute;margin-left:0;margin-top:462.75pt;width:338.15pt;height:114.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" o:allowincell="f" filled="f" stroked="f">
                <v:textbox inset="0,0,0,0">
                  <w:txbxContent>
                    <w:p w14:paraId="5E714716" w14:textId="02C36771" w:rsidR="00F67AC0" w:rsidRPr="00CE614E" w:rsidRDefault="00442013" w:rsidP="00C90966">
                      <w:pPr>
                        <w:spacing w:after="0" w:line="240" w:lineRule="auto"/>
                        <w:jc w:val="center"/>
                        <w:rPr>
                          <w:rFonts w:ascii="Sommet" w:hAnsi="Sommet"/>
                          <w:sz w:val="40"/>
                          <w:szCs w:val="40"/>
                          <w:lang w:val="en-US"/>
                        </w:rPr>
                      </w:pPr>
                      <w:r>
                        <w:rPr>
                          <w:rFonts w:ascii="Sommet" w:hAnsi="Sommet"/>
                          <w:sz w:val="40"/>
                          <w:szCs w:val="40"/>
                          <w:lang w:val="en-US"/>
                        </w:rPr>
                        <w:t>March</w:t>
                      </w:r>
                      <w:r w:rsidR="00304852">
                        <w:rPr>
                          <w:rFonts w:ascii="Sommet" w:hAnsi="Sommet"/>
                          <w:sz w:val="40"/>
                          <w:szCs w:val="40"/>
                          <w:lang w:val="en-US"/>
                        </w:rPr>
                        <w:t xml:space="preserve"> </w:t>
                      </w:r>
                      <w:r w:rsidR="00F67AC0" w:rsidRPr="00CE614E">
                        <w:rPr>
                          <w:rFonts w:ascii="Sommet" w:hAnsi="Sommet"/>
                          <w:sz w:val="40"/>
                          <w:szCs w:val="40"/>
                          <w:lang w:val="en-US"/>
                        </w:rPr>
                        <w:t>20</w:t>
                      </w:r>
                      <w:r w:rsidR="00F67AC0">
                        <w:rPr>
                          <w:rFonts w:ascii="Sommet" w:hAnsi="Sommet"/>
                          <w:sz w:val="40"/>
                          <w:szCs w:val="40"/>
                          <w:lang w:val="en-US"/>
                        </w:rPr>
                        <w:t>2</w:t>
                      </w:r>
                      <w:r w:rsidR="00691533">
                        <w:rPr>
                          <w:rFonts w:ascii="Sommet" w:hAnsi="Sommet"/>
                          <w:sz w:val="40"/>
                          <w:szCs w:val="40"/>
                          <w:lang w:val="en-US"/>
                        </w:rPr>
                        <w:t>4</w:t>
                      </w:r>
                    </w:p>
                  </w:txbxContent>
                </v:textbox>
                <w10:wrap anchorx="margin" anchory="page"/>
              </v:shape>
            </w:pict>
          </mc:Fallback>
        </mc:AlternateContent>
      </w:r>
    </w:p>
    <w:p w14:paraId="732EACF4" w14:textId="60AE092B" w:rsidR="00C90966" w:rsidRPr="00C90966" w:rsidRDefault="00C90966" w:rsidP="00C90966"/>
    <w:p w14:paraId="0FA2B2A1" w14:textId="6FAB9590" w:rsidR="00C90966" w:rsidRPr="00C90966" w:rsidRDefault="00C90966" w:rsidP="00C90966"/>
    <w:p w14:paraId="2495B5AB" w14:textId="1E671A72" w:rsidR="00C90966" w:rsidRPr="00C90966" w:rsidRDefault="00C90966" w:rsidP="00C90966"/>
    <w:p w14:paraId="746E392A" w14:textId="4393F179" w:rsidR="00C90966" w:rsidRPr="00C90966" w:rsidRDefault="00C90966" w:rsidP="00C90966"/>
    <w:p w14:paraId="1DA39A7B" w14:textId="286A2D43" w:rsidR="00C90966" w:rsidRPr="00C90966" w:rsidRDefault="00C90966" w:rsidP="00C90966"/>
    <w:p w14:paraId="0C572F3F" w14:textId="77777777" w:rsidR="00C90966" w:rsidRPr="00C90966" w:rsidRDefault="00C90966" w:rsidP="00C90966"/>
    <w:p w14:paraId="6FC28314" w14:textId="77777777" w:rsidR="006324C1" w:rsidRDefault="009303CD" w:rsidP="009303CD">
      <w:pPr>
        <w:pStyle w:val="Heading1notinTOC"/>
        <w:rPr>
          <w:rFonts w:cs="Arial"/>
          <w:color w:val="auto"/>
        </w:rPr>
      </w:pPr>
      <w:bookmarkStart w:id="0" w:name="_Toc453054816"/>
      <w:bookmarkStart w:id="1" w:name="_Toc159568713"/>
      <w:r w:rsidRPr="00617599">
        <w:rPr>
          <w:rFonts w:cs="Arial"/>
          <w:color w:val="auto"/>
        </w:rPr>
        <w:lastRenderedPageBreak/>
        <w:t>Foreword</w:t>
      </w:r>
      <w:bookmarkEnd w:id="0"/>
      <w:bookmarkEnd w:id="1"/>
    </w:p>
    <w:p w14:paraId="19DE8FDB" w14:textId="14935CB0" w:rsidR="00FD5579" w:rsidRPr="00FD5579" w:rsidRDefault="006324C1" w:rsidP="00FD5579">
      <w:pPr>
        <w:rPr>
          <w:rFonts w:ascii="Book Antiqua" w:eastAsia="Book Antiqua" w:hAnsi="Book Antiqua" w:cs="Book Antiqua"/>
          <w:sz w:val="22"/>
          <w:lang w:val="en-NZ"/>
        </w:rPr>
      </w:pPr>
      <w:r w:rsidRPr="00720891">
        <w:rPr>
          <w:rFonts w:ascii="Book Antiqua" w:eastAsia="Book Antiqua" w:hAnsi="Book Antiqua" w:cs="Book Antiqua"/>
          <w:sz w:val="22"/>
          <w:lang w:val="en-NZ"/>
        </w:rPr>
        <w:t xml:space="preserve">The </w:t>
      </w:r>
      <w:r w:rsidR="00FD5579" w:rsidRPr="00FD5579">
        <w:rPr>
          <w:rFonts w:ascii="Book Antiqua" w:eastAsia="Book Antiqua" w:hAnsi="Book Antiqua" w:cs="Book Antiqua"/>
          <w:sz w:val="22"/>
          <w:lang w:val="en-NZ"/>
        </w:rPr>
        <w:t xml:space="preserve">Advisory Committee on Assisted Reproductive Technology (ACART) presents this report, </w:t>
      </w:r>
      <w:r w:rsidR="00FD5579" w:rsidRPr="006A4DCE">
        <w:rPr>
          <w:rFonts w:ascii="Book Antiqua" w:eastAsia="Book Antiqua" w:hAnsi="Book Antiqua" w:cs="Book Antiqua"/>
          <w:i/>
          <w:iCs/>
          <w:sz w:val="22"/>
          <w:lang w:val="en-NZ"/>
        </w:rPr>
        <w:t>Assisted Reproductive Technology in New Zealand 2021</w:t>
      </w:r>
      <w:r w:rsidR="00FD5579" w:rsidRPr="00FD5579">
        <w:rPr>
          <w:rFonts w:ascii="Book Antiqua" w:eastAsia="Book Antiqua" w:hAnsi="Book Antiqua" w:cs="Book Antiqua"/>
          <w:sz w:val="22"/>
          <w:lang w:val="en-NZ"/>
        </w:rPr>
        <w:t>, the thirteenth New Zealand-specific report based on the Australian and New Zealand Assisted Reproduction Database (ANZARD). The report provides a quantitative summary of the numbers, types and outcomes of assisted reproductive technology (ART) in Aotearoa New Zealand.</w:t>
      </w:r>
    </w:p>
    <w:p w14:paraId="0A417DA8" w14:textId="769BC403" w:rsidR="00FD5579" w:rsidRPr="00FD5579" w:rsidRDefault="00FD5579" w:rsidP="00FD5579">
      <w:pPr>
        <w:rPr>
          <w:rFonts w:ascii="Book Antiqua" w:eastAsia="Book Antiqua" w:hAnsi="Book Antiqua" w:cs="Book Antiqua"/>
          <w:sz w:val="22"/>
          <w:lang w:val="en-NZ"/>
        </w:rPr>
      </w:pPr>
      <w:r w:rsidRPr="00FD5579">
        <w:rPr>
          <w:rFonts w:ascii="Book Antiqua" w:eastAsia="Book Antiqua" w:hAnsi="Book Antiqua" w:cs="Book Antiqua"/>
          <w:sz w:val="22"/>
          <w:lang w:val="en-NZ"/>
        </w:rPr>
        <w:t>This report contributes to ACART’s statutory role to monitor the outcomes of ART in Aotearoa New Zealand. We trust that the report and associated thirteen years of data trends (available in the monitoring reports, at</w:t>
      </w:r>
      <w:r w:rsidR="00F37486">
        <w:rPr>
          <w:rFonts w:ascii="Book Antiqua" w:eastAsia="Book Antiqua" w:hAnsi="Book Antiqua" w:cs="Book Antiqua"/>
          <w:sz w:val="22"/>
          <w:lang w:val="en-NZ"/>
        </w:rPr>
        <w:t xml:space="preserve"> </w:t>
      </w:r>
      <w:hyperlink r:id="rId12" w:history="1">
        <w:r w:rsidRPr="00F37486">
          <w:rPr>
            <w:rFonts w:ascii="Book Antiqua" w:eastAsia="Book Antiqua" w:hAnsi="Book Antiqua" w:cs="Book Antiqua"/>
            <w:color w:val="0000FF"/>
            <w:sz w:val="22"/>
            <w:lang w:val="en-NZ"/>
          </w:rPr>
          <w:t>acart.health.govt.nz</w:t>
        </w:r>
      </w:hyperlink>
      <w:r w:rsidRPr="00FD5579">
        <w:rPr>
          <w:rFonts w:ascii="Book Antiqua" w:eastAsia="Book Antiqua" w:hAnsi="Book Antiqua" w:cs="Book Antiqua"/>
          <w:sz w:val="22"/>
          <w:lang w:val="en-NZ"/>
        </w:rPr>
        <w:t>) will be useful to the sector including clinics, consumers, and researchers of ART health outcomes.</w:t>
      </w:r>
    </w:p>
    <w:p w14:paraId="0D7E593F" w14:textId="430D8592" w:rsidR="00FD5579" w:rsidRPr="00FD5579" w:rsidRDefault="00FD5579" w:rsidP="00FD5579">
      <w:pPr>
        <w:rPr>
          <w:rFonts w:ascii="Book Antiqua" w:eastAsia="Book Antiqua" w:hAnsi="Book Antiqua" w:cs="Book Antiqua"/>
          <w:sz w:val="22"/>
          <w:lang w:val="en-NZ"/>
        </w:rPr>
      </w:pPr>
      <w:r w:rsidRPr="00FD5579">
        <w:rPr>
          <w:rFonts w:ascii="Book Antiqua" w:eastAsia="Book Antiqua" w:hAnsi="Book Antiqua" w:cs="Book Antiqua"/>
          <w:sz w:val="22"/>
          <w:lang w:val="en-NZ"/>
        </w:rPr>
        <w:t>It is interesting to note the overall use of ARTs continues to increase. In 2021, there were 8.7 cycles per 1,000 women of reproductive age. This rate is up from 6.5 in 2014, and from 8.2 in 2020. This report is also the third ANZARD report to include data on outcomes by ethnicity, consistent with other reporting in Aotearoa New Zealand. While it is still too early to identify trends in this data, it should soon help us to develop a better understanding of who is accessing ART. </w:t>
      </w:r>
    </w:p>
    <w:p w14:paraId="02021AFD" w14:textId="77777777" w:rsidR="00FD5579" w:rsidRPr="00FD5579" w:rsidRDefault="00FD5579" w:rsidP="00FD5579">
      <w:pPr>
        <w:rPr>
          <w:rFonts w:ascii="Book Antiqua" w:eastAsia="Book Antiqua" w:hAnsi="Book Antiqua" w:cs="Book Antiqua"/>
          <w:sz w:val="22"/>
          <w:lang w:val="en-NZ"/>
        </w:rPr>
      </w:pPr>
      <w:r w:rsidRPr="00FD5579">
        <w:rPr>
          <w:rFonts w:ascii="Book Antiqua" w:eastAsia="Book Antiqua" w:hAnsi="Book Antiqua" w:cs="Book Antiqua"/>
          <w:sz w:val="22"/>
          <w:lang w:val="en-NZ"/>
        </w:rPr>
        <w:t>ACART thanks the Ministry of Health for procuring this report. We also thank the National Perinatal Epidemiology and Statistics Unit at the University of New South Wales for collaborating with ACART to develop the report.</w:t>
      </w:r>
    </w:p>
    <w:p w14:paraId="03058C7C" w14:textId="25D205B9" w:rsidR="001B2081" w:rsidRDefault="001B2081" w:rsidP="00FD5579">
      <w:pPr>
        <w:spacing w:after="120" w:line="271" w:lineRule="auto"/>
        <w:rPr>
          <w:rFonts w:ascii="Book Antiqua" w:eastAsia="Book Antiqua" w:hAnsi="Book Antiqua" w:cs="Book Antiqua"/>
          <w:sz w:val="22"/>
          <w:lang w:val="en-NZ"/>
        </w:rPr>
      </w:pPr>
      <w:r w:rsidRPr="007B2050">
        <w:rPr>
          <w:rFonts w:ascii="Arial" w:eastAsia="Times New Roman" w:hAnsi="Arial" w:cs="Arial"/>
          <w:noProof/>
          <w:sz w:val="22"/>
          <w:szCs w:val="20"/>
          <w:lang w:val="en-NZ" w:eastAsia="en-NZ"/>
        </w:rPr>
        <w:drawing>
          <wp:inline distT="0" distB="0" distL="0" distR="0" wp14:anchorId="05F079D7" wp14:editId="757EE6A3">
            <wp:extent cx="983967" cy="468406"/>
            <wp:effectExtent l="0" t="0" r="6985"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83967" cy="468406"/>
                    </a:xfrm>
                    <a:prstGeom prst="rect">
                      <a:avLst/>
                    </a:prstGeom>
                    <a:noFill/>
                  </pic:spPr>
                </pic:pic>
              </a:graphicData>
            </a:graphic>
          </wp:inline>
        </w:drawing>
      </w:r>
    </w:p>
    <w:p w14:paraId="4B4C3329" w14:textId="77777777" w:rsidR="008F68CB" w:rsidRPr="007B2050" w:rsidRDefault="008F68CB" w:rsidP="008F68CB">
      <w:pPr>
        <w:spacing w:before="120" w:after="0" w:line="240" w:lineRule="auto"/>
        <w:rPr>
          <w:rFonts w:ascii="Book Antiqua" w:eastAsia="Times New Roman" w:hAnsi="Book Antiqua" w:cs="Times New Roman"/>
          <w:b/>
          <w:sz w:val="22"/>
          <w:szCs w:val="20"/>
          <w:lang w:val="en-NZ" w:eastAsia="en-GB"/>
        </w:rPr>
      </w:pPr>
      <w:r w:rsidRPr="00086ACD">
        <w:rPr>
          <w:rFonts w:ascii="Book Antiqua" w:eastAsia="Times New Roman" w:hAnsi="Book Antiqua" w:cs="Times New Roman"/>
          <w:b/>
          <w:sz w:val="22"/>
          <w:szCs w:val="20"/>
          <w:lang w:val="en-NZ" w:eastAsia="en-GB"/>
        </w:rPr>
        <w:t>Calum Barrett</w:t>
      </w:r>
    </w:p>
    <w:p w14:paraId="455388A8" w14:textId="77777777" w:rsidR="008F68CB" w:rsidRPr="007B2050" w:rsidRDefault="008F68CB" w:rsidP="008F68CB">
      <w:pPr>
        <w:spacing w:after="0" w:line="240" w:lineRule="auto"/>
        <w:rPr>
          <w:rFonts w:ascii="Book Antiqua" w:eastAsia="Times New Roman" w:hAnsi="Book Antiqua" w:cs="Times New Roman"/>
          <w:sz w:val="22"/>
          <w:szCs w:val="20"/>
          <w:lang w:val="en-NZ" w:eastAsia="en-GB"/>
        </w:rPr>
      </w:pPr>
      <w:r w:rsidRPr="007B2050">
        <w:rPr>
          <w:rFonts w:ascii="Book Antiqua" w:eastAsia="Times New Roman" w:hAnsi="Book Antiqua" w:cs="Times New Roman"/>
          <w:sz w:val="22"/>
          <w:szCs w:val="20"/>
          <w:lang w:val="en-NZ" w:eastAsia="en-GB"/>
        </w:rPr>
        <w:t>Chair, Advisory Committee on Assisted Reproductive Technology</w:t>
      </w:r>
    </w:p>
    <w:p w14:paraId="54661A4A" w14:textId="57BC88F9" w:rsidR="009303CD" w:rsidRPr="00617599" w:rsidRDefault="008F68CB" w:rsidP="00194478">
      <w:pPr>
        <w:spacing w:after="120" w:line="271" w:lineRule="auto"/>
        <w:rPr>
          <w:rFonts w:cs="Arial"/>
        </w:rPr>
      </w:pPr>
      <w:r>
        <w:rPr>
          <w:rFonts w:ascii="Book Antiqua" w:eastAsia="Times New Roman" w:hAnsi="Book Antiqua" w:cs="Times New Roman"/>
          <w:sz w:val="22"/>
          <w:szCs w:val="20"/>
          <w:lang w:val="en-NZ" w:eastAsia="en-GB"/>
        </w:rPr>
        <w:t>May</w:t>
      </w:r>
      <w:r w:rsidRPr="00EF26D4">
        <w:rPr>
          <w:rFonts w:ascii="Book Antiqua" w:eastAsia="Times New Roman" w:hAnsi="Book Antiqua" w:cs="Times New Roman"/>
          <w:sz w:val="22"/>
          <w:szCs w:val="20"/>
          <w:lang w:val="en-NZ" w:eastAsia="en-GB"/>
        </w:rPr>
        <w:t xml:space="preserve"> 202</w:t>
      </w:r>
      <w:r>
        <w:rPr>
          <w:rFonts w:ascii="Book Antiqua" w:eastAsia="Times New Roman" w:hAnsi="Book Antiqua" w:cs="Times New Roman"/>
          <w:sz w:val="22"/>
          <w:szCs w:val="20"/>
          <w:lang w:val="en-NZ" w:eastAsia="en-GB"/>
        </w:rPr>
        <w:t>4</w:t>
      </w:r>
      <w:r w:rsidR="009303CD" w:rsidRPr="00617599">
        <w:rPr>
          <w:rFonts w:cs="Arial"/>
        </w:rPr>
        <w:br w:type="page"/>
      </w:r>
    </w:p>
    <w:p w14:paraId="6C0B5D40" w14:textId="77777777" w:rsidR="009303CD" w:rsidRPr="00617599" w:rsidRDefault="009303CD" w:rsidP="009303CD">
      <w:pPr>
        <w:pStyle w:val="Heading1"/>
        <w:rPr>
          <w:rFonts w:eastAsia="Times New Roman" w:cs="Arial"/>
          <w:szCs w:val="44"/>
        </w:rPr>
      </w:pPr>
      <w:bookmarkStart w:id="2" w:name="_Toc453054818"/>
      <w:bookmarkStart w:id="3" w:name="_Toc452112609"/>
      <w:bookmarkStart w:id="4" w:name="_Toc283039449"/>
      <w:bookmarkStart w:id="5" w:name="_Toc159568714"/>
      <w:r w:rsidRPr="00617599">
        <w:rPr>
          <w:rFonts w:eastAsia="Times New Roman" w:cs="Arial"/>
          <w:szCs w:val="44"/>
        </w:rPr>
        <w:lastRenderedPageBreak/>
        <w:t>Acknowledgments</w:t>
      </w:r>
      <w:bookmarkEnd w:id="2"/>
      <w:bookmarkEnd w:id="3"/>
      <w:bookmarkEnd w:id="4"/>
      <w:bookmarkEnd w:id="5"/>
    </w:p>
    <w:p w14:paraId="5758A69B" w14:textId="68E33324" w:rsidR="00D3450D" w:rsidRDefault="00D3450D" w:rsidP="003B4F5A">
      <w:pPr>
        <w:pStyle w:val="AIHWbodytext"/>
      </w:pPr>
      <w:r>
        <w:t>The authors of this report acknowledge the Traditional Owners of Country throughout Australia. We pay our respects to the people, the culture</w:t>
      </w:r>
      <w:r w:rsidR="001A19DE">
        <w:t>,</w:t>
      </w:r>
      <w:r>
        <w:t xml:space="preserve"> and the Elders past and present. We acknowledge Māori as the tangata whenua of Aotearoa and recognise our responsibility under Te Tiriti o Waitangi to deliver better health outcomes for iwi, hapū, whānau Māori and Māori communities.</w:t>
      </w:r>
    </w:p>
    <w:p w14:paraId="384525C4" w14:textId="108E25E9" w:rsidR="003B4F5A" w:rsidRPr="00293254" w:rsidRDefault="003B4F5A" w:rsidP="003B4F5A">
      <w:pPr>
        <w:pStyle w:val="AIHWbodytext"/>
        <w:rPr>
          <w:rFonts w:cs="Arial"/>
          <w:color w:val="auto"/>
        </w:rPr>
      </w:pPr>
      <w:r w:rsidRPr="00293254">
        <w:rPr>
          <w:rFonts w:cs="Arial"/>
          <w:color w:val="auto"/>
        </w:rPr>
        <w:t>The Australian and New Zealand Assisted Reproduction Database (ANZARD)</w:t>
      </w:r>
      <w:r>
        <w:rPr>
          <w:rFonts w:cs="Arial"/>
          <w:color w:val="auto"/>
        </w:rPr>
        <w:t xml:space="preserve"> </w:t>
      </w:r>
      <w:r w:rsidRPr="00293254">
        <w:rPr>
          <w:rFonts w:cs="Arial"/>
          <w:color w:val="auto"/>
        </w:rPr>
        <w:t>is a collaborative effort between the National Perinatal Epidemiology and Statistics Unit (NPESU)</w:t>
      </w:r>
      <w:r>
        <w:rPr>
          <w:rFonts w:cs="Arial"/>
          <w:color w:val="auto"/>
        </w:rPr>
        <w:t>, the Fertility Society of Australia</w:t>
      </w:r>
      <w:r w:rsidR="00E12571">
        <w:rPr>
          <w:rFonts w:cs="Arial"/>
          <w:color w:val="auto"/>
        </w:rPr>
        <w:t xml:space="preserve"> and New Zealand</w:t>
      </w:r>
      <w:r>
        <w:rPr>
          <w:rFonts w:cs="Arial"/>
          <w:color w:val="auto"/>
        </w:rPr>
        <w:t xml:space="preserve"> (FSA</w:t>
      </w:r>
      <w:r w:rsidR="00E12571">
        <w:rPr>
          <w:rFonts w:cs="Arial"/>
          <w:color w:val="auto"/>
        </w:rPr>
        <w:t>NZ</w:t>
      </w:r>
      <w:r>
        <w:rPr>
          <w:rFonts w:cs="Arial"/>
          <w:color w:val="auto"/>
        </w:rPr>
        <w:t>)</w:t>
      </w:r>
      <w:r w:rsidR="001A19DE">
        <w:rPr>
          <w:rFonts w:cs="Arial"/>
          <w:color w:val="auto"/>
        </w:rPr>
        <w:t>,</w:t>
      </w:r>
      <w:r w:rsidRPr="00293254">
        <w:rPr>
          <w:rFonts w:cs="Arial"/>
          <w:color w:val="auto"/>
        </w:rPr>
        <w:t xml:space="preserve"> and fertility clinics in Australia and New Zealand. The NPESU is a unit within the Centre for Big Data Research in Health and the School of </w:t>
      </w:r>
      <w:r w:rsidR="00380078">
        <w:rPr>
          <w:rFonts w:cs="Arial"/>
          <w:color w:val="auto"/>
        </w:rPr>
        <w:t>Clinical Medicine</w:t>
      </w:r>
      <w:r w:rsidRPr="00293254">
        <w:rPr>
          <w:rFonts w:cs="Arial"/>
          <w:color w:val="auto"/>
        </w:rPr>
        <w:t xml:space="preserve"> of the University of New South Wales</w:t>
      </w:r>
      <w:r w:rsidR="00806BFD">
        <w:rPr>
          <w:rFonts w:cs="Arial"/>
          <w:color w:val="auto"/>
        </w:rPr>
        <w:t xml:space="preserve"> </w:t>
      </w:r>
      <w:r w:rsidR="00806BFD" w:rsidRPr="00293254">
        <w:rPr>
          <w:rFonts w:cs="Arial"/>
          <w:color w:val="auto"/>
        </w:rPr>
        <w:t>(UNSW)</w:t>
      </w:r>
      <w:r>
        <w:rPr>
          <w:rFonts w:cs="Arial"/>
          <w:color w:val="auto"/>
        </w:rPr>
        <w:t>,</w:t>
      </w:r>
      <w:r w:rsidRPr="00293254">
        <w:rPr>
          <w:rFonts w:cs="Arial"/>
          <w:color w:val="auto"/>
        </w:rPr>
        <w:t xml:space="preserve"> </w:t>
      </w:r>
      <w:r>
        <w:rPr>
          <w:rFonts w:cs="Arial"/>
          <w:color w:val="auto"/>
        </w:rPr>
        <w:t>Sydney</w:t>
      </w:r>
      <w:r w:rsidRPr="00293254">
        <w:rPr>
          <w:rFonts w:cs="Arial"/>
          <w:color w:val="auto"/>
        </w:rPr>
        <w:t>.</w:t>
      </w:r>
    </w:p>
    <w:p w14:paraId="659A732F" w14:textId="2D96B304" w:rsidR="009303CD" w:rsidRPr="00510FAA" w:rsidRDefault="009303CD" w:rsidP="009303CD">
      <w:pPr>
        <w:spacing w:before="60" w:after="120" w:line="260" w:lineRule="atLeast"/>
        <w:rPr>
          <w:rFonts w:ascii="Arial" w:eastAsia="Times New Roman" w:hAnsi="Arial" w:cs="Arial"/>
          <w:sz w:val="22"/>
        </w:rPr>
      </w:pPr>
      <w:r w:rsidRPr="00510FAA">
        <w:rPr>
          <w:rFonts w:ascii="Arial" w:eastAsia="Times New Roman" w:hAnsi="Arial" w:cs="Arial"/>
          <w:sz w:val="22"/>
        </w:rPr>
        <w:t>We would like to thank all staff in the fertility centres for their efforts in compiling the data and providing additional information when requested. A list of all contributing fertility clinics can be found in Appendix A.</w:t>
      </w:r>
    </w:p>
    <w:p w14:paraId="7141B248" w14:textId="77777777" w:rsidR="009303CD" w:rsidRPr="00617599" w:rsidRDefault="009303CD" w:rsidP="009303CD">
      <w:pPr>
        <w:keepNext/>
        <w:keepLines/>
        <w:tabs>
          <w:tab w:val="left" w:pos="794"/>
          <w:tab w:val="left" w:pos="1191"/>
          <w:tab w:val="left" w:pos="2778"/>
        </w:tabs>
        <w:spacing w:before="600" w:after="360" w:line="480" w:lineRule="atLeast"/>
        <w:outlineLvl w:val="0"/>
        <w:rPr>
          <w:rFonts w:ascii="Arial" w:eastAsia="Times New Roman" w:hAnsi="Arial" w:cs="Arial"/>
          <w:b/>
          <w:sz w:val="44"/>
        </w:rPr>
      </w:pPr>
      <w:bookmarkStart w:id="6" w:name="_Toc159568715"/>
      <w:r w:rsidRPr="00617599">
        <w:rPr>
          <w:rFonts w:ascii="Arial" w:eastAsia="Times New Roman" w:hAnsi="Arial" w:cs="Arial"/>
          <w:b/>
          <w:sz w:val="44"/>
        </w:rPr>
        <w:t>Abbreviations</w:t>
      </w:r>
      <w:bookmarkEnd w:id="6"/>
    </w:p>
    <w:tbl>
      <w:tblPr>
        <w:tblW w:w="0" w:type="auto"/>
        <w:tblLayout w:type="fixed"/>
        <w:tblLook w:val="04A0" w:firstRow="1" w:lastRow="0" w:firstColumn="1" w:lastColumn="0" w:noHBand="0" w:noVBand="1"/>
      </w:tblPr>
      <w:tblGrid>
        <w:gridCol w:w="1134"/>
        <w:gridCol w:w="6663"/>
      </w:tblGrid>
      <w:tr w:rsidR="009303CD" w:rsidRPr="00617599" w14:paraId="1CFBE848" w14:textId="77777777" w:rsidTr="00D5561F">
        <w:tc>
          <w:tcPr>
            <w:tcW w:w="1134" w:type="dxa"/>
            <w:tcMar>
              <w:top w:w="11" w:type="dxa"/>
              <w:left w:w="85" w:type="dxa"/>
              <w:bottom w:w="11" w:type="dxa"/>
              <w:right w:w="85" w:type="dxa"/>
            </w:tcMar>
            <w:hideMark/>
          </w:tcPr>
          <w:p w14:paraId="006156B1"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ANZARD</w:t>
            </w:r>
          </w:p>
        </w:tc>
        <w:tc>
          <w:tcPr>
            <w:tcW w:w="6663" w:type="dxa"/>
            <w:tcMar>
              <w:top w:w="11" w:type="dxa"/>
              <w:left w:w="85" w:type="dxa"/>
              <w:bottom w:w="11" w:type="dxa"/>
              <w:right w:w="85" w:type="dxa"/>
            </w:tcMar>
            <w:hideMark/>
          </w:tcPr>
          <w:p w14:paraId="31477262"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Australian and New Zealand Assisted Reproduction Database</w:t>
            </w:r>
          </w:p>
        </w:tc>
      </w:tr>
      <w:tr w:rsidR="009303CD" w:rsidRPr="00617599" w14:paraId="78D10199" w14:textId="77777777" w:rsidTr="00D5561F">
        <w:tc>
          <w:tcPr>
            <w:tcW w:w="1134" w:type="dxa"/>
            <w:tcMar>
              <w:top w:w="11" w:type="dxa"/>
              <w:left w:w="85" w:type="dxa"/>
              <w:bottom w:w="11" w:type="dxa"/>
              <w:right w:w="85" w:type="dxa"/>
            </w:tcMar>
            <w:hideMark/>
          </w:tcPr>
          <w:p w14:paraId="070AC962"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ART</w:t>
            </w:r>
          </w:p>
        </w:tc>
        <w:tc>
          <w:tcPr>
            <w:tcW w:w="6663" w:type="dxa"/>
            <w:tcMar>
              <w:top w:w="11" w:type="dxa"/>
              <w:left w:w="85" w:type="dxa"/>
              <w:bottom w:w="11" w:type="dxa"/>
              <w:right w:w="85" w:type="dxa"/>
            </w:tcMar>
            <w:hideMark/>
          </w:tcPr>
          <w:p w14:paraId="43DC630F"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assisted reproductive technology</w:t>
            </w:r>
          </w:p>
        </w:tc>
      </w:tr>
      <w:tr w:rsidR="009303CD" w:rsidRPr="00617599" w14:paraId="6592B50B" w14:textId="77777777" w:rsidTr="00D5561F">
        <w:tc>
          <w:tcPr>
            <w:tcW w:w="1134" w:type="dxa"/>
            <w:tcMar>
              <w:top w:w="11" w:type="dxa"/>
              <w:left w:w="85" w:type="dxa"/>
              <w:bottom w:w="11" w:type="dxa"/>
              <w:right w:w="85" w:type="dxa"/>
            </w:tcMar>
            <w:hideMark/>
          </w:tcPr>
          <w:p w14:paraId="053751E8"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DET</w:t>
            </w:r>
          </w:p>
        </w:tc>
        <w:tc>
          <w:tcPr>
            <w:tcW w:w="6663" w:type="dxa"/>
            <w:tcMar>
              <w:top w:w="11" w:type="dxa"/>
              <w:left w:w="85" w:type="dxa"/>
              <w:bottom w:w="11" w:type="dxa"/>
              <w:right w:w="85" w:type="dxa"/>
            </w:tcMar>
            <w:hideMark/>
          </w:tcPr>
          <w:p w14:paraId="364DE68E"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double embryo transfer</w:t>
            </w:r>
          </w:p>
        </w:tc>
      </w:tr>
      <w:tr w:rsidR="009303CD" w:rsidRPr="00617599" w14:paraId="154A4FF1" w14:textId="77777777" w:rsidTr="00D5561F">
        <w:tc>
          <w:tcPr>
            <w:tcW w:w="1134" w:type="dxa"/>
            <w:tcMar>
              <w:top w:w="11" w:type="dxa"/>
              <w:left w:w="85" w:type="dxa"/>
              <w:bottom w:w="11" w:type="dxa"/>
              <w:right w:w="85" w:type="dxa"/>
            </w:tcMar>
            <w:hideMark/>
          </w:tcPr>
          <w:p w14:paraId="48385092"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DI</w:t>
            </w:r>
          </w:p>
        </w:tc>
        <w:tc>
          <w:tcPr>
            <w:tcW w:w="6663" w:type="dxa"/>
            <w:tcMar>
              <w:top w:w="11" w:type="dxa"/>
              <w:left w:w="85" w:type="dxa"/>
              <w:bottom w:w="11" w:type="dxa"/>
              <w:right w:w="85" w:type="dxa"/>
            </w:tcMar>
            <w:hideMark/>
          </w:tcPr>
          <w:p w14:paraId="3377C842"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donor sperm insemination</w:t>
            </w:r>
          </w:p>
        </w:tc>
      </w:tr>
      <w:tr w:rsidR="009303CD" w:rsidRPr="00617599" w14:paraId="54640579" w14:textId="77777777" w:rsidTr="00D5561F">
        <w:tc>
          <w:tcPr>
            <w:tcW w:w="1134" w:type="dxa"/>
            <w:tcMar>
              <w:top w:w="11" w:type="dxa"/>
              <w:left w:w="85" w:type="dxa"/>
              <w:bottom w:w="11" w:type="dxa"/>
              <w:right w:w="85" w:type="dxa"/>
            </w:tcMar>
            <w:hideMark/>
          </w:tcPr>
          <w:p w14:paraId="5EE97A5C" w14:textId="18357B2C"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FSA</w:t>
            </w:r>
            <w:r w:rsidR="00E12571">
              <w:rPr>
                <w:rFonts w:ascii="Arial" w:eastAsia="Times New Roman" w:hAnsi="Arial" w:cs="Arial"/>
                <w:sz w:val="22"/>
              </w:rPr>
              <w:t>NZ</w:t>
            </w:r>
          </w:p>
        </w:tc>
        <w:tc>
          <w:tcPr>
            <w:tcW w:w="6663" w:type="dxa"/>
            <w:tcMar>
              <w:top w:w="11" w:type="dxa"/>
              <w:left w:w="85" w:type="dxa"/>
              <w:bottom w:w="11" w:type="dxa"/>
              <w:right w:w="85" w:type="dxa"/>
            </w:tcMar>
            <w:hideMark/>
          </w:tcPr>
          <w:p w14:paraId="3E0802E6" w14:textId="18600EC0"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Fertility Society of Australia</w:t>
            </w:r>
            <w:r w:rsidR="00E12571">
              <w:rPr>
                <w:rFonts w:ascii="Arial" w:eastAsia="Times New Roman" w:hAnsi="Arial" w:cs="Arial"/>
                <w:sz w:val="22"/>
              </w:rPr>
              <w:t xml:space="preserve"> and New Zealand</w:t>
            </w:r>
          </w:p>
        </w:tc>
      </w:tr>
      <w:tr w:rsidR="009303CD" w:rsidRPr="00617599" w14:paraId="40BA9C8E" w14:textId="77777777" w:rsidTr="00D5561F">
        <w:tc>
          <w:tcPr>
            <w:tcW w:w="1134" w:type="dxa"/>
            <w:tcMar>
              <w:top w:w="11" w:type="dxa"/>
              <w:left w:w="85" w:type="dxa"/>
              <w:bottom w:w="11" w:type="dxa"/>
              <w:right w:w="85" w:type="dxa"/>
            </w:tcMar>
            <w:hideMark/>
          </w:tcPr>
          <w:p w14:paraId="1C32DD95"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FSH</w:t>
            </w:r>
          </w:p>
        </w:tc>
        <w:tc>
          <w:tcPr>
            <w:tcW w:w="6663" w:type="dxa"/>
            <w:tcMar>
              <w:top w:w="11" w:type="dxa"/>
              <w:left w:w="85" w:type="dxa"/>
              <w:bottom w:w="11" w:type="dxa"/>
              <w:right w:w="85" w:type="dxa"/>
            </w:tcMar>
            <w:hideMark/>
          </w:tcPr>
          <w:p w14:paraId="666B62CF"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follicle stimulating hormone</w:t>
            </w:r>
          </w:p>
        </w:tc>
      </w:tr>
      <w:tr w:rsidR="00553BE9" w:rsidRPr="00617599" w14:paraId="7F1E80FE" w14:textId="77777777" w:rsidTr="00D5561F">
        <w:tc>
          <w:tcPr>
            <w:tcW w:w="1134" w:type="dxa"/>
            <w:tcMar>
              <w:top w:w="11" w:type="dxa"/>
              <w:left w:w="85" w:type="dxa"/>
              <w:bottom w:w="11" w:type="dxa"/>
              <w:right w:w="85" w:type="dxa"/>
            </w:tcMar>
          </w:tcPr>
          <w:p w14:paraId="14275676" w14:textId="5AC928C9" w:rsidR="00553BE9" w:rsidRPr="00510FAA" w:rsidRDefault="00553BE9">
            <w:pPr>
              <w:spacing w:before="60" w:after="120" w:line="260" w:lineRule="atLeast"/>
              <w:rPr>
                <w:rFonts w:ascii="Arial" w:eastAsia="Times New Roman" w:hAnsi="Arial" w:cs="Arial"/>
                <w:sz w:val="22"/>
              </w:rPr>
            </w:pPr>
            <w:r w:rsidRPr="00510FAA">
              <w:rPr>
                <w:rFonts w:ascii="Arial" w:eastAsia="Times New Roman" w:hAnsi="Arial" w:cs="Arial"/>
                <w:sz w:val="22"/>
              </w:rPr>
              <w:t>GIFT</w:t>
            </w:r>
          </w:p>
        </w:tc>
        <w:tc>
          <w:tcPr>
            <w:tcW w:w="6663" w:type="dxa"/>
            <w:tcMar>
              <w:top w:w="11" w:type="dxa"/>
              <w:left w:w="85" w:type="dxa"/>
              <w:bottom w:w="11" w:type="dxa"/>
              <w:right w:w="85" w:type="dxa"/>
            </w:tcMar>
          </w:tcPr>
          <w:p w14:paraId="442CA0B8" w14:textId="0CCD8D6F" w:rsidR="00553BE9" w:rsidRPr="00510FAA" w:rsidRDefault="00553BE9">
            <w:pPr>
              <w:spacing w:before="60" w:after="120" w:line="260" w:lineRule="atLeast"/>
              <w:rPr>
                <w:rFonts w:ascii="Arial" w:eastAsia="Times New Roman" w:hAnsi="Arial" w:cs="Arial"/>
                <w:sz w:val="22"/>
              </w:rPr>
            </w:pPr>
            <w:r w:rsidRPr="00510FAA">
              <w:rPr>
                <w:rFonts w:ascii="Arial" w:eastAsia="Times New Roman" w:hAnsi="Arial" w:cs="Arial"/>
                <w:sz w:val="22"/>
              </w:rPr>
              <w:t>gamete intrafallopian transfer</w:t>
            </w:r>
          </w:p>
        </w:tc>
      </w:tr>
      <w:tr w:rsidR="009303CD" w:rsidRPr="00617599" w14:paraId="1EEBE8E9" w14:textId="77777777" w:rsidTr="00D5561F">
        <w:tc>
          <w:tcPr>
            <w:tcW w:w="1134" w:type="dxa"/>
            <w:tcMar>
              <w:top w:w="11" w:type="dxa"/>
              <w:left w:w="85" w:type="dxa"/>
              <w:bottom w:w="11" w:type="dxa"/>
              <w:right w:w="85" w:type="dxa"/>
            </w:tcMar>
            <w:hideMark/>
          </w:tcPr>
          <w:p w14:paraId="5214C901"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ICSI</w:t>
            </w:r>
          </w:p>
        </w:tc>
        <w:tc>
          <w:tcPr>
            <w:tcW w:w="6663" w:type="dxa"/>
            <w:tcMar>
              <w:top w:w="11" w:type="dxa"/>
              <w:left w:w="85" w:type="dxa"/>
              <w:bottom w:w="11" w:type="dxa"/>
              <w:right w:w="85" w:type="dxa"/>
            </w:tcMar>
            <w:hideMark/>
          </w:tcPr>
          <w:p w14:paraId="027007E7"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intracytoplasmic sperm injection</w:t>
            </w:r>
          </w:p>
        </w:tc>
      </w:tr>
      <w:tr w:rsidR="009303CD" w:rsidRPr="00617599" w14:paraId="42713BBB" w14:textId="77777777" w:rsidTr="00D5561F">
        <w:tc>
          <w:tcPr>
            <w:tcW w:w="1134" w:type="dxa"/>
            <w:tcMar>
              <w:top w:w="11" w:type="dxa"/>
              <w:left w:w="85" w:type="dxa"/>
              <w:bottom w:w="11" w:type="dxa"/>
              <w:right w:w="85" w:type="dxa"/>
            </w:tcMar>
            <w:hideMark/>
          </w:tcPr>
          <w:p w14:paraId="5B52EAC4"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IVF</w:t>
            </w:r>
          </w:p>
        </w:tc>
        <w:tc>
          <w:tcPr>
            <w:tcW w:w="6663" w:type="dxa"/>
            <w:tcMar>
              <w:top w:w="11" w:type="dxa"/>
              <w:left w:w="85" w:type="dxa"/>
              <w:bottom w:w="11" w:type="dxa"/>
              <w:right w:w="85" w:type="dxa"/>
            </w:tcMar>
            <w:hideMark/>
          </w:tcPr>
          <w:p w14:paraId="170553EC"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in vitro fertilisation</w:t>
            </w:r>
          </w:p>
        </w:tc>
      </w:tr>
      <w:tr w:rsidR="000C3BA3" w:rsidRPr="00617599" w14:paraId="276F1C71" w14:textId="77777777" w:rsidTr="00D5561F">
        <w:tc>
          <w:tcPr>
            <w:tcW w:w="1134" w:type="dxa"/>
            <w:tcMar>
              <w:top w:w="11" w:type="dxa"/>
              <w:left w:w="85" w:type="dxa"/>
              <w:bottom w:w="11" w:type="dxa"/>
              <w:right w:w="85" w:type="dxa"/>
            </w:tcMar>
          </w:tcPr>
          <w:p w14:paraId="543DE58B" w14:textId="12505C6B" w:rsidR="000C3BA3" w:rsidRPr="00510FAA" w:rsidRDefault="000C3BA3">
            <w:pPr>
              <w:spacing w:before="60" w:after="120" w:line="260" w:lineRule="atLeast"/>
              <w:rPr>
                <w:rFonts w:ascii="Arial" w:eastAsia="Times New Roman" w:hAnsi="Arial" w:cs="Arial"/>
                <w:sz w:val="22"/>
              </w:rPr>
            </w:pPr>
            <w:r>
              <w:rPr>
                <w:rFonts w:ascii="Arial" w:eastAsia="Times New Roman" w:hAnsi="Arial" w:cs="Arial"/>
                <w:sz w:val="22"/>
              </w:rPr>
              <w:t>IUI</w:t>
            </w:r>
          </w:p>
        </w:tc>
        <w:tc>
          <w:tcPr>
            <w:tcW w:w="6663" w:type="dxa"/>
            <w:tcMar>
              <w:top w:w="11" w:type="dxa"/>
              <w:left w:w="85" w:type="dxa"/>
              <w:bottom w:w="11" w:type="dxa"/>
              <w:right w:w="85" w:type="dxa"/>
            </w:tcMar>
          </w:tcPr>
          <w:p w14:paraId="659BDCB6" w14:textId="5CE0979F" w:rsidR="000C3BA3" w:rsidRPr="00510FAA" w:rsidRDefault="000C3BA3">
            <w:pPr>
              <w:spacing w:before="60" w:after="120" w:line="260" w:lineRule="atLeast"/>
              <w:rPr>
                <w:rFonts w:ascii="Arial" w:eastAsia="Times New Roman" w:hAnsi="Arial" w:cs="Arial"/>
                <w:sz w:val="22"/>
              </w:rPr>
            </w:pPr>
            <w:r>
              <w:rPr>
                <w:rFonts w:ascii="Arial" w:eastAsia="Times New Roman" w:hAnsi="Arial" w:cs="Arial"/>
                <w:sz w:val="22"/>
              </w:rPr>
              <w:t>Intrauterine insemination</w:t>
            </w:r>
          </w:p>
        </w:tc>
      </w:tr>
      <w:tr w:rsidR="000C3BA3" w:rsidRPr="00617599" w14:paraId="68EEEF5E" w14:textId="77777777" w:rsidTr="00D5561F">
        <w:tc>
          <w:tcPr>
            <w:tcW w:w="1134" w:type="dxa"/>
            <w:tcMar>
              <w:top w:w="11" w:type="dxa"/>
              <w:left w:w="85" w:type="dxa"/>
              <w:bottom w:w="11" w:type="dxa"/>
              <w:right w:w="85" w:type="dxa"/>
            </w:tcMar>
          </w:tcPr>
          <w:p w14:paraId="503A30D6" w14:textId="0CFC8A39" w:rsidR="000C3BA3" w:rsidRPr="00510FAA" w:rsidRDefault="000C3BA3">
            <w:pPr>
              <w:spacing w:before="60" w:after="120" w:line="260" w:lineRule="atLeast"/>
              <w:rPr>
                <w:rFonts w:ascii="Arial" w:eastAsia="Times New Roman" w:hAnsi="Arial" w:cs="Arial"/>
                <w:sz w:val="22"/>
              </w:rPr>
            </w:pPr>
            <w:r>
              <w:rPr>
                <w:rFonts w:ascii="Arial" w:eastAsia="Times New Roman" w:hAnsi="Arial" w:cs="Arial"/>
                <w:sz w:val="22"/>
              </w:rPr>
              <w:t>LMP</w:t>
            </w:r>
          </w:p>
        </w:tc>
        <w:tc>
          <w:tcPr>
            <w:tcW w:w="6663" w:type="dxa"/>
            <w:tcMar>
              <w:top w:w="11" w:type="dxa"/>
              <w:left w:w="85" w:type="dxa"/>
              <w:bottom w:w="11" w:type="dxa"/>
              <w:right w:w="85" w:type="dxa"/>
            </w:tcMar>
          </w:tcPr>
          <w:p w14:paraId="63705EBA" w14:textId="1340818F" w:rsidR="000C3BA3" w:rsidRPr="00510FAA" w:rsidRDefault="000C3BA3">
            <w:pPr>
              <w:spacing w:before="60" w:after="120" w:line="260" w:lineRule="atLeast"/>
              <w:rPr>
                <w:rFonts w:ascii="Arial" w:eastAsia="Times New Roman" w:hAnsi="Arial" w:cs="Arial"/>
                <w:sz w:val="22"/>
              </w:rPr>
            </w:pPr>
            <w:r>
              <w:rPr>
                <w:rFonts w:ascii="Arial" w:eastAsia="Times New Roman" w:hAnsi="Arial" w:cs="Arial"/>
                <w:sz w:val="22"/>
              </w:rPr>
              <w:t>Last menstrual period</w:t>
            </w:r>
          </w:p>
        </w:tc>
      </w:tr>
      <w:tr w:rsidR="009303CD" w:rsidRPr="00617599" w14:paraId="0DD23E30" w14:textId="77777777" w:rsidTr="00D5561F">
        <w:tc>
          <w:tcPr>
            <w:tcW w:w="1134" w:type="dxa"/>
            <w:tcMar>
              <w:top w:w="11" w:type="dxa"/>
              <w:left w:w="85" w:type="dxa"/>
              <w:bottom w:w="11" w:type="dxa"/>
              <w:right w:w="85" w:type="dxa"/>
            </w:tcMar>
            <w:hideMark/>
          </w:tcPr>
          <w:p w14:paraId="0D0D5B37"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NPESU</w:t>
            </w:r>
          </w:p>
        </w:tc>
        <w:tc>
          <w:tcPr>
            <w:tcW w:w="6663" w:type="dxa"/>
            <w:tcMar>
              <w:top w:w="11" w:type="dxa"/>
              <w:left w:w="85" w:type="dxa"/>
              <w:bottom w:w="11" w:type="dxa"/>
              <w:right w:w="85" w:type="dxa"/>
            </w:tcMar>
            <w:hideMark/>
          </w:tcPr>
          <w:p w14:paraId="5470FE22"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National Perinatal Epidemiology and Statistics Unit</w:t>
            </w:r>
          </w:p>
        </w:tc>
      </w:tr>
      <w:tr w:rsidR="000C3BA3" w:rsidRPr="00617599" w14:paraId="20E680B3" w14:textId="77777777" w:rsidTr="00D5561F">
        <w:tc>
          <w:tcPr>
            <w:tcW w:w="1134" w:type="dxa"/>
            <w:tcMar>
              <w:top w:w="11" w:type="dxa"/>
              <w:left w:w="85" w:type="dxa"/>
              <w:bottom w:w="11" w:type="dxa"/>
              <w:right w:w="85" w:type="dxa"/>
            </w:tcMar>
          </w:tcPr>
          <w:p w14:paraId="14779939" w14:textId="750AD803" w:rsidR="000C3BA3" w:rsidRPr="00510FAA" w:rsidRDefault="000C3BA3">
            <w:pPr>
              <w:spacing w:before="60" w:after="120" w:line="260" w:lineRule="atLeast"/>
              <w:rPr>
                <w:rFonts w:ascii="Arial" w:eastAsia="Times New Roman" w:hAnsi="Arial" w:cs="Arial"/>
                <w:sz w:val="22"/>
              </w:rPr>
            </w:pPr>
            <w:r>
              <w:rPr>
                <w:rFonts w:ascii="Arial" w:eastAsia="Times New Roman" w:hAnsi="Arial" w:cs="Arial"/>
                <w:sz w:val="22"/>
              </w:rPr>
              <w:t>OHSS</w:t>
            </w:r>
          </w:p>
        </w:tc>
        <w:tc>
          <w:tcPr>
            <w:tcW w:w="6663" w:type="dxa"/>
            <w:tcMar>
              <w:top w:w="11" w:type="dxa"/>
              <w:left w:w="85" w:type="dxa"/>
              <w:bottom w:w="11" w:type="dxa"/>
              <w:right w:w="85" w:type="dxa"/>
            </w:tcMar>
          </w:tcPr>
          <w:p w14:paraId="4B3DE77D" w14:textId="0D6670F6" w:rsidR="000C3BA3" w:rsidRPr="00510FAA" w:rsidRDefault="000C3BA3">
            <w:pPr>
              <w:spacing w:before="60" w:after="120" w:line="260" w:lineRule="atLeast"/>
              <w:rPr>
                <w:rFonts w:ascii="Arial" w:eastAsia="Times New Roman" w:hAnsi="Arial" w:cs="Arial"/>
                <w:sz w:val="22"/>
              </w:rPr>
            </w:pPr>
            <w:r>
              <w:rPr>
                <w:rFonts w:ascii="Arial" w:eastAsia="Times New Roman" w:hAnsi="Arial" w:cs="Arial"/>
                <w:sz w:val="22"/>
              </w:rPr>
              <w:t>Ovarian hyperstimulation syndrome</w:t>
            </w:r>
          </w:p>
        </w:tc>
      </w:tr>
      <w:tr w:rsidR="009303CD" w:rsidRPr="00617599" w14:paraId="7B6AACC6" w14:textId="77777777" w:rsidTr="00D5561F">
        <w:tc>
          <w:tcPr>
            <w:tcW w:w="1134" w:type="dxa"/>
            <w:tcMar>
              <w:top w:w="11" w:type="dxa"/>
              <w:left w:w="85" w:type="dxa"/>
              <w:bottom w:w="11" w:type="dxa"/>
              <w:right w:w="85" w:type="dxa"/>
            </w:tcMar>
            <w:hideMark/>
          </w:tcPr>
          <w:p w14:paraId="55A87720"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OPU</w:t>
            </w:r>
          </w:p>
        </w:tc>
        <w:tc>
          <w:tcPr>
            <w:tcW w:w="6663" w:type="dxa"/>
            <w:tcMar>
              <w:top w:w="11" w:type="dxa"/>
              <w:left w:w="85" w:type="dxa"/>
              <w:bottom w:w="11" w:type="dxa"/>
              <w:right w:w="85" w:type="dxa"/>
            </w:tcMar>
            <w:hideMark/>
          </w:tcPr>
          <w:p w14:paraId="3AEEEF9A"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oocyte pick-up</w:t>
            </w:r>
          </w:p>
        </w:tc>
      </w:tr>
      <w:tr w:rsidR="00553BE9" w:rsidRPr="00617599" w14:paraId="1D769426" w14:textId="77777777" w:rsidTr="00D5561F">
        <w:tc>
          <w:tcPr>
            <w:tcW w:w="1134" w:type="dxa"/>
            <w:tcMar>
              <w:top w:w="11" w:type="dxa"/>
              <w:left w:w="85" w:type="dxa"/>
              <w:bottom w:w="11" w:type="dxa"/>
              <w:right w:w="85" w:type="dxa"/>
            </w:tcMar>
          </w:tcPr>
          <w:p w14:paraId="439E98BB" w14:textId="272659AF" w:rsidR="00553BE9" w:rsidRPr="00510FAA" w:rsidRDefault="00553BE9">
            <w:pPr>
              <w:spacing w:before="60" w:after="120" w:line="260" w:lineRule="atLeast"/>
              <w:rPr>
                <w:rFonts w:ascii="Arial" w:eastAsia="Times New Roman" w:hAnsi="Arial" w:cs="Arial"/>
                <w:sz w:val="22"/>
              </w:rPr>
            </w:pPr>
            <w:r w:rsidRPr="00510FAA">
              <w:rPr>
                <w:rFonts w:ascii="Arial" w:eastAsia="Times New Roman" w:hAnsi="Arial" w:cs="Arial"/>
                <w:sz w:val="22"/>
              </w:rPr>
              <w:t>PGT</w:t>
            </w:r>
          </w:p>
        </w:tc>
        <w:tc>
          <w:tcPr>
            <w:tcW w:w="6663" w:type="dxa"/>
            <w:tcMar>
              <w:top w:w="11" w:type="dxa"/>
              <w:left w:w="85" w:type="dxa"/>
              <w:bottom w:w="11" w:type="dxa"/>
              <w:right w:w="85" w:type="dxa"/>
            </w:tcMar>
          </w:tcPr>
          <w:p w14:paraId="365607D0" w14:textId="50950427" w:rsidR="00553BE9" w:rsidRPr="00510FAA" w:rsidRDefault="00553BE9">
            <w:pPr>
              <w:spacing w:before="60" w:after="120" w:line="260" w:lineRule="atLeast"/>
              <w:rPr>
                <w:rFonts w:ascii="Arial" w:eastAsia="Times New Roman" w:hAnsi="Arial" w:cs="Arial"/>
                <w:sz w:val="22"/>
              </w:rPr>
            </w:pPr>
            <w:r w:rsidRPr="00510FAA">
              <w:rPr>
                <w:rFonts w:ascii="Arial" w:eastAsia="Times New Roman" w:hAnsi="Arial" w:cs="Arial"/>
                <w:sz w:val="22"/>
              </w:rPr>
              <w:t>preimplantation genetic testing</w:t>
            </w:r>
          </w:p>
        </w:tc>
      </w:tr>
      <w:tr w:rsidR="000C3BA3" w:rsidRPr="00617599" w14:paraId="6CEFFCE4" w14:textId="77777777" w:rsidTr="00D5561F">
        <w:tc>
          <w:tcPr>
            <w:tcW w:w="1134" w:type="dxa"/>
            <w:tcMar>
              <w:top w:w="11" w:type="dxa"/>
              <w:left w:w="85" w:type="dxa"/>
              <w:bottom w:w="11" w:type="dxa"/>
              <w:right w:w="85" w:type="dxa"/>
            </w:tcMar>
          </w:tcPr>
          <w:p w14:paraId="3DDAFA0F" w14:textId="6F1ADC2B" w:rsidR="000C3BA3" w:rsidRPr="00510FAA" w:rsidRDefault="000C3BA3">
            <w:pPr>
              <w:spacing w:before="60" w:after="120" w:line="260" w:lineRule="atLeast"/>
              <w:rPr>
                <w:rFonts w:ascii="Arial" w:eastAsia="Times New Roman" w:hAnsi="Arial" w:cs="Arial"/>
                <w:sz w:val="22"/>
              </w:rPr>
            </w:pPr>
            <w:r>
              <w:rPr>
                <w:rFonts w:ascii="Arial" w:eastAsia="Times New Roman" w:hAnsi="Arial" w:cs="Arial"/>
                <w:sz w:val="22"/>
              </w:rPr>
              <w:t>RTAC</w:t>
            </w:r>
          </w:p>
        </w:tc>
        <w:tc>
          <w:tcPr>
            <w:tcW w:w="6663" w:type="dxa"/>
            <w:tcMar>
              <w:top w:w="11" w:type="dxa"/>
              <w:left w:w="85" w:type="dxa"/>
              <w:bottom w:w="11" w:type="dxa"/>
              <w:right w:w="85" w:type="dxa"/>
            </w:tcMar>
          </w:tcPr>
          <w:p w14:paraId="14B7DEEE" w14:textId="4310FE3E" w:rsidR="000C3BA3" w:rsidRPr="00510FAA" w:rsidRDefault="000C3BA3">
            <w:pPr>
              <w:spacing w:before="60" w:after="120" w:line="260" w:lineRule="atLeast"/>
              <w:rPr>
                <w:rFonts w:ascii="Arial" w:eastAsia="Times New Roman" w:hAnsi="Arial" w:cs="Arial"/>
                <w:sz w:val="22"/>
              </w:rPr>
            </w:pPr>
            <w:r w:rsidRPr="000D75B4">
              <w:rPr>
                <w:rFonts w:ascii="Arial" w:eastAsia="Times New Roman" w:hAnsi="Arial" w:cs="Arial"/>
                <w:sz w:val="22"/>
              </w:rPr>
              <w:t>Reproductive Technology Accreditation Committee</w:t>
            </w:r>
          </w:p>
        </w:tc>
      </w:tr>
      <w:tr w:rsidR="003E1D29" w:rsidRPr="00617599" w14:paraId="4C6565F7" w14:textId="77777777" w:rsidTr="00D5561F">
        <w:tc>
          <w:tcPr>
            <w:tcW w:w="1134" w:type="dxa"/>
            <w:tcMar>
              <w:top w:w="11" w:type="dxa"/>
              <w:left w:w="85" w:type="dxa"/>
              <w:bottom w:w="11" w:type="dxa"/>
              <w:right w:w="85" w:type="dxa"/>
            </w:tcMar>
          </w:tcPr>
          <w:p w14:paraId="6D0AB41C" w14:textId="1749510C" w:rsidR="003E1D29" w:rsidRPr="00510FAA" w:rsidRDefault="003E1D29">
            <w:pPr>
              <w:spacing w:before="60" w:after="120" w:line="260" w:lineRule="atLeast"/>
              <w:rPr>
                <w:rFonts w:ascii="Arial" w:eastAsia="Times New Roman" w:hAnsi="Arial" w:cs="Arial"/>
                <w:sz w:val="22"/>
              </w:rPr>
            </w:pPr>
            <w:r w:rsidRPr="00510FAA">
              <w:rPr>
                <w:rFonts w:ascii="Arial" w:eastAsia="Times New Roman" w:hAnsi="Arial" w:cs="Arial"/>
                <w:sz w:val="22"/>
              </w:rPr>
              <w:t>SD</w:t>
            </w:r>
          </w:p>
        </w:tc>
        <w:tc>
          <w:tcPr>
            <w:tcW w:w="6663" w:type="dxa"/>
            <w:tcMar>
              <w:top w:w="11" w:type="dxa"/>
              <w:left w:w="85" w:type="dxa"/>
              <w:bottom w:w="11" w:type="dxa"/>
              <w:right w:w="85" w:type="dxa"/>
            </w:tcMar>
          </w:tcPr>
          <w:p w14:paraId="4EAC8B36" w14:textId="213BAA7B" w:rsidR="003E1D29" w:rsidRPr="00510FAA" w:rsidRDefault="00553BE9">
            <w:pPr>
              <w:spacing w:before="60" w:after="120" w:line="260" w:lineRule="atLeast"/>
              <w:rPr>
                <w:rFonts w:ascii="Arial" w:eastAsia="Times New Roman" w:hAnsi="Arial" w:cs="Arial"/>
                <w:sz w:val="22"/>
              </w:rPr>
            </w:pPr>
            <w:r w:rsidRPr="00510FAA">
              <w:rPr>
                <w:rFonts w:ascii="Arial" w:eastAsia="Times New Roman" w:hAnsi="Arial" w:cs="Arial"/>
                <w:sz w:val="22"/>
              </w:rPr>
              <w:t>s</w:t>
            </w:r>
            <w:r w:rsidR="003E1D29" w:rsidRPr="00510FAA">
              <w:rPr>
                <w:rFonts w:ascii="Arial" w:eastAsia="Times New Roman" w:hAnsi="Arial" w:cs="Arial"/>
                <w:sz w:val="22"/>
              </w:rPr>
              <w:t>tandard deviation</w:t>
            </w:r>
          </w:p>
        </w:tc>
      </w:tr>
      <w:tr w:rsidR="009303CD" w:rsidRPr="00617599" w14:paraId="724C9A00" w14:textId="77777777" w:rsidTr="00D5561F">
        <w:tc>
          <w:tcPr>
            <w:tcW w:w="1134" w:type="dxa"/>
            <w:tcMar>
              <w:top w:w="11" w:type="dxa"/>
              <w:left w:w="85" w:type="dxa"/>
              <w:bottom w:w="11" w:type="dxa"/>
              <w:right w:w="85" w:type="dxa"/>
            </w:tcMar>
            <w:hideMark/>
          </w:tcPr>
          <w:p w14:paraId="30325C2A"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SET</w:t>
            </w:r>
          </w:p>
        </w:tc>
        <w:tc>
          <w:tcPr>
            <w:tcW w:w="6663" w:type="dxa"/>
            <w:tcMar>
              <w:top w:w="11" w:type="dxa"/>
              <w:left w:w="85" w:type="dxa"/>
              <w:bottom w:w="11" w:type="dxa"/>
              <w:right w:w="85" w:type="dxa"/>
            </w:tcMar>
            <w:hideMark/>
          </w:tcPr>
          <w:p w14:paraId="17069346"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single embryo transfer</w:t>
            </w:r>
          </w:p>
        </w:tc>
      </w:tr>
      <w:tr w:rsidR="009303CD" w:rsidRPr="00617599" w14:paraId="58EFF8A0" w14:textId="77777777" w:rsidTr="00D5561F">
        <w:tc>
          <w:tcPr>
            <w:tcW w:w="1134" w:type="dxa"/>
            <w:tcMar>
              <w:top w:w="11" w:type="dxa"/>
              <w:left w:w="85" w:type="dxa"/>
              <w:bottom w:w="11" w:type="dxa"/>
              <w:right w:w="85" w:type="dxa"/>
            </w:tcMar>
            <w:hideMark/>
          </w:tcPr>
          <w:p w14:paraId="7FBCED54"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lastRenderedPageBreak/>
              <w:t>UNSW</w:t>
            </w:r>
          </w:p>
        </w:tc>
        <w:tc>
          <w:tcPr>
            <w:tcW w:w="6663" w:type="dxa"/>
            <w:tcMar>
              <w:top w:w="11" w:type="dxa"/>
              <w:left w:w="85" w:type="dxa"/>
              <w:bottom w:w="11" w:type="dxa"/>
              <w:right w:w="85" w:type="dxa"/>
            </w:tcMar>
            <w:hideMark/>
          </w:tcPr>
          <w:p w14:paraId="0DE9AF1F" w14:textId="77777777" w:rsidR="009303CD" w:rsidRPr="00510FAA" w:rsidRDefault="009303CD">
            <w:pPr>
              <w:spacing w:before="60" w:after="120" w:line="260" w:lineRule="atLeast"/>
              <w:rPr>
                <w:rFonts w:ascii="Arial" w:eastAsia="Times New Roman" w:hAnsi="Arial" w:cs="Arial"/>
                <w:sz w:val="22"/>
              </w:rPr>
            </w:pPr>
            <w:r w:rsidRPr="00510FAA">
              <w:rPr>
                <w:rFonts w:ascii="Arial" w:eastAsia="Times New Roman" w:hAnsi="Arial" w:cs="Arial"/>
                <w:sz w:val="22"/>
              </w:rPr>
              <w:t>University of New South Wales</w:t>
            </w:r>
          </w:p>
        </w:tc>
      </w:tr>
      <w:tr w:rsidR="000C3BA3" w:rsidRPr="00617599" w14:paraId="269CE542" w14:textId="77777777" w:rsidTr="00D5561F">
        <w:tc>
          <w:tcPr>
            <w:tcW w:w="1134" w:type="dxa"/>
            <w:tcMar>
              <w:top w:w="11" w:type="dxa"/>
              <w:left w:w="85" w:type="dxa"/>
              <w:bottom w:w="11" w:type="dxa"/>
              <w:right w:w="85" w:type="dxa"/>
            </w:tcMar>
          </w:tcPr>
          <w:p w14:paraId="1DDA0099" w14:textId="1E02A6F8" w:rsidR="000C3BA3" w:rsidRPr="00510FAA" w:rsidRDefault="000C3BA3">
            <w:pPr>
              <w:spacing w:before="60" w:after="120" w:line="260" w:lineRule="atLeast"/>
              <w:rPr>
                <w:rFonts w:ascii="Arial" w:eastAsia="Times New Roman" w:hAnsi="Arial" w:cs="Arial"/>
                <w:sz w:val="22"/>
              </w:rPr>
            </w:pPr>
            <w:r>
              <w:rPr>
                <w:rFonts w:ascii="Arial" w:eastAsia="Times New Roman" w:hAnsi="Arial" w:cs="Arial"/>
                <w:sz w:val="22"/>
              </w:rPr>
              <w:t>WHO</w:t>
            </w:r>
          </w:p>
        </w:tc>
        <w:tc>
          <w:tcPr>
            <w:tcW w:w="6663" w:type="dxa"/>
            <w:tcMar>
              <w:top w:w="11" w:type="dxa"/>
              <w:left w:w="85" w:type="dxa"/>
              <w:bottom w:w="11" w:type="dxa"/>
              <w:right w:w="85" w:type="dxa"/>
            </w:tcMar>
          </w:tcPr>
          <w:p w14:paraId="4F55B8BC" w14:textId="4128BE60" w:rsidR="000C3BA3" w:rsidRPr="00510FAA" w:rsidRDefault="000C3BA3">
            <w:pPr>
              <w:spacing w:before="60" w:after="120" w:line="260" w:lineRule="atLeast"/>
              <w:rPr>
                <w:rFonts w:ascii="Arial" w:eastAsia="Times New Roman" w:hAnsi="Arial" w:cs="Arial"/>
                <w:sz w:val="22"/>
              </w:rPr>
            </w:pPr>
            <w:r>
              <w:rPr>
                <w:rFonts w:ascii="Arial" w:eastAsia="Times New Roman" w:hAnsi="Arial" w:cs="Arial"/>
                <w:sz w:val="22"/>
              </w:rPr>
              <w:t>World Health Organization</w:t>
            </w:r>
          </w:p>
        </w:tc>
      </w:tr>
    </w:tbl>
    <w:p w14:paraId="0921ED17" w14:textId="77777777" w:rsidR="009303CD" w:rsidRPr="00617599" w:rsidRDefault="009303CD" w:rsidP="009303CD">
      <w:pPr>
        <w:keepNext/>
        <w:keepLines/>
        <w:tabs>
          <w:tab w:val="left" w:pos="794"/>
          <w:tab w:val="left" w:pos="1191"/>
          <w:tab w:val="left" w:pos="2778"/>
        </w:tabs>
        <w:spacing w:before="600" w:after="360" w:line="480" w:lineRule="atLeast"/>
        <w:outlineLvl w:val="0"/>
        <w:rPr>
          <w:rFonts w:ascii="Arial" w:eastAsia="Times New Roman" w:hAnsi="Arial" w:cs="Arial"/>
          <w:b/>
          <w:sz w:val="44"/>
        </w:rPr>
      </w:pPr>
      <w:bookmarkStart w:id="7" w:name="_Toc453054820"/>
      <w:bookmarkStart w:id="8" w:name="_Toc159568716"/>
      <w:bookmarkStart w:id="9" w:name="_Toc283039450"/>
      <w:r w:rsidRPr="00617599">
        <w:rPr>
          <w:rFonts w:ascii="Arial" w:eastAsia="Times New Roman" w:hAnsi="Arial" w:cs="Arial"/>
          <w:b/>
          <w:sz w:val="44"/>
        </w:rPr>
        <w:t>Symbols</w:t>
      </w:r>
      <w:bookmarkEnd w:id="7"/>
      <w:bookmarkEnd w:id="8"/>
    </w:p>
    <w:tbl>
      <w:tblPr>
        <w:tblW w:w="0" w:type="auto"/>
        <w:tblLook w:val="04A0" w:firstRow="1" w:lastRow="0" w:firstColumn="1" w:lastColumn="0" w:noHBand="0" w:noVBand="1"/>
      </w:tblPr>
      <w:tblGrid>
        <w:gridCol w:w="1242"/>
        <w:gridCol w:w="8044"/>
      </w:tblGrid>
      <w:tr w:rsidR="009303CD" w:rsidRPr="00617599" w14:paraId="40C2F2E3" w14:textId="77777777" w:rsidTr="009303CD">
        <w:tc>
          <w:tcPr>
            <w:tcW w:w="1242" w:type="dxa"/>
            <w:hideMark/>
          </w:tcPr>
          <w:p w14:paraId="75915276" w14:textId="58119760" w:rsidR="009303CD" w:rsidRPr="00510FAA" w:rsidRDefault="00641FEC">
            <w:pPr>
              <w:spacing w:before="80" w:after="80" w:line="260" w:lineRule="atLeast"/>
              <w:rPr>
                <w:rFonts w:ascii="Arial" w:eastAsia="Times New Roman" w:hAnsi="Arial" w:cs="Arial"/>
                <w:sz w:val="22"/>
              </w:rPr>
            </w:pPr>
            <w:r>
              <w:rPr>
                <w:rFonts w:ascii="Arial" w:eastAsia="Times New Roman" w:hAnsi="Arial" w:cs="Arial"/>
                <w:sz w:val="22"/>
              </w:rPr>
              <w:t>..</w:t>
            </w:r>
          </w:p>
        </w:tc>
        <w:tc>
          <w:tcPr>
            <w:tcW w:w="8044" w:type="dxa"/>
          </w:tcPr>
          <w:p w14:paraId="6315612A" w14:textId="77777777" w:rsidR="009303CD" w:rsidRPr="00510FAA" w:rsidRDefault="009303CD">
            <w:pPr>
              <w:spacing w:before="80" w:after="80" w:line="260" w:lineRule="atLeast"/>
              <w:rPr>
                <w:rFonts w:ascii="Arial" w:hAnsi="Arial" w:cs="Arial"/>
                <w:sz w:val="22"/>
              </w:rPr>
            </w:pPr>
            <w:r w:rsidRPr="00510FAA">
              <w:rPr>
                <w:rFonts w:ascii="Arial" w:eastAsia="Times New Roman" w:hAnsi="Arial" w:cs="Arial"/>
                <w:sz w:val="22"/>
              </w:rPr>
              <w:t>not applicable</w:t>
            </w:r>
            <w:r w:rsidRPr="00510FAA">
              <w:rPr>
                <w:rFonts w:ascii="Arial" w:hAnsi="Arial" w:cs="Arial"/>
                <w:sz w:val="22"/>
              </w:rPr>
              <w:br w:type="page"/>
            </w:r>
            <w:r w:rsidRPr="00510FAA">
              <w:rPr>
                <w:rFonts w:ascii="Arial" w:hAnsi="Arial" w:cs="Arial"/>
                <w:sz w:val="22"/>
              </w:rPr>
              <w:br w:type="page"/>
            </w:r>
            <w:r w:rsidRPr="00510FAA">
              <w:rPr>
                <w:rFonts w:ascii="Arial" w:hAnsi="Arial" w:cs="Arial"/>
                <w:sz w:val="22"/>
              </w:rPr>
              <w:br w:type="page"/>
            </w:r>
            <w:r w:rsidRPr="00510FAA">
              <w:rPr>
                <w:rFonts w:ascii="Arial" w:hAnsi="Arial" w:cs="Arial"/>
                <w:sz w:val="22"/>
              </w:rPr>
              <w:br w:type="page"/>
            </w:r>
          </w:p>
          <w:p w14:paraId="463D8277" w14:textId="77777777" w:rsidR="009303CD" w:rsidRPr="00510FAA" w:rsidRDefault="009303CD">
            <w:pPr>
              <w:spacing w:before="80" w:after="80" w:line="260" w:lineRule="atLeast"/>
              <w:rPr>
                <w:rFonts w:ascii="Arial" w:eastAsia="Times New Roman" w:hAnsi="Arial" w:cs="Arial"/>
                <w:sz w:val="22"/>
              </w:rPr>
            </w:pPr>
          </w:p>
        </w:tc>
      </w:tr>
    </w:tbl>
    <w:bookmarkStart w:id="10" w:name="_Hlk92961546" w:displacedByCustomXml="next"/>
    <w:bookmarkStart w:id="11" w:name="_Toc453054821" w:displacedByCustomXml="next"/>
    <w:bookmarkStart w:id="12" w:name="_Toc452112611" w:displacedByCustomXml="next"/>
    <w:sdt>
      <w:sdtPr>
        <w:rPr>
          <w:rFonts w:eastAsia="Times New Roman" w:cs="Arial"/>
          <w:b/>
          <w:bCs w:val="0"/>
          <w:noProof/>
          <w:sz w:val="21"/>
          <w:szCs w:val="22"/>
        </w:rPr>
        <w:id w:val="278915890"/>
        <w:docPartObj>
          <w:docPartGallery w:val="Table of Contents"/>
          <w:docPartUnique/>
        </w:docPartObj>
      </w:sdtPr>
      <w:sdtEndPr>
        <w:rPr>
          <w:sz w:val="22"/>
        </w:rPr>
      </w:sdtEndPr>
      <w:sdtContent>
        <w:p w14:paraId="11ECB846" w14:textId="77777777" w:rsidR="009303CD" w:rsidRPr="00A0582E" w:rsidRDefault="009303CD" w:rsidP="009303CD">
          <w:pPr>
            <w:pStyle w:val="TOCHeading"/>
            <w:rPr>
              <w:rStyle w:val="Heading1Char"/>
              <w:rFonts w:cs="Arial"/>
            </w:rPr>
          </w:pPr>
          <w:r w:rsidRPr="00A0582E">
            <w:rPr>
              <w:rStyle w:val="Heading1Char"/>
              <w:rFonts w:cs="Arial"/>
            </w:rPr>
            <w:t>Contents</w:t>
          </w:r>
        </w:p>
        <w:p w14:paraId="3D8FB864" w14:textId="0C597E4B" w:rsidR="00380078" w:rsidRDefault="00D6680A">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"1-1" \h \z \u </w:instrText>
          </w:r>
          <w:r>
            <w:fldChar w:fldCharType="separate"/>
          </w:r>
          <w:hyperlink w:anchor="_Toc159568713" w:history="1">
            <w:r w:rsidR="00380078" w:rsidRPr="00690CE3">
              <w:rPr>
                <w:rStyle w:val="Hyperlink"/>
              </w:rPr>
              <w:t>Foreword</w:t>
            </w:r>
            <w:r w:rsidR="00380078">
              <w:rPr>
                <w:webHidden/>
              </w:rPr>
              <w:tab/>
            </w:r>
            <w:r w:rsidR="00380078">
              <w:rPr>
                <w:webHidden/>
              </w:rPr>
              <w:fldChar w:fldCharType="begin"/>
            </w:r>
            <w:r w:rsidR="00380078">
              <w:rPr>
                <w:webHidden/>
              </w:rPr>
              <w:instrText xml:space="preserve"> PAGEREF _Toc159568713 \h </w:instrText>
            </w:r>
            <w:r w:rsidR="00380078">
              <w:rPr>
                <w:webHidden/>
              </w:rPr>
            </w:r>
            <w:r w:rsidR="00380078">
              <w:rPr>
                <w:webHidden/>
              </w:rPr>
              <w:fldChar w:fldCharType="separate"/>
            </w:r>
            <w:r w:rsidR="007A08D1">
              <w:rPr>
                <w:webHidden/>
              </w:rPr>
              <w:t>ii</w:t>
            </w:r>
            <w:r w:rsidR="00380078">
              <w:rPr>
                <w:webHidden/>
              </w:rPr>
              <w:fldChar w:fldCharType="end"/>
            </w:r>
          </w:hyperlink>
        </w:p>
        <w:p w14:paraId="4DA1A1E1" w14:textId="3E56E8CB"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14" w:history="1">
            <w:r w:rsidR="00380078" w:rsidRPr="00690CE3">
              <w:rPr>
                <w:rStyle w:val="Hyperlink"/>
              </w:rPr>
              <w:t>Acknowledgments</w:t>
            </w:r>
            <w:r w:rsidR="00380078">
              <w:rPr>
                <w:webHidden/>
              </w:rPr>
              <w:tab/>
            </w:r>
            <w:r w:rsidR="00380078">
              <w:rPr>
                <w:webHidden/>
              </w:rPr>
              <w:fldChar w:fldCharType="begin"/>
            </w:r>
            <w:r w:rsidR="00380078">
              <w:rPr>
                <w:webHidden/>
              </w:rPr>
              <w:instrText xml:space="preserve"> PAGEREF _Toc159568714 \h </w:instrText>
            </w:r>
            <w:r w:rsidR="00380078">
              <w:rPr>
                <w:webHidden/>
              </w:rPr>
            </w:r>
            <w:r w:rsidR="00380078">
              <w:rPr>
                <w:webHidden/>
              </w:rPr>
              <w:fldChar w:fldCharType="separate"/>
            </w:r>
            <w:r w:rsidR="007A08D1">
              <w:rPr>
                <w:webHidden/>
              </w:rPr>
              <w:t>iii</w:t>
            </w:r>
            <w:r w:rsidR="00380078">
              <w:rPr>
                <w:webHidden/>
              </w:rPr>
              <w:fldChar w:fldCharType="end"/>
            </w:r>
          </w:hyperlink>
        </w:p>
        <w:p w14:paraId="4CCC0E80" w14:textId="1AE5366C"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15" w:history="1">
            <w:r w:rsidR="00380078" w:rsidRPr="00690CE3">
              <w:rPr>
                <w:rStyle w:val="Hyperlink"/>
              </w:rPr>
              <w:t>Abbreviations</w:t>
            </w:r>
            <w:r w:rsidR="00380078">
              <w:rPr>
                <w:webHidden/>
              </w:rPr>
              <w:tab/>
            </w:r>
            <w:r w:rsidR="00380078">
              <w:rPr>
                <w:webHidden/>
              </w:rPr>
              <w:fldChar w:fldCharType="begin"/>
            </w:r>
            <w:r w:rsidR="00380078">
              <w:rPr>
                <w:webHidden/>
              </w:rPr>
              <w:instrText xml:space="preserve"> PAGEREF _Toc159568715 \h </w:instrText>
            </w:r>
            <w:r w:rsidR="00380078">
              <w:rPr>
                <w:webHidden/>
              </w:rPr>
            </w:r>
            <w:r w:rsidR="00380078">
              <w:rPr>
                <w:webHidden/>
              </w:rPr>
              <w:fldChar w:fldCharType="separate"/>
            </w:r>
            <w:r w:rsidR="007A08D1">
              <w:rPr>
                <w:webHidden/>
              </w:rPr>
              <w:t>iii</w:t>
            </w:r>
            <w:r w:rsidR="00380078">
              <w:rPr>
                <w:webHidden/>
              </w:rPr>
              <w:fldChar w:fldCharType="end"/>
            </w:r>
          </w:hyperlink>
        </w:p>
        <w:p w14:paraId="4B553591" w14:textId="634BE6A5"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16" w:history="1">
            <w:r w:rsidR="00380078" w:rsidRPr="00690CE3">
              <w:rPr>
                <w:rStyle w:val="Hyperlink"/>
              </w:rPr>
              <w:t>Symbols</w:t>
            </w:r>
            <w:r w:rsidR="00380078">
              <w:rPr>
                <w:webHidden/>
              </w:rPr>
              <w:tab/>
            </w:r>
            <w:r w:rsidR="00380078">
              <w:rPr>
                <w:webHidden/>
              </w:rPr>
              <w:fldChar w:fldCharType="begin"/>
            </w:r>
            <w:r w:rsidR="00380078">
              <w:rPr>
                <w:webHidden/>
              </w:rPr>
              <w:instrText xml:space="preserve"> PAGEREF _Toc159568716 \h </w:instrText>
            </w:r>
            <w:r w:rsidR="00380078">
              <w:rPr>
                <w:webHidden/>
              </w:rPr>
            </w:r>
            <w:r w:rsidR="00380078">
              <w:rPr>
                <w:webHidden/>
              </w:rPr>
              <w:fldChar w:fldCharType="separate"/>
            </w:r>
            <w:r w:rsidR="007A08D1">
              <w:rPr>
                <w:webHidden/>
              </w:rPr>
              <w:t>iv</w:t>
            </w:r>
            <w:r w:rsidR="00380078">
              <w:rPr>
                <w:webHidden/>
              </w:rPr>
              <w:fldChar w:fldCharType="end"/>
            </w:r>
          </w:hyperlink>
        </w:p>
        <w:p w14:paraId="1EF4D930" w14:textId="25FFFC35"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17" w:history="1">
            <w:r w:rsidR="00380078" w:rsidRPr="00690CE3">
              <w:rPr>
                <w:rStyle w:val="Hyperlink"/>
              </w:rPr>
              <w:t>Summary</w:t>
            </w:r>
            <w:r w:rsidR="00380078">
              <w:rPr>
                <w:webHidden/>
              </w:rPr>
              <w:tab/>
            </w:r>
            <w:r w:rsidR="00380078">
              <w:rPr>
                <w:webHidden/>
              </w:rPr>
              <w:fldChar w:fldCharType="begin"/>
            </w:r>
            <w:r w:rsidR="00380078">
              <w:rPr>
                <w:webHidden/>
              </w:rPr>
              <w:instrText xml:space="preserve"> PAGEREF _Toc159568717 \h </w:instrText>
            </w:r>
            <w:r w:rsidR="00380078">
              <w:rPr>
                <w:webHidden/>
              </w:rPr>
            </w:r>
            <w:r w:rsidR="00380078">
              <w:rPr>
                <w:webHidden/>
              </w:rPr>
              <w:fldChar w:fldCharType="separate"/>
            </w:r>
            <w:r w:rsidR="007A08D1">
              <w:rPr>
                <w:webHidden/>
              </w:rPr>
              <w:t>vi</w:t>
            </w:r>
            <w:r w:rsidR="00380078">
              <w:rPr>
                <w:webHidden/>
              </w:rPr>
              <w:fldChar w:fldCharType="end"/>
            </w:r>
          </w:hyperlink>
        </w:p>
        <w:p w14:paraId="323CD44A" w14:textId="5D5915F1"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18" w:history="1">
            <w:r w:rsidR="00380078" w:rsidRPr="00690CE3">
              <w:rPr>
                <w:rStyle w:val="Hyperlink"/>
              </w:rPr>
              <w:t>1</w:t>
            </w:r>
            <w:r w:rsidR="00380078">
              <w:rPr>
                <w:rFonts w:asciiTheme="minorHAnsi" w:eastAsiaTheme="minorEastAsia" w:hAnsiTheme="minorHAnsi" w:cstheme="minorBidi"/>
                <w:b w:val="0"/>
                <w:kern w:val="2"/>
                <w:sz w:val="24"/>
                <w:szCs w:val="24"/>
                <w:lang w:eastAsia="en-AU"/>
                <w14:ligatures w14:val="standardContextual"/>
              </w:rPr>
              <w:tab/>
            </w:r>
            <w:r w:rsidR="00380078" w:rsidRPr="00690CE3">
              <w:rPr>
                <w:rStyle w:val="Hyperlink"/>
              </w:rPr>
              <w:t>Introduction</w:t>
            </w:r>
            <w:r w:rsidR="00380078">
              <w:rPr>
                <w:webHidden/>
              </w:rPr>
              <w:tab/>
            </w:r>
            <w:r w:rsidR="00380078">
              <w:rPr>
                <w:webHidden/>
              </w:rPr>
              <w:fldChar w:fldCharType="begin"/>
            </w:r>
            <w:r w:rsidR="00380078">
              <w:rPr>
                <w:webHidden/>
              </w:rPr>
              <w:instrText xml:space="preserve"> PAGEREF _Toc159568718 \h </w:instrText>
            </w:r>
            <w:r w:rsidR="00380078">
              <w:rPr>
                <w:webHidden/>
              </w:rPr>
            </w:r>
            <w:r w:rsidR="00380078">
              <w:rPr>
                <w:webHidden/>
              </w:rPr>
              <w:fldChar w:fldCharType="separate"/>
            </w:r>
            <w:r w:rsidR="007A08D1">
              <w:rPr>
                <w:webHidden/>
              </w:rPr>
              <w:t>1</w:t>
            </w:r>
            <w:r w:rsidR="00380078">
              <w:rPr>
                <w:webHidden/>
              </w:rPr>
              <w:fldChar w:fldCharType="end"/>
            </w:r>
          </w:hyperlink>
        </w:p>
        <w:p w14:paraId="62A8EA28" w14:textId="7F40951C"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19" w:history="1">
            <w:r w:rsidR="00380078" w:rsidRPr="00690CE3">
              <w:rPr>
                <w:rStyle w:val="Hyperlink"/>
              </w:rPr>
              <w:t>2</w:t>
            </w:r>
            <w:r w:rsidR="00380078">
              <w:rPr>
                <w:rFonts w:asciiTheme="minorHAnsi" w:eastAsiaTheme="minorEastAsia" w:hAnsiTheme="minorHAnsi" w:cstheme="minorBidi"/>
                <w:b w:val="0"/>
                <w:kern w:val="2"/>
                <w:sz w:val="24"/>
                <w:szCs w:val="24"/>
                <w:lang w:eastAsia="en-AU"/>
                <w14:ligatures w14:val="standardContextual"/>
              </w:rPr>
              <w:tab/>
            </w:r>
            <w:r w:rsidR="00380078" w:rsidRPr="00690CE3">
              <w:rPr>
                <w:rStyle w:val="Hyperlink"/>
              </w:rPr>
              <w:t>Overview of ART treatment in 2021</w:t>
            </w:r>
            <w:r w:rsidR="00380078">
              <w:rPr>
                <w:webHidden/>
              </w:rPr>
              <w:tab/>
            </w:r>
            <w:r w:rsidR="00380078">
              <w:rPr>
                <w:webHidden/>
              </w:rPr>
              <w:fldChar w:fldCharType="begin"/>
            </w:r>
            <w:r w:rsidR="00380078">
              <w:rPr>
                <w:webHidden/>
              </w:rPr>
              <w:instrText xml:space="preserve"> PAGEREF _Toc159568719 \h </w:instrText>
            </w:r>
            <w:r w:rsidR="00380078">
              <w:rPr>
                <w:webHidden/>
              </w:rPr>
            </w:r>
            <w:r w:rsidR="00380078">
              <w:rPr>
                <w:webHidden/>
              </w:rPr>
              <w:fldChar w:fldCharType="separate"/>
            </w:r>
            <w:r w:rsidR="007A08D1">
              <w:rPr>
                <w:webHidden/>
              </w:rPr>
              <w:t>4</w:t>
            </w:r>
            <w:r w:rsidR="00380078">
              <w:rPr>
                <w:webHidden/>
              </w:rPr>
              <w:fldChar w:fldCharType="end"/>
            </w:r>
          </w:hyperlink>
        </w:p>
        <w:p w14:paraId="052BE11E" w14:textId="42AFC246"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20" w:history="1">
            <w:r w:rsidR="00380078" w:rsidRPr="00690CE3">
              <w:rPr>
                <w:rStyle w:val="Hyperlink"/>
              </w:rPr>
              <w:t>3</w:t>
            </w:r>
            <w:r w:rsidR="00380078">
              <w:rPr>
                <w:rFonts w:asciiTheme="minorHAnsi" w:eastAsiaTheme="minorEastAsia" w:hAnsiTheme="minorHAnsi" w:cstheme="minorBidi"/>
                <w:b w:val="0"/>
                <w:kern w:val="2"/>
                <w:sz w:val="24"/>
                <w:szCs w:val="24"/>
                <w:lang w:eastAsia="en-AU"/>
                <w14:ligatures w14:val="standardContextual"/>
              </w:rPr>
              <w:tab/>
            </w:r>
            <w:r w:rsidR="00380078" w:rsidRPr="00690CE3">
              <w:rPr>
                <w:rStyle w:val="Hyperlink"/>
              </w:rPr>
              <w:t>Autologous and donation/recipient cycles in 2021</w:t>
            </w:r>
            <w:r w:rsidR="00380078">
              <w:rPr>
                <w:webHidden/>
              </w:rPr>
              <w:tab/>
            </w:r>
            <w:r w:rsidR="00380078">
              <w:rPr>
                <w:webHidden/>
              </w:rPr>
              <w:fldChar w:fldCharType="begin"/>
            </w:r>
            <w:r w:rsidR="00380078">
              <w:rPr>
                <w:webHidden/>
              </w:rPr>
              <w:instrText xml:space="preserve"> PAGEREF _Toc159568720 \h </w:instrText>
            </w:r>
            <w:r w:rsidR="00380078">
              <w:rPr>
                <w:webHidden/>
              </w:rPr>
            </w:r>
            <w:r w:rsidR="00380078">
              <w:rPr>
                <w:webHidden/>
              </w:rPr>
              <w:fldChar w:fldCharType="separate"/>
            </w:r>
            <w:r w:rsidR="007A08D1">
              <w:rPr>
                <w:webHidden/>
              </w:rPr>
              <w:t>7</w:t>
            </w:r>
            <w:r w:rsidR="00380078">
              <w:rPr>
                <w:webHidden/>
              </w:rPr>
              <w:fldChar w:fldCharType="end"/>
            </w:r>
          </w:hyperlink>
        </w:p>
        <w:p w14:paraId="7F67F48A" w14:textId="46618DFB"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21" w:history="1">
            <w:r w:rsidR="00380078" w:rsidRPr="00690CE3">
              <w:rPr>
                <w:rStyle w:val="Hyperlink"/>
              </w:rPr>
              <w:t>4</w:t>
            </w:r>
            <w:r w:rsidR="00380078">
              <w:rPr>
                <w:rFonts w:asciiTheme="minorHAnsi" w:eastAsiaTheme="minorEastAsia" w:hAnsiTheme="minorHAnsi" w:cstheme="minorBidi"/>
                <w:b w:val="0"/>
                <w:kern w:val="2"/>
                <w:sz w:val="24"/>
                <w:szCs w:val="24"/>
                <w:lang w:eastAsia="en-AU"/>
                <w14:ligatures w14:val="standardContextual"/>
              </w:rPr>
              <w:tab/>
            </w:r>
            <w:r w:rsidR="00380078" w:rsidRPr="00690CE3">
              <w:rPr>
                <w:rStyle w:val="Hyperlink"/>
              </w:rPr>
              <w:t>Pregnancy and birth outcomes following autologous and recipient cycles in 2021</w:t>
            </w:r>
            <w:r w:rsidR="00380078">
              <w:rPr>
                <w:webHidden/>
              </w:rPr>
              <w:tab/>
            </w:r>
            <w:r w:rsidR="00380078">
              <w:rPr>
                <w:webHidden/>
              </w:rPr>
              <w:fldChar w:fldCharType="begin"/>
            </w:r>
            <w:r w:rsidR="00380078">
              <w:rPr>
                <w:webHidden/>
              </w:rPr>
              <w:instrText xml:space="preserve"> PAGEREF _Toc159568721 \h </w:instrText>
            </w:r>
            <w:r w:rsidR="00380078">
              <w:rPr>
                <w:webHidden/>
              </w:rPr>
            </w:r>
            <w:r w:rsidR="00380078">
              <w:rPr>
                <w:webHidden/>
              </w:rPr>
              <w:fldChar w:fldCharType="separate"/>
            </w:r>
            <w:r w:rsidR="007A08D1">
              <w:rPr>
                <w:webHidden/>
              </w:rPr>
              <w:t>18</w:t>
            </w:r>
            <w:r w:rsidR="00380078">
              <w:rPr>
                <w:webHidden/>
              </w:rPr>
              <w:fldChar w:fldCharType="end"/>
            </w:r>
          </w:hyperlink>
        </w:p>
        <w:p w14:paraId="521D5E9F" w14:textId="7222C5DA"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22" w:history="1">
            <w:r w:rsidR="00380078" w:rsidRPr="00690CE3">
              <w:rPr>
                <w:rStyle w:val="Hyperlink"/>
              </w:rPr>
              <w:t>5</w:t>
            </w:r>
            <w:r w:rsidR="00380078">
              <w:rPr>
                <w:rFonts w:asciiTheme="minorHAnsi" w:eastAsiaTheme="minorEastAsia" w:hAnsiTheme="minorHAnsi" w:cstheme="minorBidi"/>
                <w:b w:val="0"/>
                <w:kern w:val="2"/>
                <w:sz w:val="24"/>
                <w:szCs w:val="24"/>
                <w:lang w:eastAsia="en-AU"/>
                <w14:ligatures w14:val="standardContextual"/>
              </w:rPr>
              <w:tab/>
            </w:r>
            <w:r w:rsidR="00380078" w:rsidRPr="00690CE3">
              <w:rPr>
                <w:rStyle w:val="Hyperlink"/>
              </w:rPr>
              <w:t>Preimplantation genetic testing in 2021</w:t>
            </w:r>
            <w:r w:rsidR="00380078">
              <w:rPr>
                <w:webHidden/>
              </w:rPr>
              <w:tab/>
            </w:r>
            <w:r w:rsidR="00380078">
              <w:rPr>
                <w:webHidden/>
              </w:rPr>
              <w:fldChar w:fldCharType="begin"/>
            </w:r>
            <w:r w:rsidR="00380078">
              <w:rPr>
                <w:webHidden/>
              </w:rPr>
              <w:instrText xml:space="preserve"> PAGEREF _Toc159568722 \h </w:instrText>
            </w:r>
            <w:r w:rsidR="00380078">
              <w:rPr>
                <w:webHidden/>
              </w:rPr>
            </w:r>
            <w:r w:rsidR="00380078">
              <w:rPr>
                <w:webHidden/>
              </w:rPr>
              <w:fldChar w:fldCharType="separate"/>
            </w:r>
            <w:r w:rsidR="007A08D1">
              <w:rPr>
                <w:webHidden/>
              </w:rPr>
              <w:t>23</w:t>
            </w:r>
            <w:r w:rsidR="00380078">
              <w:rPr>
                <w:webHidden/>
              </w:rPr>
              <w:fldChar w:fldCharType="end"/>
            </w:r>
          </w:hyperlink>
        </w:p>
        <w:p w14:paraId="4BC3E9C7" w14:textId="054EACC1"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23" w:history="1">
            <w:r w:rsidR="00380078" w:rsidRPr="00690CE3">
              <w:rPr>
                <w:rStyle w:val="Hyperlink"/>
              </w:rPr>
              <w:t>6</w:t>
            </w:r>
            <w:r w:rsidR="00380078">
              <w:rPr>
                <w:rFonts w:asciiTheme="minorHAnsi" w:eastAsiaTheme="minorEastAsia" w:hAnsiTheme="minorHAnsi" w:cstheme="minorBidi"/>
                <w:b w:val="0"/>
                <w:kern w:val="2"/>
                <w:sz w:val="24"/>
                <w:szCs w:val="24"/>
                <w:lang w:eastAsia="en-AU"/>
                <w14:ligatures w14:val="standardContextual"/>
              </w:rPr>
              <w:tab/>
            </w:r>
            <w:r w:rsidR="00380078" w:rsidRPr="00690CE3">
              <w:rPr>
                <w:rStyle w:val="Hyperlink"/>
              </w:rPr>
              <w:t>Donor insemination cycles in 2021</w:t>
            </w:r>
            <w:r w:rsidR="00380078">
              <w:rPr>
                <w:webHidden/>
              </w:rPr>
              <w:tab/>
            </w:r>
            <w:r w:rsidR="00380078">
              <w:rPr>
                <w:webHidden/>
              </w:rPr>
              <w:fldChar w:fldCharType="begin"/>
            </w:r>
            <w:r w:rsidR="00380078">
              <w:rPr>
                <w:webHidden/>
              </w:rPr>
              <w:instrText xml:space="preserve"> PAGEREF _Toc159568723 \h </w:instrText>
            </w:r>
            <w:r w:rsidR="00380078">
              <w:rPr>
                <w:webHidden/>
              </w:rPr>
            </w:r>
            <w:r w:rsidR="00380078">
              <w:rPr>
                <w:webHidden/>
              </w:rPr>
              <w:fldChar w:fldCharType="separate"/>
            </w:r>
            <w:r w:rsidR="007A08D1">
              <w:rPr>
                <w:webHidden/>
              </w:rPr>
              <w:t>24</w:t>
            </w:r>
            <w:r w:rsidR="00380078">
              <w:rPr>
                <w:webHidden/>
              </w:rPr>
              <w:fldChar w:fldCharType="end"/>
            </w:r>
          </w:hyperlink>
        </w:p>
        <w:p w14:paraId="35EC6656" w14:textId="3B411A28"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24" w:history="1">
            <w:r w:rsidR="00380078" w:rsidRPr="00690CE3">
              <w:rPr>
                <w:rStyle w:val="Hyperlink"/>
              </w:rPr>
              <w:t>7</w:t>
            </w:r>
            <w:r w:rsidR="00380078">
              <w:rPr>
                <w:rFonts w:asciiTheme="minorHAnsi" w:eastAsiaTheme="minorEastAsia" w:hAnsiTheme="minorHAnsi" w:cstheme="minorBidi"/>
                <w:b w:val="0"/>
                <w:kern w:val="2"/>
                <w:sz w:val="24"/>
                <w:szCs w:val="24"/>
                <w:lang w:eastAsia="en-AU"/>
                <w14:ligatures w14:val="standardContextual"/>
              </w:rPr>
              <w:tab/>
            </w:r>
            <w:r w:rsidR="00380078" w:rsidRPr="00690CE3">
              <w:rPr>
                <w:rStyle w:val="Hyperlink"/>
              </w:rPr>
              <w:t>Trends in ART treatment and outcomes 2017-2021</w:t>
            </w:r>
            <w:r w:rsidR="00380078">
              <w:rPr>
                <w:webHidden/>
              </w:rPr>
              <w:tab/>
            </w:r>
            <w:r w:rsidR="00380078">
              <w:rPr>
                <w:webHidden/>
              </w:rPr>
              <w:fldChar w:fldCharType="begin"/>
            </w:r>
            <w:r w:rsidR="00380078">
              <w:rPr>
                <w:webHidden/>
              </w:rPr>
              <w:instrText xml:space="preserve"> PAGEREF _Toc159568724 \h </w:instrText>
            </w:r>
            <w:r w:rsidR="00380078">
              <w:rPr>
                <w:webHidden/>
              </w:rPr>
            </w:r>
            <w:r w:rsidR="00380078">
              <w:rPr>
                <w:webHidden/>
              </w:rPr>
              <w:fldChar w:fldCharType="separate"/>
            </w:r>
            <w:r w:rsidR="007A08D1">
              <w:rPr>
                <w:webHidden/>
              </w:rPr>
              <w:t>25</w:t>
            </w:r>
            <w:r w:rsidR="00380078">
              <w:rPr>
                <w:webHidden/>
              </w:rPr>
              <w:fldChar w:fldCharType="end"/>
            </w:r>
          </w:hyperlink>
        </w:p>
        <w:p w14:paraId="491ED26D" w14:textId="388C991C"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25" w:history="1">
            <w:r w:rsidR="00380078" w:rsidRPr="00690CE3">
              <w:rPr>
                <w:rStyle w:val="Hyperlink"/>
              </w:rPr>
              <w:t>8</w:t>
            </w:r>
            <w:r w:rsidR="00380078">
              <w:rPr>
                <w:rFonts w:asciiTheme="minorHAnsi" w:eastAsiaTheme="minorEastAsia" w:hAnsiTheme="minorHAnsi" w:cstheme="minorBidi"/>
                <w:b w:val="0"/>
                <w:kern w:val="2"/>
                <w:sz w:val="24"/>
                <w:szCs w:val="24"/>
                <w:lang w:eastAsia="en-AU"/>
                <w14:ligatures w14:val="standardContextual"/>
              </w:rPr>
              <w:tab/>
            </w:r>
            <w:r w:rsidR="00380078" w:rsidRPr="00690CE3">
              <w:rPr>
                <w:rStyle w:val="Hyperlink"/>
              </w:rPr>
              <w:t>Cumulative success rates for women undertaking autologous treatment 2019-2021</w:t>
            </w:r>
            <w:r w:rsidR="00380078">
              <w:rPr>
                <w:webHidden/>
              </w:rPr>
              <w:tab/>
            </w:r>
            <w:r w:rsidR="00380078">
              <w:rPr>
                <w:webHidden/>
              </w:rPr>
              <w:fldChar w:fldCharType="begin"/>
            </w:r>
            <w:r w:rsidR="00380078">
              <w:rPr>
                <w:webHidden/>
              </w:rPr>
              <w:instrText xml:space="preserve"> PAGEREF _Toc159568725 \h </w:instrText>
            </w:r>
            <w:r w:rsidR="00380078">
              <w:rPr>
                <w:webHidden/>
              </w:rPr>
            </w:r>
            <w:r w:rsidR="00380078">
              <w:rPr>
                <w:webHidden/>
              </w:rPr>
              <w:fldChar w:fldCharType="separate"/>
            </w:r>
            <w:r w:rsidR="007A08D1">
              <w:rPr>
                <w:webHidden/>
              </w:rPr>
              <w:t>26</w:t>
            </w:r>
            <w:r w:rsidR="00380078">
              <w:rPr>
                <w:webHidden/>
              </w:rPr>
              <w:fldChar w:fldCharType="end"/>
            </w:r>
          </w:hyperlink>
        </w:p>
        <w:p w14:paraId="3E7B69A1" w14:textId="4EED4977"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26" w:history="1">
            <w:r w:rsidR="00380078" w:rsidRPr="00690CE3">
              <w:rPr>
                <w:rStyle w:val="Hyperlink"/>
              </w:rPr>
              <w:t>9</w:t>
            </w:r>
            <w:r w:rsidR="00380078">
              <w:rPr>
                <w:rFonts w:asciiTheme="minorHAnsi" w:eastAsiaTheme="minorEastAsia" w:hAnsiTheme="minorHAnsi" w:cstheme="minorBidi"/>
                <w:b w:val="0"/>
                <w:kern w:val="2"/>
                <w:sz w:val="24"/>
                <w:szCs w:val="24"/>
                <w:lang w:eastAsia="en-AU"/>
                <w14:ligatures w14:val="standardContextual"/>
              </w:rPr>
              <w:tab/>
            </w:r>
            <w:r w:rsidR="00380078" w:rsidRPr="00690CE3">
              <w:rPr>
                <w:rStyle w:val="Hyperlink"/>
              </w:rPr>
              <w:t>Cumulative success rates for women undertaking autologous treatment 2018-2021</w:t>
            </w:r>
            <w:r w:rsidR="00380078">
              <w:rPr>
                <w:webHidden/>
              </w:rPr>
              <w:tab/>
            </w:r>
            <w:r w:rsidR="00380078">
              <w:rPr>
                <w:webHidden/>
              </w:rPr>
              <w:fldChar w:fldCharType="begin"/>
            </w:r>
            <w:r w:rsidR="00380078">
              <w:rPr>
                <w:webHidden/>
              </w:rPr>
              <w:instrText xml:space="preserve"> PAGEREF _Toc159568726 \h </w:instrText>
            </w:r>
            <w:r w:rsidR="00380078">
              <w:rPr>
                <w:webHidden/>
              </w:rPr>
            </w:r>
            <w:r w:rsidR="00380078">
              <w:rPr>
                <w:webHidden/>
              </w:rPr>
              <w:fldChar w:fldCharType="separate"/>
            </w:r>
            <w:r w:rsidR="007A08D1">
              <w:rPr>
                <w:webHidden/>
              </w:rPr>
              <w:t>34</w:t>
            </w:r>
            <w:r w:rsidR="00380078">
              <w:rPr>
                <w:webHidden/>
              </w:rPr>
              <w:fldChar w:fldCharType="end"/>
            </w:r>
          </w:hyperlink>
        </w:p>
        <w:p w14:paraId="1F900AA6" w14:textId="21318A69"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27" w:history="1">
            <w:r w:rsidR="00380078" w:rsidRPr="00690CE3">
              <w:rPr>
                <w:rStyle w:val="Hyperlink"/>
              </w:rPr>
              <w:t>Appendix A: Contributing fertility clinics</w:t>
            </w:r>
            <w:r w:rsidR="00380078">
              <w:rPr>
                <w:webHidden/>
              </w:rPr>
              <w:tab/>
            </w:r>
            <w:r w:rsidR="00380078">
              <w:rPr>
                <w:webHidden/>
              </w:rPr>
              <w:fldChar w:fldCharType="begin"/>
            </w:r>
            <w:r w:rsidR="00380078">
              <w:rPr>
                <w:webHidden/>
              </w:rPr>
              <w:instrText xml:space="preserve"> PAGEREF _Toc159568727 \h </w:instrText>
            </w:r>
            <w:r w:rsidR="00380078">
              <w:rPr>
                <w:webHidden/>
              </w:rPr>
            </w:r>
            <w:r w:rsidR="00380078">
              <w:rPr>
                <w:webHidden/>
              </w:rPr>
              <w:fldChar w:fldCharType="separate"/>
            </w:r>
            <w:r w:rsidR="007A08D1">
              <w:rPr>
                <w:webHidden/>
              </w:rPr>
              <w:t>42</w:t>
            </w:r>
            <w:r w:rsidR="00380078">
              <w:rPr>
                <w:webHidden/>
              </w:rPr>
              <w:fldChar w:fldCharType="end"/>
            </w:r>
          </w:hyperlink>
        </w:p>
        <w:p w14:paraId="73F54EE1" w14:textId="4A690AE4"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28" w:history="1">
            <w:r w:rsidR="00380078" w:rsidRPr="00690CE3">
              <w:rPr>
                <w:rStyle w:val="Hyperlink"/>
              </w:rPr>
              <w:t>Appendix B: Data used in this report</w:t>
            </w:r>
            <w:r w:rsidR="00380078">
              <w:rPr>
                <w:webHidden/>
              </w:rPr>
              <w:tab/>
            </w:r>
            <w:r w:rsidR="00380078">
              <w:rPr>
                <w:webHidden/>
              </w:rPr>
              <w:fldChar w:fldCharType="begin"/>
            </w:r>
            <w:r w:rsidR="00380078">
              <w:rPr>
                <w:webHidden/>
              </w:rPr>
              <w:instrText xml:space="preserve"> PAGEREF _Toc159568728 \h </w:instrText>
            </w:r>
            <w:r w:rsidR="00380078">
              <w:rPr>
                <w:webHidden/>
              </w:rPr>
            </w:r>
            <w:r w:rsidR="00380078">
              <w:rPr>
                <w:webHidden/>
              </w:rPr>
              <w:fldChar w:fldCharType="separate"/>
            </w:r>
            <w:r w:rsidR="007A08D1">
              <w:rPr>
                <w:webHidden/>
              </w:rPr>
              <w:t>43</w:t>
            </w:r>
            <w:r w:rsidR="00380078">
              <w:rPr>
                <w:webHidden/>
              </w:rPr>
              <w:fldChar w:fldCharType="end"/>
            </w:r>
          </w:hyperlink>
        </w:p>
        <w:p w14:paraId="24E00002" w14:textId="65125B44"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29" w:history="1">
            <w:r w:rsidR="00380078" w:rsidRPr="00690CE3">
              <w:rPr>
                <w:rStyle w:val="Hyperlink"/>
              </w:rPr>
              <w:t>Glossary</w:t>
            </w:r>
            <w:r w:rsidR="00380078">
              <w:rPr>
                <w:webHidden/>
              </w:rPr>
              <w:tab/>
            </w:r>
            <w:r w:rsidR="00380078">
              <w:rPr>
                <w:webHidden/>
              </w:rPr>
              <w:fldChar w:fldCharType="begin"/>
            </w:r>
            <w:r w:rsidR="00380078">
              <w:rPr>
                <w:webHidden/>
              </w:rPr>
              <w:instrText xml:space="preserve"> PAGEREF _Toc159568729 \h </w:instrText>
            </w:r>
            <w:r w:rsidR="00380078">
              <w:rPr>
                <w:webHidden/>
              </w:rPr>
            </w:r>
            <w:r w:rsidR="00380078">
              <w:rPr>
                <w:webHidden/>
              </w:rPr>
              <w:fldChar w:fldCharType="separate"/>
            </w:r>
            <w:r w:rsidR="007A08D1">
              <w:rPr>
                <w:webHidden/>
              </w:rPr>
              <w:t>45</w:t>
            </w:r>
            <w:r w:rsidR="00380078">
              <w:rPr>
                <w:webHidden/>
              </w:rPr>
              <w:fldChar w:fldCharType="end"/>
            </w:r>
          </w:hyperlink>
        </w:p>
        <w:p w14:paraId="406D005A" w14:textId="2CE50C0A"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30" w:history="1">
            <w:r w:rsidR="00380078" w:rsidRPr="00690CE3">
              <w:rPr>
                <w:rStyle w:val="Hyperlink"/>
              </w:rPr>
              <w:t>References</w:t>
            </w:r>
            <w:r w:rsidR="00380078">
              <w:rPr>
                <w:webHidden/>
              </w:rPr>
              <w:tab/>
            </w:r>
            <w:r w:rsidR="00380078">
              <w:rPr>
                <w:webHidden/>
              </w:rPr>
              <w:fldChar w:fldCharType="begin"/>
            </w:r>
            <w:r w:rsidR="00380078">
              <w:rPr>
                <w:webHidden/>
              </w:rPr>
              <w:instrText xml:space="preserve"> PAGEREF _Toc159568730 \h </w:instrText>
            </w:r>
            <w:r w:rsidR="00380078">
              <w:rPr>
                <w:webHidden/>
              </w:rPr>
            </w:r>
            <w:r w:rsidR="00380078">
              <w:rPr>
                <w:webHidden/>
              </w:rPr>
              <w:fldChar w:fldCharType="separate"/>
            </w:r>
            <w:r w:rsidR="007A08D1">
              <w:rPr>
                <w:webHidden/>
              </w:rPr>
              <w:t>49</w:t>
            </w:r>
            <w:r w:rsidR="00380078">
              <w:rPr>
                <w:webHidden/>
              </w:rPr>
              <w:fldChar w:fldCharType="end"/>
            </w:r>
          </w:hyperlink>
        </w:p>
        <w:p w14:paraId="30B35C4E" w14:textId="5AE7FB0A" w:rsidR="0038007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59568731" w:history="1">
            <w:r w:rsidR="00380078" w:rsidRPr="00690CE3">
              <w:rPr>
                <w:rStyle w:val="Hyperlink"/>
              </w:rPr>
              <w:t>List of tables</w:t>
            </w:r>
            <w:r w:rsidR="00380078">
              <w:rPr>
                <w:webHidden/>
              </w:rPr>
              <w:tab/>
            </w:r>
            <w:r w:rsidR="00380078">
              <w:rPr>
                <w:webHidden/>
              </w:rPr>
              <w:fldChar w:fldCharType="begin"/>
            </w:r>
            <w:r w:rsidR="00380078">
              <w:rPr>
                <w:webHidden/>
              </w:rPr>
              <w:instrText xml:space="preserve"> PAGEREF _Toc159568731 \h </w:instrText>
            </w:r>
            <w:r w:rsidR="00380078">
              <w:rPr>
                <w:webHidden/>
              </w:rPr>
            </w:r>
            <w:r w:rsidR="00380078">
              <w:rPr>
                <w:webHidden/>
              </w:rPr>
              <w:fldChar w:fldCharType="separate"/>
            </w:r>
            <w:r w:rsidR="007A08D1">
              <w:rPr>
                <w:webHidden/>
              </w:rPr>
              <w:t>50</w:t>
            </w:r>
            <w:r w:rsidR="00380078">
              <w:rPr>
                <w:webHidden/>
              </w:rPr>
              <w:fldChar w:fldCharType="end"/>
            </w:r>
          </w:hyperlink>
        </w:p>
        <w:p w14:paraId="586017A8" w14:textId="634F8154" w:rsidR="009303CD" w:rsidRPr="00617599" w:rsidRDefault="00D6680A" w:rsidP="00487E53">
          <w:pPr>
            <w:pStyle w:val="TOC1"/>
          </w:pPr>
          <w:r>
            <w:fldChar w:fldCharType="end"/>
          </w:r>
        </w:p>
      </w:sdtContent>
    </w:sdt>
    <w:p w14:paraId="7978805D" w14:textId="77777777" w:rsidR="009303CD" w:rsidRPr="00617599" w:rsidRDefault="009303CD" w:rsidP="009303CD">
      <w:pPr>
        <w:tabs>
          <w:tab w:val="left" w:pos="3497"/>
        </w:tabs>
        <w:rPr>
          <w:rFonts w:ascii="Arial" w:hAnsi="Arial" w:cs="Arial"/>
        </w:rPr>
      </w:pPr>
      <w:r w:rsidRPr="00617599">
        <w:rPr>
          <w:rFonts w:ascii="Arial" w:hAnsi="Arial" w:cs="Arial"/>
        </w:rPr>
        <w:tab/>
      </w:r>
    </w:p>
    <w:p w14:paraId="1EE1650D" w14:textId="77777777" w:rsidR="009303CD" w:rsidRPr="006C7A9D" w:rsidRDefault="009303CD" w:rsidP="009303CD">
      <w:pPr>
        <w:pStyle w:val="Heading1"/>
        <w:tabs>
          <w:tab w:val="left" w:pos="5542"/>
        </w:tabs>
        <w:rPr>
          <w:rFonts w:cs="Arial"/>
        </w:rPr>
      </w:pPr>
      <w:bookmarkStart w:id="13" w:name="_Toc159568717"/>
      <w:bookmarkEnd w:id="10"/>
      <w:r w:rsidRPr="002D5EAF">
        <w:rPr>
          <w:rFonts w:cs="Arial"/>
        </w:rPr>
        <w:lastRenderedPageBreak/>
        <w:t>Summary</w:t>
      </w:r>
      <w:bookmarkEnd w:id="9"/>
      <w:bookmarkEnd w:id="12"/>
      <w:bookmarkEnd w:id="11"/>
      <w:bookmarkEnd w:id="13"/>
    </w:p>
    <w:p w14:paraId="59ABBB6F" w14:textId="3E7B957B" w:rsidR="00B9151A" w:rsidRPr="00360E75" w:rsidRDefault="00B9151A" w:rsidP="00360E75">
      <w:pPr>
        <w:spacing w:before="60" w:after="120" w:line="260" w:lineRule="atLeast"/>
        <w:rPr>
          <w:rFonts w:ascii="Arial" w:hAnsi="Arial" w:cs="Arial"/>
          <w:b/>
          <w:sz w:val="28"/>
          <w:szCs w:val="28"/>
        </w:rPr>
      </w:pPr>
      <w:bookmarkStart w:id="14" w:name="_Toc453061445"/>
      <w:bookmarkStart w:id="15" w:name="_Hlk514848864"/>
      <w:bookmarkStart w:id="16" w:name="_Toc453061451"/>
      <w:r w:rsidRPr="00360E75">
        <w:rPr>
          <w:rFonts w:ascii="Arial" w:hAnsi="Arial" w:cs="Arial"/>
          <w:b/>
          <w:sz w:val="28"/>
          <w:szCs w:val="28"/>
        </w:rPr>
        <w:t>ART treatment cycles</w:t>
      </w:r>
      <w:bookmarkEnd w:id="14"/>
      <w:r w:rsidRPr="00360E75">
        <w:rPr>
          <w:rFonts w:ascii="Arial" w:hAnsi="Arial" w:cs="Arial"/>
          <w:b/>
          <w:sz w:val="28"/>
          <w:szCs w:val="28"/>
        </w:rPr>
        <w:tab/>
      </w:r>
    </w:p>
    <w:p w14:paraId="241316D7" w14:textId="37AB9E6D" w:rsidR="007A7A40" w:rsidRPr="00C060D8" w:rsidRDefault="00B9151A" w:rsidP="00B9151A">
      <w:pPr>
        <w:pStyle w:val="NPESUbodytext"/>
        <w:rPr>
          <w:rFonts w:cs="Arial"/>
        </w:rPr>
      </w:pPr>
      <w:r w:rsidRPr="00C060D8">
        <w:rPr>
          <w:rFonts w:cs="Arial"/>
        </w:rPr>
        <w:t xml:space="preserve">There were </w:t>
      </w:r>
      <w:r w:rsidR="00F55EC0">
        <w:rPr>
          <w:rFonts w:cs="Arial"/>
          <w:lang w:eastAsia="en-AU"/>
        </w:rPr>
        <w:t>8,</w:t>
      </w:r>
      <w:r w:rsidR="00073B43">
        <w:rPr>
          <w:rFonts w:cs="Arial"/>
          <w:lang w:eastAsia="en-AU"/>
        </w:rPr>
        <w:t>861</w:t>
      </w:r>
      <w:r w:rsidR="00073B43" w:rsidRPr="00C060D8">
        <w:rPr>
          <w:rFonts w:cs="Arial"/>
        </w:rPr>
        <w:t xml:space="preserve"> </w:t>
      </w:r>
      <w:r w:rsidRPr="00C060D8">
        <w:rPr>
          <w:rFonts w:cs="Arial"/>
        </w:rPr>
        <w:t xml:space="preserve">assisted reproductive technology (ART) treatment cycles reported from New Zealand </w:t>
      </w:r>
      <w:r w:rsidR="00DF2308" w:rsidRPr="00C060D8">
        <w:rPr>
          <w:rFonts w:cs="Arial"/>
        </w:rPr>
        <w:t xml:space="preserve">fertility clinics </w:t>
      </w:r>
      <w:r w:rsidRPr="00C060D8">
        <w:rPr>
          <w:rFonts w:cs="Arial"/>
        </w:rPr>
        <w:t>in 20</w:t>
      </w:r>
      <w:r w:rsidR="00F55EC0">
        <w:rPr>
          <w:rFonts w:cs="Arial"/>
        </w:rPr>
        <w:t>2</w:t>
      </w:r>
      <w:r w:rsidR="00073B43">
        <w:rPr>
          <w:rFonts w:cs="Arial"/>
        </w:rPr>
        <w:t>1</w:t>
      </w:r>
      <w:r w:rsidRPr="00C060D8">
        <w:rPr>
          <w:rFonts w:cs="Arial"/>
        </w:rPr>
        <w:t xml:space="preserve">. This represented </w:t>
      </w:r>
      <w:r w:rsidR="005111BE">
        <w:rPr>
          <w:rFonts w:cs="Arial"/>
        </w:rPr>
        <w:t>8.</w:t>
      </w:r>
      <w:r w:rsidR="00073B43">
        <w:rPr>
          <w:rFonts w:cs="Arial"/>
        </w:rPr>
        <w:t>7</w:t>
      </w:r>
      <w:r w:rsidR="00F96E1D" w:rsidRPr="00C060D8">
        <w:rPr>
          <w:rFonts w:cs="Arial"/>
        </w:rPr>
        <w:t xml:space="preserve"> </w:t>
      </w:r>
      <w:r w:rsidRPr="00C060D8">
        <w:rPr>
          <w:rFonts w:cs="Arial"/>
        </w:rPr>
        <w:t xml:space="preserve">cycles per 1,000 women of reproductive age (15-44 years) in New Zealand. </w:t>
      </w:r>
      <w:r w:rsidR="007A7A40" w:rsidRPr="00C060D8">
        <w:rPr>
          <w:rFonts w:cs="Arial"/>
        </w:rPr>
        <w:t xml:space="preserve">Women used their own oocytes/embryos (autologous) in </w:t>
      </w:r>
      <w:r w:rsidR="00BE7B65" w:rsidRPr="00C060D8">
        <w:rPr>
          <w:rFonts w:cs="Arial"/>
        </w:rPr>
        <w:t>9</w:t>
      </w:r>
      <w:r w:rsidR="00F55EC0">
        <w:rPr>
          <w:rFonts w:cs="Arial"/>
        </w:rPr>
        <w:t>3</w:t>
      </w:r>
      <w:r w:rsidR="00EF274E" w:rsidRPr="00C060D8">
        <w:rPr>
          <w:rFonts w:cs="Arial"/>
        </w:rPr>
        <w:t>.</w:t>
      </w:r>
      <w:r w:rsidR="00073B43">
        <w:rPr>
          <w:rFonts w:cs="Arial"/>
        </w:rPr>
        <w:t>1</w:t>
      </w:r>
      <w:r w:rsidR="007A7A40" w:rsidRPr="00C060D8">
        <w:rPr>
          <w:rFonts w:cs="Arial"/>
        </w:rPr>
        <w:t>% of treatments</w:t>
      </w:r>
      <w:r w:rsidR="00DF2308" w:rsidRPr="00C060D8">
        <w:rPr>
          <w:rFonts w:cs="Arial"/>
        </w:rPr>
        <w:t xml:space="preserve"> and </w:t>
      </w:r>
      <w:r w:rsidR="00073B43">
        <w:rPr>
          <w:rFonts w:cs="Arial"/>
        </w:rPr>
        <w:t>48.8</w:t>
      </w:r>
      <w:r w:rsidR="007A7A40" w:rsidRPr="00C060D8">
        <w:rPr>
          <w:rFonts w:cs="Arial"/>
        </w:rPr>
        <w:t xml:space="preserve">% of </w:t>
      </w:r>
      <w:r w:rsidR="00204DE3">
        <w:rPr>
          <w:rFonts w:cs="Arial"/>
        </w:rPr>
        <w:t xml:space="preserve">these </w:t>
      </w:r>
      <w:r w:rsidR="00DF2308" w:rsidRPr="00C060D8">
        <w:rPr>
          <w:rFonts w:cs="Arial"/>
        </w:rPr>
        <w:t>autologous cycles</w:t>
      </w:r>
      <w:r w:rsidR="007A7A40" w:rsidRPr="00C060D8">
        <w:rPr>
          <w:rFonts w:cs="Arial"/>
        </w:rPr>
        <w:t xml:space="preserve"> involved frozen/thawed embryos. </w:t>
      </w:r>
    </w:p>
    <w:p w14:paraId="0C049133" w14:textId="77777777" w:rsidR="00B9151A" w:rsidRPr="00C060D8" w:rsidRDefault="00B9151A" w:rsidP="00360E75">
      <w:pPr>
        <w:spacing w:before="60" w:after="120" w:line="260" w:lineRule="atLeast"/>
        <w:rPr>
          <w:rFonts w:ascii="Arial" w:hAnsi="Arial" w:cs="Arial"/>
          <w:b/>
          <w:sz w:val="28"/>
          <w:szCs w:val="28"/>
        </w:rPr>
      </w:pPr>
      <w:bookmarkStart w:id="17" w:name="_Toc453061446"/>
      <w:r w:rsidRPr="00C060D8">
        <w:rPr>
          <w:rFonts w:ascii="Arial" w:hAnsi="Arial" w:cs="Arial"/>
          <w:b/>
          <w:sz w:val="28"/>
          <w:szCs w:val="28"/>
        </w:rPr>
        <w:t>Treatment outcomes and number of babies</w:t>
      </w:r>
      <w:bookmarkEnd w:id="17"/>
    </w:p>
    <w:p w14:paraId="264307C7" w14:textId="5588604E" w:rsidR="00B9151A" w:rsidRPr="006C7A9D" w:rsidRDefault="00B9151A" w:rsidP="00B9151A">
      <w:pPr>
        <w:pStyle w:val="NPESUbodytext"/>
        <w:rPr>
          <w:rFonts w:cs="Arial"/>
        </w:rPr>
      </w:pPr>
      <w:r w:rsidRPr="00C060D8">
        <w:rPr>
          <w:rFonts w:cs="Arial"/>
          <w:lang w:eastAsia="en-AU"/>
        </w:rPr>
        <w:t>Of all the ART treatments in 20</w:t>
      </w:r>
      <w:r w:rsidR="00F55EC0">
        <w:rPr>
          <w:rFonts w:cs="Arial"/>
          <w:lang w:eastAsia="en-AU"/>
        </w:rPr>
        <w:t>2</w:t>
      </w:r>
      <w:r w:rsidR="00073B43">
        <w:rPr>
          <w:rFonts w:cs="Arial"/>
          <w:lang w:eastAsia="en-AU"/>
        </w:rPr>
        <w:t>1</w:t>
      </w:r>
      <w:r w:rsidRPr="00C060D8">
        <w:rPr>
          <w:rFonts w:cs="Arial"/>
          <w:lang w:eastAsia="en-AU"/>
        </w:rPr>
        <w:t xml:space="preserve">, </w:t>
      </w:r>
      <w:r w:rsidR="00073B43">
        <w:rPr>
          <w:rFonts w:cs="Arial"/>
          <w:lang w:eastAsia="en-AU"/>
        </w:rPr>
        <w:t>28.8</w:t>
      </w:r>
      <w:r w:rsidRPr="00C060D8">
        <w:rPr>
          <w:rFonts w:cs="Arial"/>
          <w:lang w:eastAsia="en-AU"/>
        </w:rPr>
        <w:t>% (</w:t>
      </w:r>
      <w:r w:rsidR="00EF274E" w:rsidRPr="00C060D8">
        <w:rPr>
          <w:rFonts w:cs="Arial"/>
          <w:lang w:eastAsia="en-AU"/>
        </w:rPr>
        <w:t>2,</w:t>
      </w:r>
      <w:r w:rsidR="00073B43">
        <w:rPr>
          <w:rFonts w:cs="Arial"/>
          <w:lang w:eastAsia="en-AU"/>
        </w:rPr>
        <w:t>553</w:t>
      </w:r>
      <w:r w:rsidRPr="00C060D8">
        <w:rPr>
          <w:rFonts w:cs="Arial"/>
          <w:lang w:eastAsia="en-AU"/>
        </w:rPr>
        <w:t xml:space="preserve">) resulted in a clinical pregnancy, </w:t>
      </w:r>
      <w:r w:rsidR="00F55EC0">
        <w:rPr>
          <w:rFonts w:cs="Arial"/>
          <w:lang w:eastAsia="en-AU"/>
        </w:rPr>
        <w:t>23.</w:t>
      </w:r>
      <w:r w:rsidR="00073B43">
        <w:rPr>
          <w:rFonts w:cs="Arial"/>
          <w:lang w:eastAsia="en-AU"/>
        </w:rPr>
        <w:t>2</w:t>
      </w:r>
      <w:r w:rsidRPr="00C060D8">
        <w:rPr>
          <w:rFonts w:cs="Arial"/>
          <w:lang w:eastAsia="en-AU"/>
        </w:rPr>
        <w:t>% (</w:t>
      </w:r>
      <w:r w:rsidR="00073B43">
        <w:rPr>
          <w:rFonts w:cs="Arial"/>
          <w:lang w:eastAsia="en-AU"/>
        </w:rPr>
        <w:t>2,059</w:t>
      </w:r>
      <w:r w:rsidRPr="00C060D8">
        <w:rPr>
          <w:rFonts w:cs="Arial"/>
          <w:lang w:eastAsia="en-AU"/>
        </w:rPr>
        <w:t xml:space="preserve">) resulted in a </w:t>
      </w:r>
      <w:r w:rsidR="00EC42AE" w:rsidRPr="00C060D8">
        <w:rPr>
          <w:rFonts w:cs="Arial"/>
          <w:lang w:eastAsia="en-AU"/>
        </w:rPr>
        <w:t>birth</w:t>
      </w:r>
      <w:r w:rsidR="006835A8">
        <w:rPr>
          <w:rFonts w:cs="Arial"/>
          <w:lang w:eastAsia="en-AU"/>
        </w:rPr>
        <w:t>,</w:t>
      </w:r>
      <w:r w:rsidRPr="00C060D8">
        <w:rPr>
          <w:rFonts w:cs="Arial"/>
          <w:lang w:eastAsia="en-AU"/>
        </w:rPr>
        <w:t xml:space="preserve"> and </w:t>
      </w:r>
      <w:r w:rsidR="00F55EC0">
        <w:rPr>
          <w:rFonts w:cs="Arial"/>
          <w:lang w:eastAsia="en-AU"/>
        </w:rPr>
        <w:t>2</w:t>
      </w:r>
      <w:r w:rsidR="00073B43">
        <w:rPr>
          <w:rFonts w:cs="Arial"/>
          <w:lang w:eastAsia="en-AU"/>
        </w:rPr>
        <w:t>2.8</w:t>
      </w:r>
      <w:r w:rsidR="00F925AE" w:rsidRPr="00C060D8">
        <w:rPr>
          <w:rFonts w:cs="Arial"/>
          <w:lang w:eastAsia="en-AU"/>
        </w:rPr>
        <w:t xml:space="preserve">% </w:t>
      </w:r>
      <w:r w:rsidRPr="00C060D8">
        <w:rPr>
          <w:rFonts w:cs="Arial"/>
          <w:lang w:eastAsia="en-AU"/>
        </w:rPr>
        <w:t>(</w:t>
      </w:r>
      <w:r w:rsidR="00073B43">
        <w:rPr>
          <w:rFonts w:cs="Arial"/>
          <w:lang w:eastAsia="en-AU"/>
        </w:rPr>
        <w:t>2,021</w:t>
      </w:r>
      <w:r w:rsidRPr="00C060D8">
        <w:rPr>
          <w:rFonts w:cs="Arial"/>
          <w:lang w:eastAsia="en-AU"/>
        </w:rPr>
        <w:t xml:space="preserve">) in a live </w:t>
      </w:r>
      <w:r w:rsidR="00EC42AE" w:rsidRPr="00C060D8">
        <w:rPr>
          <w:rFonts w:cs="Arial"/>
          <w:lang w:eastAsia="en-AU"/>
        </w:rPr>
        <w:t>birth</w:t>
      </w:r>
      <w:r w:rsidRPr="00C060D8">
        <w:rPr>
          <w:rFonts w:cs="Arial"/>
        </w:rPr>
        <w:t xml:space="preserve">. </w:t>
      </w:r>
      <w:r w:rsidRPr="00C060D8">
        <w:rPr>
          <w:rFonts w:cs="Arial"/>
          <w:lang w:eastAsia="en-AU"/>
        </w:rPr>
        <w:t xml:space="preserve">There were </w:t>
      </w:r>
      <w:r w:rsidR="00F55EC0">
        <w:rPr>
          <w:rFonts w:cs="Arial"/>
          <w:lang w:eastAsia="en-AU"/>
        </w:rPr>
        <w:t>2,0</w:t>
      </w:r>
      <w:r w:rsidR="00073B43">
        <w:rPr>
          <w:rFonts w:cs="Arial"/>
          <w:lang w:eastAsia="en-AU"/>
        </w:rPr>
        <w:t>55</w:t>
      </w:r>
      <w:r w:rsidR="00F925AE" w:rsidRPr="00C060D8">
        <w:rPr>
          <w:rFonts w:cs="Arial"/>
          <w:lang w:eastAsia="en-AU"/>
        </w:rPr>
        <w:t xml:space="preserve"> </w:t>
      </w:r>
      <w:r w:rsidRPr="00C060D8">
        <w:rPr>
          <w:rFonts w:cs="Arial"/>
          <w:lang w:eastAsia="en-AU"/>
        </w:rPr>
        <w:t xml:space="preserve">liveborn babies, </w:t>
      </w:r>
      <w:r w:rsidR="00CE0368" w:rsidRPr="00C060D8">
        <w:rPr>
          <w:rFonts w:cs="Arial"/>
          <w:lang w:eastAsia="en-AU"/>
        </w:rPr>
        <w:t xml:space="preserve">of which </w:t>
      </w:r>
      <w:r w:rsidR="00F55EC0">
        <w:rPr>
          <w:rFonts w:cs="Arial"/>
          <w:lang w:eastAsia="en-AU"/>
        </w:rPr>
        <w:t>85.</w:t>
      </w:r>
      <w:r w:rsidR="00073B43">
        <w:rPr>
          <w:rFonts w:cs="Arial"/>
          <w:lang w:eastAsia="en-AU"/>
        </w:rPr>
        <w:t>5</w:t>
      </w:r>
      <w:r w:rsidRPr="00C060D8">
        <w:rPr>
          <w:rFonts w:cs="Arial"/>
          <w:lang w:eastAsia="en-AU"/>
        </w:rPr>
        <w:t>% (1,</w:t>
      </w:r>
      <w:r w:rsidR="00073B43">
        <w:rPr>
          <w:rFonts w:cs="Arial"/>
          <w:lang w:eastAsia="en-AU"/>
        </w:rPr>
        <w:t>756</w:t>
      </w:r>
      <w:r w:rsidRPr="00C060D8">
        <w:rPr>
          <w:rFonts w:cs="Arial"/>
          <w:lang w:eastAsia="en-AU"/>
        </w:rPr>
        <w:t>) were singletons at term (gestational age of 37-</w:t>
      </w:r>
      <w:r w:rsidR="00460993" w:rsidRPr="00C060D8">
        <w:rPr>
          <w:rFonts w:cs="Arial"/>
          <w:lang w:eastAsia="en-AU"/>
        </w:rPr>
        <w:t>41</w:t>
      </w:r>
      <w:r w:rsidR="009B0899" w:rsidRPr="00C060D8">
        <w:rPr>
          <w:rFonts w:cs="Arial"/>
          <w:lang w:eastAsia="en-AU"/>
        </w:rPr>
        <w:t xml:space="preserve"> </w:t>
      </w:r>
      <w:r w:rsidRPr="00C060D8">
        <w:rPr>
          <w:rFonts w:cs="Arial"/>
          <w:lang w:eastAsia="en-AU"/>
        </w:rPr>
        <w:t>weeks) with normal birthweight (</w:t>
      </w:r>
      <w:r w:rsidR="00C66067" w:rsidRPr="00C060D8">
        <w:rPr>
          <w:rFonts w:cs="Arial"/>
          <w:spacing w:val="60"/>
          <w:lang w:eastAsia="en-AU"/>
        </w:rPr>
        <w:t>≥</w:t>
      </w:r>
      <w:r w:rsidRPr="00C060D8">
        <w:rPr>
          <w:rFonts w:cs="Arial"/>
          <w:lang w:eastAsia="en-AU"/>
        </w:rPr>
        <w:t>2,500 grams).</w:t>
      </w:r>
    </w:p>
    <w:p w14:paraId="748E243F" w14:textId="77777777" w:rsidR="00B9151A" w:rsidRPr="00360E75" w:rsidRDefault="00B9151A" w:rsidP="00360E75">
      <w:pPr>
        <w:spacing w:before="60" w:after="120" w:line="260" w:lineRule="atLeast"/>
        <w:rPr>
          <w:rFonts w:ascii="Arial" w:hAnsi="Arial" w:cs="Arial"/>
          <w:b/>
          <w:sz w:val="28"/>
          <w:szCs w:val="28"/>
        </w:rPr>
      </w:pPr>
      <w:bookmarkStart w:id="18" w:name="_Toc453061447"/>
      <w:r w:rsidRPr="00360E75">
        <w:rPr>
          <w:rFonts w:ascii="Arial" w:hAnsi="Arial" w:cs="Arial"/>
          <w:b/>
          <w:sz w:val="28"/>
          <w:szCs w:val="28"/>
        </w:rPr>
        <w:t>Women’s age and parity</w:t>
      </w:r>
      <w:bookmarkEnd w:id="18"/>
    </w:p>
    <w:p w14:paraId="0C11859E" w14:textId="180DA042" w:rsidR="00B9151A" w:rsidRPr="00C060D8" w:rsidRDefault="00B9151A" w:rsidP="00B9151A">
      <w:pPr>
        <w:pStyle w:val="NPESUbodytext"/>
        <w:rPr>
          <w:rFonts w:cs="Arial"/>
        </w:rPr>
      </w:pPr>
      <w:r w:rsidRPr="00A66492">
        <w:rPr>
          <w:rFonts w:cs="Arial"/>
          <w:lang w:eastAsia="en-AU"/>
        </w:rPr>
        <w:t xml:space="preserve">The average age of women </w:t>
      </w:r>
      <w:r w:rsidRPr="00BA3538">
        <w:rPr>
          <w:rFonts w:cs="Arial"/>
          <w:lang w:eastAsia="en-AU"/>
        </w:rPr>
        <w:t>undertaking autologous and oocyte/embryo recipient cycles was 35.</w:t>
      </w:r>
      <w:r w:rsidR="003D3982">
        <w:rPr>
          <w:rFonts w:cs="Arial"/>
          <w:lang w:eastAsia="en-AU"/>
        </w:rPr>
        <w:t>6</w:t>
      </w:r>
      <w:r w:rsidRPr="00BA3538">
        <w:rPr>
          <w:rFonts w:cs="Arial"/>
          <w:lang w:eastAsia="en-AU"/>
        </w:rPr>
        <w:t xml:space="preserve"> years. For women undergoing oocyte/embryo recipient cycles, the mean age was </w:t>
      </w:r>
      <w:r w:rsidR="00603C4C" w:rsidRPr="00BA3538">
        <w:rPr>
          <w:rFonts w:cs="Arial"/>
          <w:lang w:eastAsia="en-AU"/>
        </w:rPr>
        <w:t>39.</w:t>
      </w:r>
      <w:r w:rsidR="003D3982">
        <w:rPr>
          <w:rFonts w:cs="Arial"/>
          <w:lang w:eastAsia="en-AU"/>
        </w:rPr>
        <w:t>8</w:t>
      </w:r>
      <w:r w:rsidRPr="00BA3538">
        <w:rPr>
          <w:rFonts w:cs="Arial"/>
          <w:lang w:eastAsia="en-AU"/>
        </w:rPr>
        <w:t xml:space="preserve"> years, </w:t>
      </w:r>
      <w:r w:rsidR="0098001B" w:rsidRPr="00BA3538">
        <w:rPr>
          <w:rFonts w:cs="Arial"/>
          <w:lang w:eastAsia="en-AU"/>
        </w:rPr>
        <w:t>four</w:t>
      </w:r>
      <w:r w:rsidRPr="00BA3538">
        <w:rPr>
          <w:rFonts w:cs="Arial"/>
          <w:lang w:eastAsia="en-AU"/>
        </w:rPr>
        <w:t xml:space="preserve"> years older than for autologous cycles</w:t>
      </w:r>
      <w:r w:rsidR="00596C8A" w:rsidRPr="00BA3538">
        <w:rPr>
          <w:rFonts w:cs="Arial"/>
          <w:lang w:eastAsia="en-AU"/>
        </w:rPr>
        <w:t xml:space="preserve"> (mean 35.</w:t>
      </w:r>
      <w:r w:rsidR="00167EC8">
        <w:rPr>
          <w:rFonts w:cs="Arial"/>
          <w:lang w:eastAsia="en-AU"/>
        </w:rPr>
        <w:t>2</w:t>
      </w:r>
      <w:r w:rsidR="00596C8A" w:rsidRPr="00BA3538">
        <w:rPr>
          <w:rFonts w:cs="Arial"/>
          <w:lang w:eastAsia="en-AU"/>
        </w:rPr>
        <w:t xml:space="preserve"> years)</w:t>
      </w:r>
      <w:r w:rsidRPr="00BA3538">
        <w:rPr>
          <w:rFonts w:cs="Arial"/>
          <w:lang w:eastAsia="en-AU"/>
        </w:rPr>
        <w:t>. Of all</w:t>
      </w:r>
      <w:r w:rsidRPr="00D72DF6">
        <w:rPr>
          <w:rFonts w:cs="Arial"/>
          <w:lang w:eastAsia="en-AU"/>
        </w:rPr>
        <w:t xml:space="preserve"> autologous and oocyte/embryo </w:t>
      </w:r>
      <w:r w:rsidRPr="00C060D8">
        <w:rPr>
          <w:rFonts w:cs="Arial"/>
          <w:lang w:eastAsia="en-AU"/>
        </w:rPr>
        <w:t xml:space="preserve">recipient cycles, </w:t>
      </w:r>
      <w:r w:rsidR="003D3982">
        <w:rPr>
          <w:rFonts w:cs="Arial"/>
          <w:lang w:eastAsia="en-AU"/>
        </w:rPr>
        <w:t>19.</w:t>
      </w:r>
      <w:r w:rsidR="00C67FBC">
        <w:rPr>
          <w:rFonts w:cs="Arial"/>
          <w:lang w:eastAsia="en-AU"/>
        </w:rPr>
        <w:t>9</w:t>
      </w:r>
      <w:r w:rsidR="00167EC8">
        <w:rPr>
          <w:rFonts w:cs="Arial"/>
          <w:lang w:eastAsia="en-AU"/>
        </w:rPr>
        <w:t>%</w:t>
      </w:r>
      <w:r w:rsidRPr="00C060D8">
        <w:rPr>
          <w:rFonts w:cs="Arial"/>
          <w:lang w:eastAsia="en-AU"/>
        </w:rPr>
        <w:t xml:space="preserve"> w</w:t>
      </w:r>
      <w:r w:rsidR="00167EC8">
        <w:rPr>
          <w:rFonts w:cs="Arial"/>
          <w:lang w:eastAsia="en-AU"/>
        </w:rPr>
        <w:t>ere</w:t>
      </w:r>
      <w:r w:rsidRPr="00C060D8">
        <w:rPr>
          <w:rFonts w:cs="Arial"/>
          <w:lang w:eastAsia="en-AU"/>
        </w:rPr>
        <w:t xml:space="preserve"> undertaken by women aged 40 years or older. </w:t>
      </w:r>
      <w:r w:rsidR="004815E2" w:rsidRPr="00C060D8">
        <w:rPr>
          <w:rFonts w:cs="Arial"/>
          <w:lang w:eastAsia="en-AU"/>
        </w:rPr>
        <w:t xml:space="preserve">Where parity was </w:t>
      </w:r>
      <w:r w:rsidR="004D2C8F">
        <w:rPr>
          <w:rFonts w:cs="Arial"/>
          <w:lang w:eastAsia="en-AU"/>
        </w:rPr>
        <w:t>stated</w:t>
      </w:r>
      <w:r w:rsidR="004815E2" w:rsidRPr="00C060D8">
        <w:rPr>
          <w:rFonts w:cs="Arial"/>
          <w:lang w:eastAsia="en-AU"/>
        </w:rPr>
        <w:t xml:space="preserve">, </w:t>
      </w:r>
      <w:r w:rsidR="003D3982">
        <w:rPr>
          <w:rFonts w:cs="Arial"/>
          <w:lang w:eastAsia="en-AU"/>
        </w:rPr>
        <w:t>53.5</w:t>
      </w:r>
      <w:r w:rsidR="004815E2" w:rsidRPr="00C060D8">
        <w:rPr>
          <w:rFonts w:cs="Arial"/>
          <w:lang w:eastAsia="en-AU"/>
        </w:rPr>
        <w:t>% o</w:t>
      </w:r>
      <w:r w:rsidR="004444E2" w:rsidRPr="00C060D8">
        <w:rPr>
          <w:rFonts w:cs="Arial"/>
          <w:lang w:eastAsia="en-AU"/>
        </w:rPr>
        <w:t>f autologous cycles</w:t>
      </w:r>
      <w:r w:rsidR="00DF2308" w:rsidRPr="00C060D8">
        <w:rPr>
          <w:rFonts w:cs="Arial"/>
          <w:lang w:eastAsia="en-AU"/>
        </w:rPr>
        <w:t xml:space="preserve"> were undertaken by nulliparous women</w:t>
      </w:r>
      <w:r w:rsidR="00562209" w:rsidRPr="00C060D8">
        <w:rPr>
          <w:rFonts w:cs="Arial"/>
          <w:lang w:eastAsia="en-AU"/>
        </w:rPr>
        <w:t xml:space="preserve"> compared with </w:t>
      </w:r>
      <w:r w:rsidR="003D3982">
        <w:rPr>
          <w:rFonts w:cs="Arial"/>
          <w:lang w:eastAsia="en-AU"/>
        </w:rPr>
        <w:t>51.7</w:t>
      </w:r>
      <w:r w:rsidR="00562209" w:rsidRPr="00C060D8">
        <w:rPr>
          <w:rFonts w:cs="Arial"/>
          <w:lang w:eastAsia="en-AU"/>
        </w:rPr>
        <w:t xml:space="preserve">% </w:t>
      </w:r>
      <w:r w:rsidR="00DF2308" w:rsidRPr="00C060D8">
        <w:rPr>
          <w:rFonts w:cs="Arial"/>
          <w:lang w:eastAsia="en-AU"/>
        </w:rPr>
        <w:t>for</w:t>
      </w:r>
      <w:r w:rsidR="00562209" w:rsidRPr="00C060D8">
        <w:rPr>
          <w:rFonts w:cs="Arial"/>
          <w:lang w:eastAsia="en-AU"/>
        </w:rPr>
        <w:t xml:space="preserve"> oocyte/embryo recipient cycles</w:t>
      </w:r>
      <w:r w:rsidRPr="00C060D8">
        <w:rPr>
          <w:rFonts w:cs="Arial"/>
          <w:lang w:eastAsia="en-AU"/>
        </w:rPr>
        <w:t>.</w:t>
      </w:r>
    </w:p>
    <w:p w14:paraId="173FB446" w14:textId="77777777" w:rsidR="00B9151A" w:rsidRPr="00C060D8" w:rsidRDefault="00B9151A" w:rsidP="00360E75">
      <w:pPr>
        <w:spacing w:before="60" w:after="120" w:line="260" w:lineRule="atLeast"/>
        <w:rPr>
          <w:rFonts w:ascii="Arial" w:hAnsi="Arial" w:cs="Arial"/>
          <w:b/>
          <w:sz w:val="28"/>
          <w:szCs w:val="28"/>
        </w:rPr>
      </w:pPr>
      <w:bookmarkStart w:id="19" w:name="_Toc453061448"/>
      <w:r w:rsidRPr="00C060D8">
        <w:rPr>
          <w:rFonts w:ascii="Arial" w:hAnsi="Arial" w:cs="Arial"/>
          <w:b/>
          <w:sz w:val="28"/>
          <w:szCs w:val="28"/>
        </w:rPr>
        <w:t>Autologous fresh cycles</w:t>
      </w:r>
      <w:bookmarkEnd w:id="19"/>
    </w:p>
    <w:p w14:paraId="01F3ABEA" w14:textId="6354A6CF" w:rsidR="00B9151A" w:rsidRPr="00952173" w:rsidRDefault="00B9151A" w:rsidP="00B9151A">
      <w:pPr>
        <w:pStyle w:val="NPESUbodytext"/>
        <w:rPr>
          <w:rFonts w:cs="Arial"/>
        </w:rPr>
      </w:pPr>
      <w:r w:rsidRPr="00C060D8">
        <w:rPr>
          <w:rFonts w:cs="Arial"/>
        </w:rPr>
        <w:t xml:space="preserve">The overall live </w:t>
      </w:r>
      <w:r w:rsidR="00EC42AE" w:rsidRPr="00C060D8">
        <w:rPr>
          <w:rFonts w:cs="Arial"/>
        </w:rPr>
        <w:t>birth</w:t>
      </w:r>
      <w:r w:rsidRPr="00C060D8">
        <w:rPr>
          <w:rFonts w:cs="Arial"/>
        </w:rPr>
        <w:t xml:space="preserve"> rate per autologous fresh embryo transfer cycle was </w:t>
      </w:r>
      <w:r w:rsidR="00D86D62">
        <w:rPr>
          <w:rFonts w:cs="Arial"/>
        </w:rPr>
        <w:t>29</w:t>
      </w:r>
      <w:r w:rsidRPr="00C060D8">
        <w:rPr>
          <w:rFonts w:cs="Arial"/>
        </w:rPr>
        <w:t xml:space="preserve">%. The highest live </w:t>
      </w:r>
      <w:r w:rsidR="00EC42AE" w:rsidRPr="00C060D8">
        <w:rPr>
          <w:rFonts w:cs="Arial"/>
        </w:rPr>
        <w:t>birth</w:t>
      </w:r>
      <w:r w:rsidRPr="00C060D8">
        <w:rPr>
          <w:rFonts w:cs="Arial"/>
        </w:rPr>
        <w:t xml:space="preserve"> rate per autologous fresh embryo transfer cycle was in women aged </w:t>
      </w:r>
      <w:r w:rsidR="00D86D62">
        <w:rPr>
          <w:rFonts w:cs="Arial"/>
        </w:rPr>
        <w:t>less than 30</w:t>
      </w:r>
      <w:r w:rsidR="00AD3398">
        <w:rPr>
          <w:rFonts w:cs="Arial"/>
        </w:rPr>
        <w:t xml:space="preserve"> </w:t>
      </w:r>
      <w:r w:rsidRPr="00C060D8">
        <w:rPr>
          <w:rFonts w:cs="Arial"/>
        </w:rPr>
        <w:t>years (</w:t>
      </w:r>
      <w:r w:rsidR="00AD3398">
        <w:rPr>
          <w:rFonts w:cs="Arial"/>
        </w:rPr>
        <w:t>4</w:t>
      </w:r>
      <w:r w:rsidR="00D86D62">
        <w:rPr>
          <w:rFonts w:cs="Arial"/>
        </w:rPr>
        <w:t>2.9</w:t>
      </w:r>
      <w:r w:rsidRPr="00C060D8">
        <w:rPr>
          <w:rFonts w:cs="Arial"/>
        </w:rPr>
        <w:t xml:space="preserve">%) and declined </w:t>
      </w:r>
      <w:r w:rsidR="00BD1D41" w:rsidRPr="00C060D8">
        <w:rPr>
          <w:rFonts w:cs="Arial"/>
        </w:rPr>
        <w:t xml:space="preserve">with an increase in </w:t>
      </w:r>
      <w:r w:rsidRPr="00C060D8">
        <w:rPr>
          <w:rFonts w:cs="Arial"/>
        </w:rPr>
        <w:t xml:space="preserve">women’s age. Overall, </w:t>
      </w:r>
      <w:r w:rsidR="00D86D62">
        <w:rPr>
          <w:rFonts w:cs="Arial"/>
        </w:rPr>
        <w:t>96.8</w:t>
      </w:r>
      <w:r w:rsidRPr="00C060D8">
        <w:rPr>
          <w:rFonts w:cs="Arial"/>
        </w:rPr>
        <w:t xml:space="preserve">% of autologous fresh embryo transfer cycles were single embryo transfer (SET) cycles, </w:t>
      </w:r>
      <w:r w:rsidR="00D86D62">
        <w:rPr>
          <w:rFonts w:cs="Arial"/>
        </w:rPr>
        <w:t>3.2</w:t>
      </w:r>
      <w:r w:rsidRPr="00C060D8">
        <w:rPr>
          <w:rFonts w:cs="Arial"/>
        </w:rPr>
        <w:t xml:space="preserve">% were double embryo transfer (DET) cycles. The rates of clinical pregnancy and live </w:t>
      </w:r>
      <w:r w:rsidR="00EC42AE" w:rsidRPr="00C060D8">
        <w:rPr>
          <w:rFonts w:cs="Arial"/>
        </w:rPr>
        <w:t>birth</w:t>
      </w:r>
      <w:r w:rsidRPr="00C060D8">
        <w:rPr>
          <w:rFonts w:cs="Arial"/>
        </w:rPr>
        <w:t xml:space="preserve"> were higher in blastocyst transfer cycles than in cleavage stage embryo transfer cycles regardless of a woman’s age.</w:t>
      </w:r>
    </w:p>
    <w:p w14:paraId="7C16D23F" w14:textId="77777777" w:rsidR="00B9151A" w:rsidRPr="00C060D8" w:rsidRDefault="00B9151A" w:rsidP="00360E75">
      <w:pPr>
        <w:spacing w:before="60" w:after="120" w:line="260" w:lineRule="atLeast"/>
        <w:rPr>
          <w:rFonts w:ascii="Arial" w:hAnsi="Arial" w:cs="Arial"/>
          <w:b/>
          <w:sz w:val="28"/>
          <w:szCs w:val="28"/>
        </w:rPr>
      </w:pPr>
      <w:bookmarkStart w:id="20" w:name="_Toc453061449"/>
      <w:r w:rsidRPr="00C060D8">
        <w:rPr>
          <w:rFonts w:ascii="Arial" w:hAnsi="Arial" w:cs="Arial"/>
          <w:b/>
          <w:sz w:val="28"/>
          <w:szCs w:val="28"/>
        </w:rPr>
        <w:t>Autologous thaw cycles</w:t>
      </w:r>
      <w:bookmarkEnd w:id="20"/>
    </w:p>
    <w:p w14:paraId="128CBB78" w14:textId="2857C960" w:rsidR="00B9151A" w:rsidRPr="00C060D8" w:rsidRDefault="00B9151A" w:rsidP="00B9151A">
      <w:pPr>
        <w:pStyle w:val="NPESUbodytext"/>
        <w:rPr>
          <w:rFonts w:cs="Arial"/>
          <w:b/>
        </w:rPr>
      </w:pPr>
      <w:r w:rsidRPr="00C060D8">
        <w:rPr>
          <w:rFonts w:cs="Arial"/>
        </w:rPr>
        <w:t xml:space="preserve">The overall live </w:t>
      </w:r>
      <w:r w:rsidR="00EC42AE" w:rsidRPr="00C060D8">
        <w:rPr>
          <w:rFonts w:cs="Arial"/>
        </w:rPr>
        <w:t>birth</w:t>
      </w:r>
      <w:r w:rsidRPr="00C060D8">
        <w:rPr>
          <w:rFonts w:cs="Arial"/>
        </w:rPr>
        <w:t xml:space="preserve"> rate per autologous thaw embryo transfer cycle was </w:t>
      </w:r>
      <w:r w:rsidR="00B6363B">
        <w:rPr>
          <w:rFonts w:cs="Arial"/>
        </w:rPr>
        <w:t>34.9</w:t>
      </w:r>
      <w:r w:rsidRPr="00C060D8">
        <w:rPr>
          <w:rFonts w:cs="Arial"/>
        </w:rPr>
        <w:t xml:space="preserve">%. The highest live </w:t>
      </w:r>
      <w:r w:rsidR="00EC42AE" w:rsidRPr="00C060D8">
        <w:rPr>
          <w:rFonts w:cs="Arial"/>
        </w:rPr>
        <w:t>birth</w:t>
      </w:r>
      <w:r w:rsidRPr="00C060D8">
        <w:rPr>
          <w:rFonts w:cs="Arial"/>
        </w:rPr>
        <w:t xml:space="preserve"> rate per embryo transfer cycle was in women aged </w:t>
      </w:r>
      <w:r w:rsidR="005107E4">
        <w:rPr>
          <w:rFonts w:cs="Arial"/>
        </w:rPr>
        <w:t>less than 30</w:t>
      </w:r>
      <w:r w:rsidRPr="00C060D8">
        <w:rPr>
          <w:rFonts w:cs="Arial"/>
        </w:rPr>
        <w:t xml:space="preserve"> years (</w:t>
      </w:r>
      <w:r w:rsidR="00B6363B">
        <w:rPr>
          <w:rFonts w:cs="Arial"/>
        </w:rPr>
        <w:t>41.8</w:t>
      </w:r>
      <w:r w:rsidRPr="00C060D8">
        <w:rPr>
          <w:rFonts w:cs="Arial"/>
        </w:rPr>
        <w:t xml:space="preserve">%). Of the </w:t>
      </w:r>
      <w:r w:rsidR="00B6363B">
        <w:rPr>
          <w:rFonts w:cs="Arial"/>
          <w:lang w:eastAsia="en-AU"/>
        </w:rPr>
        <w:t>4,018</w:t>
      </w:r>
      <w:r w:rsidR="005107E4" w:rsidRPr="00C060D8">
        <w:rPr>
          <w:rFonts w:cs="Arial"/>
          <w:lang w:eastAsia="en-AU"/>
        </w:rPr>
        <w:t xml:space="preserve"> </w:t>
      </w:r>
      <w:r w:rsidRPr="00C060D8">
        <w:rPr>
          <w:rFonts w:cs="Arial"/>
        </w:rPr>
        <w:t xml:space="preserve">frozen/thawed embryo transfer cycles </w:t>
      </w:r>
      <w:r w:rsidR="00B6363B">
        <w:rPr>
          <w:rFonts w:cs="Arial"/>
        </w:rPr>
        <w:t>97.9</w:t>
      </w:r>
      <w:r w:rsidRPr="00C060D8">
        <w:rPr>
          <w:rFonts w:cs="Arial"/>
        </w:rPr>
        <w:t xml:space="preserve">% were SET cycles and </w:t>
      </w:r>
      <w:r w:rsidR="00B6363B">
        <w:rPr>
          <w:rFonts w:cs="Arial"/>
        </w:rPr>
        <w:t>2.1</w:t>
      </w:r>
      <w:r w:rsidRPr="00C060D8">
        <w:rPr>
          <w:rFonts w:cs="Arial"/>
        </w:rPr>
        <w:t xml:space="preserve">% were DET cycles. The rates of clinical pregnancy and live </w:t>
      </w:r>
      <w:r w:rsidR="00EC42AE" w:rsidRPr="00C060D8">
        <w:rPr>
          <w:rFonts w:cs="Arial"/>
        </w:rPr>
        <w:t>birth</w:t>
      </w:r>
      <w:r w:rsidR="00EC37B8">
        <w:rPr>
          <w:rFonts w:cs="Arial"/>
        </w:rPr>
        <w:t xml:space="preserve"> overall,</w:t>
      </w:r>
      <w:r w:rsidRPr="00C060D8">
        <w:rPr>
          <w:rFonts w:cs="Arial"/>
        </w:rPr>
        <w:t xml:space="preserve"> were higher in blastocyst transfer cycles than in cleavage stage embryo transfer cycles.</w:t>
      </w:r>
    </w:p>
    <w:p w14:paraId="3C00A976" w14:textId="1FE77E7E" w:rsidR="00B9151A" w:rsidRPr="00C060D8" w:rsidRDefault="00C736CE" w:rsidP="00360E75">
      <w:pPr>
        <w:spacing w:before="60" w:after="120" w:line="260" w:lineRule="atLeast"/>
        <w:rPr>
          <w:rFonts w:ascii="Arial" w:hAnsi="Arial" w:cs="Arial"/>
          <w:b/>
          <w:sz w:val="28"/>
          <w:szCs w:val="28"/>
        </w:rPr>
      </w:pPr>
      <w:bookmarkStart w:id="21" w:name="_Toc453061450"/>
      <w:r w:rsidRPr="00C060D8">
        <w:rPr>
          <w:rFonts w:ascii="Arial" w:hAnsi="Arial" w:cs="Arial"/>
          <w:b/>
          <w:sz w:val="28"/>
          <w:szCs w:val="28"/>
        </w:rPr>
        <w:t>Births</w:t>
      </w:r>
      <w:r w:rsidR="00B9151A" w:rsidRPr="00C060D8">
        <w:rPr>
          <w:rFonts w:ascii="Arial" w:hAnsi="Arial" w:cs="Arial"/>
          <w:b/>
          <w:sz w:val="28"/>
          <w:szCs w:val="28"/>
        </w:rPr>
        <w:t xml:space="preserve"> by </w:t>
      </w:r>
      <w:r w:rsidR="00D51B71" w:rsidRPr="00C060D8">
        <w:rPr>
          <w:rFonts w:ascii="Arial" w:hAnsi="Arial" w:cs="Arial"/>
          <w:b/>
          <w:sz w:val="28"/>
          <w:szCs w:val="28"/>
        </w:rPr>
        <w:t>plurality</w:t>
      </w:r>
      <w:r w:rsidR="00B9151A" w:rsidRPr="00C060D8">
        <w:rPr>
          <w:rFonts w:ascii="Arial" w:hAnsi="Arial" w:cs="Arial"/>
          <w:b/>
          <w:sz w:val="28"/>
          <w:szCs w:val="28"/>
        </w:rPr>
        <w:t xml:space="preserve"> and </w:t>
      </w:r>
      <w:r w:rsidR="00D51B71" w:rsidRPr="00C060D8">
        <w:rPr>
          <w:rFonts w:ascii="Arial" w:hAnsi="Arial" w:cs="Arial"/>
          <w:b/>
          <w:sz w:val="28"/>
          <w:szCs w:val="28"/>
        </w:rPr>
        <w:t>maternal</w:t>
      </w:r>
      <w:r w:rsidR="00B9151A" w:rsidRPr="00C060D8">
        <w:rPr>
          <w:rFonts w:ascii="Arial" w:hAnsi="Arial" w:cs="Arial"/>
          <w:b/>
          <w:sz w:val="28"/>
          <w:szCs w:val="28"/>
        </w:rPr>
        <w:t xml:space="preserve"> age</w:t>
      </w:r>
      <w:bookmarkEnd w:id="21"/>
    </w:p>
    <w:p w14:paraId="2B2BD123" w14:textId="48D23C2E" w:rsidR="0034306B" w:rsidRDefault="00B9151A" w:rsidP="0034306B">
      <w:pPr>
        <w:pStyle w:val="NPESUbodytext"/>
        <w:rPr>
          <w:rFonts w:cs="Arial"/>
          <w:lang w:eastAsia="en-AU"/>
        </w:rPr>
      </w:pPr>
      <w:r w:rsidRPr="00C060D8">
        <w:rPr>
          <w:rFonts w:cs="Arial"/>
          <w:lang w:eastAsia="en-AU"/>
        </w:rPr>
        <w:t xml:space="preserve">Of the </w:t>
      </w:r>
      <w:r w:rsidR="00B6363B">
        <w:rPr>
          <w:rFonts w:cs="Arial"/>
          <w:lang w:eastAsia="en-AU"/>
        </w:rPr>
        <w:t>2,038</w:t>
      </w:r>
      <w:r w:rsidR="006646EC" w:rsidRPr="00C060D8">
        <w:rPr>
          <w:rFonts w:cs="Arial"/>
          <w:lang w:eastAsia="en-AU"/>
        </w:rPr>
        <w:t xml:space="preserve"> </w:t>
      </w:r>
      <w:r w:rsidR="00C736CE" w:rsidRPr="00C060D8">
        <w:rPr>
          <w:rFonts w:cs="Arial"/>
          <w:lang w:eastAsia="en-AU"/>
        </w:rPr>
        <w:t>births</w:t>
      </w:r>
      <w:r w:rsidRPr="00C060D8">
        <w:rPr>
          <w:rFonts w:cs="Arial"/>
          <w:lang w:eastAsia="en-AU"/>
        </w:rPr>
        <w:t xml:space="preserve"> following autologous and recipient cycles in 20</w:t>
      </w:r>
      <w:r w:rsidR="0085333E">
        <w:rPr>
          <w:rFonts w:cs="Arial"/>
          <w:lang w:eastAsia="en-AU"/>
        </w:rPr>
        <w:t>2</w:t>
      </w:r>
      <w:r w:rsidR="00B6363B">
        <w:rPr>
          <w:rFonts w:cs="Arial"/>
          <w:lang w:eastAsia="en-AU"/>
        </w:rPr>
        <w:t>1</w:t>
      </w:r>
      <w:r w:rsidRPr="00C060D8">
        <w:rPr>
          <w:rFonts w:cs="Arial"/>
          <w:lang w:eastAsia="en-AU"/>
        </w:rPr>
        <w:t xml:space="preserve">, </w:t>
      </w:r>
      <w:r w:rsidR="00177B08" w:rsidRPr="00C060D8">
        <w:rPr>
          <w:rFonts w:cs="Arial"/>
          <w:lang w:eastAsia="en-AU"/>
        </w:rPr>
        <w:t>1</w:t>
      </w:r>
      <w:r w:rsidR="00A56A8F" w:rsidRPr="00C060D8">
        <w:rPr>
          <w:rFonts w:cs="Arial"/>
          <w:lang w:eastAsia="en-AU"/>
        </w:rPr>
        <w:t>.</w:t>
      </w:r>
      <w:r w:rsidR="00B6363B">
        <w:rPr>
          <w:rFonts w:cs="Arial"/>
          <w:lang w:eastAsia="en-AU"/>
        </w:rPr>
        <w:t>8</w:t>
      </w:r>
      <w:r w:rsidRPr="00C060D8">
        <w:rPr>
          <w:rFonts w:cs="Arial"/>
          <w:lang w:eastAsia="en-AU"/>
        </w:rPr>
        <w:t xml:space="preserve">% were multiple gestation </w:t>
      </w:r>
      <w:r w:rsidR="00C736CE" w:rsidRPr="00C060D8">
        <w:rPr>
          <w:rFonts w:cs="Arial"/>
          <w:lang w:eastAsia="en-AU"/>
        </w:rPr>
        <w:t>births</w:t>
      </w:r>
      <w:r w:rsidRPr="00C060D8">
        <w:rPr>
          <w:rFonts w:cs="Arial"/>
          <w:lang w:eastAsia="en-AU"/>
        </w:rPr>
        <w:t xml:space="preserve">. The proportion of multiple gestation </w:t>
      </w:r>
      <w:r w:rsidR="00C736CE" w:rsidRPr="00C060D8">
        <w:rPr>
          <w:rFonts w:cs="Arial"/>
          <w:lang w:eastAsia="en-AU"/>
        </w:rPr>
        <w:t>births</w:t>
      </w:r>
      <w:r w:rsidRPr="00C060D8">
        <w:rPr>
          <w:rFonts w:cs="Arial"/>
          <w:lang w:eastAsia="en-AU"/>
        </w:rPr>
        <w:t xml:space="preserve"> was</w:t>
      </w:r>
      <w:r w:rsidR="00F96E1D" w:rsidRPr="00C060D8">
        <w:rPr>
          <w:rFonts w:cs="Arial"/>
          <w:lang w:eastAsia="en-AU"/>
        </w:rPr>
        <w:t xml:space="preserve"> </w:t>
      </w:r>
      <w:r w:rsidR="00F57826" w:rsidRPr="00C060D8">
        <w:rPr>
          <w:rFonts w:cs="Arial"/>
          <w:lang w:eastAsia="en-AU"/>
        </w:rPr>
        <w:t xml:space="preserve">less than </w:t>
      </w:r>
      <w:r w:rsidR="00B6363B">
        <w:rPr>
          <w:rFonts w:cs="Arial"/>
          <w:lang w:eastAsia="en-AU"/>
        </w:rPr>
        <w:t>3</w:t>
      </w:r>
      <w:r w:rsidR="00F57826" w:rsidRPr="00C060D8">
        <w:rPr>
          <w:rFonts w:cs="Arial"/>
          <w:lang w:eastAsia="en-AU"/>
        </w:rPr>
        <w:t>% in all age groups</w:t>
      </w:r>
      <w:r w:rsidRPr="00C060D8">
        <w:rPr>
          <w:rFonts w:cs="Arial"/>
          <w:lang w:eastAsia="en-AU"/>
        </w:rPr>
        <w:t>.</w:t>
      </w:r>
      <w:bookmarkStart w:id="22" w:name="_Hlk514848914"/>
      <w:bookmarkEnd w:id="15"/>
    </w:p>
    <w:p w14:paraId="2966F0E0" w14:textId="00F3FC89" w:rsidR="009303CD" w:rsidRPr="00360E75" w:rsidRDefault="009303CD" w:rsidP="00360E75">
      <w:pPr>
        <w:pStyle w:val="NPESUbodytext"/>
        <w:rPr>
          <w:rFonts w:eastAsiaTheme="minorHAnsi" w:cs="Arial"/>
          <w:b/>
          <w:sz w:val="28"/>
          <w:szCs w:val="28"/>
        </w:rPr>
      </w:pPr>
      <w:r w:rsidRPr="00360E75">
        <w:rPr>
          <w:rFonts w:eastAsiaTheme="minorHAnsi" w:cs="Arial"/>
          <w:b/>
          <w:sz w:val="28"/>
          <w:szCs w:val="28"/>
        </w:rPr>
        <w:t>Cumulative live birth rates</w:t>
      </w:r>
      <w:bookmarkEnd w:id="16"/>
    </w:p>
    <w:p w14:paraId="0AA8B283" w14:textId="3FD8F5D0" w:rsidR="009303CD" w:rsidRPr="00617599" w:rsidRDefault="009303CD" w:rsidP="00584635">
      <w:pPr>
        <w:pStyle w:val="NPESUbodytext"/>
        <w:sectPr w:rsidR="009303CD" w:rsidRPr="00617599" w:rsidSect="00C90966">
          <w:footerReference w:type="default" r:id="rId14"/>
          <w:headerReference w:type="first" r:id="rId15"/>
          <w:pgSz w:w="11906" w:h="16838"/>
          <w:pgMar w:top="1134" w:right="1440" w:bottom="1440" w:left="873" w:header="1134" w:footer="851" w:gutter="0"/>
          <w:pgNumType w:fmt="lowerRoman" w:start="1"/>
          <w:cols w:space="720"/>
          <w:titlePg/>
          <w:docGrid w:linePitch="286"/>
        </w:sectPr>
      </w:pPr>
      <w:r w:rsidRPr="003C7BF0">
        <w:rPr>
          <w:rFonts w:cs="Arial"/>
        </w:rPr>
        <w:t xml:space="preserve">ANZARD includes data items which make it possible to follow a woman from her first fresh ART treatment cycle through subsequent fresh and thaw </w:t>
      </w:r>
      <w:r w:rsidRPr="00F91E18">
        <w:rPr>
          <w:rFonts w:cs="Arial"/>
        </w:rPr>
        <w:t xml:space="preserve">cycles. There were </w:t>
      </w:r>
      <w:r w:rsidR="00285D1F">
        <w:rPr>
          <w:rFonts w:cs="Arial"/>
        </w:rPr>
        <w:t>1,958</w:t>
      </w:r>
      <w:r w:rsidRPr="00F91E18">
        <w:rPr>
          <w:rFonts w:cs="Arial"/>
        </w:rPr>
        <w:t xml:space="preserve"> women identified as having their first fresh autologous cycle in </w:t>
      </w:r>
      <w:r w:rsidR="00C431E5">
        <w:rPr>
          <w:rFonts w:cs="Arial"/>
        </w:rPr>
        <w:t>201</w:t>
      </w:r>
      <w:r w:rsidR="00285D1F">
        <w:rPr>
          <w:rFonts w:cs="Arial"/>
        </w:rPr>
        <w:t>9</w:t>
      </w:r>
      <w:r w:rsidRPr="00F91E18">
        <w:rPr>
          <w:rFonts w:cs="Arial"/>
        </w:rPr>
        <w:t xml:space="preserve">. These women were followed through their subsequent fresh and thaw cycles until 31st December </w:t>
      </w:r>
      <w:r w:rsidR="00C431E5">
        <w:rPr>
          <w:rFonts w:cs="Arial"/>
        </w:rPr>
        <w:t>202</w:t>
      </w:r>
      <w:r w:rsidR="00285D1F">
        <w:rPr>
          <w:rFonts w:cs="Arial"/>
        </w:rPr>
        <w:t>1</w:t>
      </w:r>
      <w:r w:rsidR="00C431E5" w:rsidRPr="00F91E18">
        <w:rPr>
          <w:rFonts w:cs="Arial"/>
        </w:rPr>
        <w:t xml:space="preserve"> </w:t>
      </w:r>
      <w:r w:rsidRPr="00F91E18">
        <w:rPr>
          <w:rFonts w:cs="Arial"/>
        </w:rPr>
        <w:t xml:space="preserve">or until they achieved a live </w:t>
      </w:r>
      <w:r w:rsidR="00EC42AE" w:rsidRPr="00F91E18">
        <w:rPr>
          <w:rFonts w:cs="Arial"/>
        </w:rPr>
        <w:t>birth</w:t>
      </w:r>
      <w:r w:rsidR="00177B08" w:rsidRPr="00F91E18">
        <w:rPr>
          <w:rFonts w:cs="Arial"/>
        </w:rPr>
        <w:t xml:space="preserve"> (up to October </w:t>
      </w:r>
      <w:r w:rsidR="00C431E5">
        <w:rPr>
          <w:rFonts w:cs="Arial"/>
        </w:rPr>
        <w:t>202</w:t>
      </w:r>
      <w:r w:rsidR="00285D1F">
        <w:rPr>
          <w:rFonts w:cs="Arial"/>
        </w:rPr>
        <w:t>2</w:t>
      </w:r>
      <w:r w:rsidR="00177B08" w:rsidRPr="00F91E18">
        <w:rPr>
          <w:rFonts w:cs="Arial"/>
        </w:rPr>
        <w:t>)</w:t>
      </w:r>
      <w:r w:rsidRPr="00F91E18">
        <w:rPr>
          <w:rFonts w:cs="Arial"/>
        </w:rPr>
        <w:t xml:space="preserve">. For women identified in this cohort, the cumulative live </w:t>
      </w:r>
      <w:r w:rsidR="00EC42AE" w:rsidRPr="00F91E18">
        <w:rPr>
          <w:rFonts w:cs="Arial"/>
        </w:rPr>
        <w:t>birth</w:t>
      </w:r>
      <w:r w:rsidRPr="00F91E18">
        <w:rPr>
          <w:rFonts w:cs="Arial"/>
        </w:rPr>
        <w:t xml:space="preserve"> rate was </w:t>
      </w:r>
      <w:r w:rsidR="00285D1F">
        <w:rPr>
          <w:rFonts w:cs="Arial"/>
        </w:rPr>
        <w:t>30.4</w:t>
      </w:r>
      <w:r w:rsidRPr="00F91E18">
        <w:rPr>
          <w:rFonts w:cs="Arial"/>
        </w:rPr>
        <w:t xml:space="preserve">% after the first cycle, increasing to </w:t>
      </w:r>
      <w:r w:rsidR="00285D1F">
        <w:rPr>
          <w:rFonts w:cs="Arial"/>
        </w:rPr>
        <w:t>46.0</w:t>
      </w:r>
      <w:r w:rsidRPr="00F91E18">
        <w:rPr>
          <w:rFonts w:cs="Arial"/>
        </w:rPr>
        <w:t xml:space="preserve">% after two cycles, </w:t>
      </w:r>
      <w:r w:rsidR="00285D1F">
        <w:rPr>
          <w:rFonts w:cs="Arial"/>
        </w:rPr>
        <w:t>53.1</w:t>
      </w:r>
      <w:r w:rsidRPr="00F91E18">
        <w:rPr>
          <w:rFonts w:cs="Arial"/>
        </w:rPr>
        <w:t xml:space="preserve">% after three cycles, </w:t>
      </w:r>
      <w:r w:rsidR="00285D1F">
        <w:rPr>
          <w:rFonts w:cs="Arial"/>
        </w:rPr>
        <w:t>56.9</w:t>
      </w:r>
      <w:r w:rsidRPr="00F91E18">
        <w:rPr>
          <w:rFonts w:cs="Arial"/>
        </w:rPr>
        <w:t xml:space="preserve">% after four cycles and </w:t>
      </w:r>
      <w:r w:rsidR="00285D1F">
        <w:rPr>
          <w:rFonts w:cs="Arial"/>
        </w:rPr>
        <w:t>59.4</w:t>
      </w:r>
      <w:r w:rsidRPr="00F91E18">
        <w:rPr>
          <w:rFonts w:cs="Arial"/>
        </w:rPr>
        <w:t>% after five cycles</w:t>
      </w:r>
      <w:r w:rsidR="00FB0275" w:rsidRPr="00F91E18">
        <w:rPr>
          <w:rFonts w:cs="Arial"/>
        </w:rPr>
        <w:t>.</w:t>
      </w:r>
      <w:bookmarkEnd w:id="22"/>
    </w:p>
    <w:p w14:paraId="04D4F82D" w14:textId="77777777" w:rsidR="009303CD" w:rsidRPr="00617599" w:rsidRDefault="009303CD" w:rsidP="00814AD1">
      <w:pPr>
        <w:pStyle w:val="Heading1"/>
        <w:numPr>
          <w:ilvl w:val="0"/>
          <w:numId w:val="3"/>
        </w:numPr>
        <w:ind w:left="851" w:hanging="491"/>
        <w:rPr>
          <w:rFonts w:cs="Arial"/>
        </w:rPr>
      </w:pPr>
      <w:bookmarkStart w:id="23" w:name="_Toc453054822"/>
      <w:bookmarkStart w:id="24" w:name="_Toc452112612"/>
      <w:bookmarkStart w:id="25" w:name="_Toc283039451"/>
      <w:bookmarkStart w:id="26" w:name="_Toc159568718"/>
      <w:r w:rsidRPr="00617599">
        <w:rPr>
          <w:rFonts w:cs="Arial"/>
        </w:rPr>
        <w:lastRenderedPageBreak/>
        <w:t>Introduction</w:t>
      </w:r>
      <w:bookmarkEnd w:id="23"/>
      <w:bookmarkEnd w:id="24"/>
      <w:bookmarkEnd w:id="25"/>
      <w:bookmarkEnd w:id="26"/>
    </w:p>
    <w:p w14:paraId="79418CBE" w14:textId="10E483B0" w:rsidR="009303CD" w:rsidRPr="00332B2F" w:rsidRDefault="00DE0E42" w:rsidP="009303CD">
      <w:pPr>
        <w:pStyle w:val="AIHWbodytext"/>
        <w:rPr>
          <w:rFonts w:cs="Arial"/>
          <w:color w:val="auto"/>
        </w:rPr>
      </w:pPr>
      <w:bookmarkStart w:id="27" w:name="_Toc421692528"/>
      <w:bookmarkStart w:id="28" w:name="_Toc389646234"/>
      <w:bookmarkStart w:id="29" w:name="_Toc389646044"/>
      <w:bookmarkStart w:id="30" w:name="_Toc340648590"/>
      <w:bookmarkStart w:id="31" w:name="_Toc340571534"/>
      <w:bookmarkStart w:id="32" w:name="_Toc340497599"/>
      <w:bookmarkStart w:id="33" w:name="_Toc340225626"/>
      <w:bookmarkStart w:id="34" w:name="_Toc340224045"/>
      <w:bookmarkStart w:id="35" w:name="_Toc340223977"/>
      <w:bookmarkStart w:id="36" w:name="_Toc338150814"/>
      <w:bookmarkStart w:id="37" w:name="_Toc335985242"/>
      <w:bookmarkStart w:id="38" w:name="_Toc335985086"/>
      <w:bookmarkStart w:id="39" w:name="_Toc333226652"/>
      <w:bookmarkStart w:id="40" w:name="_Toc330404309"/>
      <w:bookmarkStart w:id="41" w:name="_Toc327282222"/>
      <w:bookmarkStart w:id="42" w:name="_Toc305580582"/>
      <w:bookmarkStart w:id="43" w:name="_Toc301259237"/>
      <w:bookmarkStart w:id="44" w:name="_Toc301251738"/>
      <w:bookmarkStart w:id="45" w:name="_Toc300481037"/>
      <w:bookmarkStart w:id="46" w:name="_Toc300236305"/>
      <w:bookmarkStart w:id="47" w:name="_Toc300234459"/>
      <w:bookmarkStart w:id="48" w:name="_Toc300143867"/>
      <w:bookmarkStart w:id="49" w:name="_Toc297042038"/>
      <w:bookmarkStart w:id="50" w:name="_Toc296951843"/>
      <w:bookmarkStart w:id="51" w:name="_Toc296692867"/>
      <w:bookmarkStart w:id="52" w:name="_Toc268079474"/>
      <w:bookmarkStart w:id="53" w:name="_Toc263854063"/>
      <w:bookmarkStart w:id="54" w:name="_Toc263242426"/>
      <w:bookmarkStart w:id="55" w:name="_Toc236735673"/>
      <w:bookmarkStart w:id="56" w:name="_Toc236732898"/>
      <w:bookmarkStart w:id="57" w:name="_Toc236712449"/>
      <w:bookmarkStart w:id="58" w:name="_Toc236562274"/>
      <w:bookmarkStart w:id="59" w:name="_Toc236544150"/>
      <w:bookmarkStart w:id="60" w:name="_Toc233600466"/>
      <w:bookmarkStart w:id="61" w:name="_Toc233520794"/>
      <w:bookmarkStart w:id="62" w:name="_Toc233452467"/>
      <w:bookmarkStart w:id="63" w:name="_Toc233440865"/>
      <w:r>
        <w:rPr>
          <w:rFonts w:cs="Arial"/>
          <w:color w:val="auto"/>
        </w:rPr>
        <w:t xml:space="preserve">Estimates suggest that approximately one in six people of reproductive age experience infertility in their lifetime </w:t>
      </w:r>
      <w:r w:rsidR="009303CD" w:rsidRPr="00332B2F">
        <w:rPr>
          <w:rFonts w:cs="Arial"/>
          <w:color w:val="auto"/>
        </w:rPr>
        <w:t>(</w:t>
      </w:r>
      <w:r w:rsidR="00332B2F">
        <w:rPr>
          <w:rFonts w:cs="Arial"/>
          <w:color w:val="auto"/>
        </w:rPr>
        <w:t>World Health Organi</w:t>
      </w:r>
      <w:r w:rsidR="007E4225">
        <w:rPr>
          <w:rFonts w:cs="Arial"/>
          <w:color w:val="auto"/>
        </w:rPr>
        <w:t>z</w:t>
      </w:r>
      <w:r w:rsidR="00332B2F">
        <w:rPr>
          <w:rFonts w:cs="Arial"/>
          <w:color w:val="auto"/>
        </w:rPr>
        <w:t>ation, 20</w:t>
      </w:r>
      <w:r>
        <w:rPr>
          <w:rFonts w:cs="Arial"/>
          <w:color w:val="auto"/>
        </w:rPr>
        <w:t>23</w:t>
      </w:r>
      <w:r w:rsidR="009303CD" w:rsidRPr="00332B2F">
        <w:rPr>
          <w:rFonts w:cs="Arial"/>
          <w:color w:val="auto"/>
        </w:rPr>
        <w:t>). The common medical definition of ‘infertility’ is the failure to achieve a clinical pregnancy after 12 or more months of regular unprotected sexual intercourse (Zegers-Hochschild et al. 20</w:t>
      </w:r>
      <w:r w:rsidR="00E16051">
        <w:rPr>
          <w:rFonts w:cs="Arial"/>
          <w:color w:val="auto"/>
        </w:rPr>
        <w:t>17</w:t>
      </w:r>
      <w:r w:rsidR="009303CD" w:rsidRPr="00332B2F">
        <w:rPr>
          <w:rFonts w:cs="Arial"/>
          <w:color w:val="auto"/>
        </w:rPr>
        <w:t xml:space="preserve">). Infertility is increasingly being overcome through advancements in fertility treatment, </w:t>
      </w:r>
      <w:r w:rsidR="0087533F">
        <w:rPr>
          <w:rFonts w:cs="Arial"/>
          <w:color w:val="auto"/>
        </w:rPr>
        <w:t xml:space="preserve">such as </w:t>
      </w:r>
      <w:r w:rsidR="009303CD" w:rsidRPr="00332B2F">
        <w:rPr>
          <w:rFonts w:cs="Arial"/>
          <w:color w:val="auto"/>
        </w:rPr>
        <w:t xml:space="preserve">assisted reproductive technologies (ARTs). ARTs have evolved over the last </w:t>
      </w:r>
      <w:r w:rsidR="0026421C">
        <w:rPr>
          <w:rFonts w:cs="Arial"/>
          <w:color w:val="auto"/>
        </w:rPr>
        <w:t>four</w:t>
      </w:r>
      <w:r w:rsidR="0026421C" w:rsidRPr="00332B2F">
        <w:rPr>
          <w:rFonts w:cs="Arial"/>
          <w:color w:val="auto"/>
        </w:rPr>
        <w:t xml:space="preserve"> </w:t>
      </w:r>
      <w:r w:rsidR="009303CD" w:rsidRPr="00332B2F">
        <w:rPr>
          <w:rFonts w:cs="Arial"/>
          <w:color w:val="auto"/>
        </w:rPr>
        <w:t xml:space="preserve">decades into a suite of mainstream medical interventions that have resulted in the birth of more than </w:t>
      </w:r>
      <w:r w:rsidR="00FA6E3F">
        <w:rPr>
          <w:rFonts w:cs="Arial"/>
          <w:color w:val="auto"/>
        </w:rPr>
        <w:t>10</w:t>
      </w:r>
      <w:r w:rsidR="0026421C" w:rsidRPr="00332B2F">
        <w:rPr>
          <w:rFonts w:cs="Arial"/>
          <w:color w:val="auto"/>
        </w:rPr>
        <w:t xml:space="preserve"> </w:t>
      </w:r>
      <w:r w:rsidR="009303CD" w:rsidRPr="00332B2F">
        <w:rPr>
          <w:rFonts w:cs="Arial"/>
          <w:color w:val="auto"/>
        </w:rPr>
        <w:t>million children worldwide (ESHRE,</w:t>
      </w:r>
      <w:r w:rsidR="00772356">
        <w:rPr>
          <w:rFonts w:cs="Arial"/>
          <w:color w:val="auto"/>
        </w:rPr>
        <w:t xml:space="preserve"> n.d.</w:t>
      </w:r>
      <w:r w:rsidR="009303CD" w:rsidRPr="00332B2F">
        <w:rPr>
          <w:rFonts w:cs="Arial"/>
          <w:color w:val="auto"/>
        </w:rPr>
        <w:t>).</w:t>
      </w:r>
    </w:p>
    <w:p w14:paraId="62C15047" w14:textId="7CB92169" w:rsidR="009303CD" w:rsidRPr="00332B2F" w:rsidRDefault="009303CD" w:rsidP="009303CD">
      <w:pPr>
        <w:pStyle w:val="AIHWbodytext"/>
        <w:rPr>
          <w:rFonts w:cs="Arial"/>
          <w:color w:val="auto"/>
        </w:rPr>
      </w:pPr>
      <w:r w:rsidRPr="00332B2F">
        <w:rPr>
          <w:rFonts w:cs="Arial"/>
          <w:color w:val="auto"/>
        </w:rPr>
        <w:t>The purpose of this annual report is to inform clinicians, researchers, government</w:t>
      </w:r>
      <w:r w:rsidR="007D25D0">
        <w:rPr>
          <w:rFonts w:cs="Arial"/>
          <w:color w:val="auto"/>
        </w:rPr>
        <w:t>,</w:t>
      </w:r>
      <w:r w:rsidRPr="00332B2F">
        <w:rPr>
          <w:rFonts w:cs="Arial"/>
          <w:color w:val="auto"/>
        </w:rPr>
        <w:t xml:space="preserve"> </w:t>
      </w:r>
      <w:r w:rsidR="00772356">
        <w:rPr>
          <w:rFonts w:cs="Arial"/>
          <w:color w:val="auto"/>
        </w:rPr>
        <w:t xml:space="preserve">patients </w:t>
      </w:r>
      <w:r w:rsidRPr="00332B2F">
        <w:rPr>
          <w:rFonts w:cs="Arial"/>
          <w:color w:val="auto"/>
        </w:rPr>
        <w:t>and the community about ART treatment and the resulting pregnancy and birth outcomes; to provide ongoing monitoring of ART treatment practices, success rates</w:t>
      </w:r>
      <w:r w:rsidR="007D25D0">
        <w:rPr>
          <w:rFonts w:cs="Arial"/>
          <w:color w:val="auto"/>
        </w:rPr>
        <w:t>,</w:t>
      </w:r>
      <w:r w:rsidRPr="00332B2F">
        <w:rPr>
          <w:rFonts w:cs="Arial"/>
          <w:color w:val="auto"/>
        </w:rPr>
        <w:t xml:space="preserve"> and perinatal outcomes</w:t>
      </w:r>
      <w:r w:rsidR="00F1770E">
        <w:rPr>
          <w:rFonts w:cs="Arial"/>
          <w:color w:val="auto"/>
        </w:rPr>
        <w:t>;</w:t>
      </w:r>
      <w:r w:rsidRPr="00332B2F">
        <w:rPr>
          <w:rFonts w:cs="Arial"/>
          <w:color w:val="auto"/>
        </w:rPr>
        <w:t xml:space="preserve"> and to </w:t>
      </w:r>
      <w:r w:rsidR="0087533F">
        <w:rPr>
          <w:rFonts w:cs="Arial"/>
          <w:color w:val="auto"/>
        </w:rPr>
        <w:t>facilitate</w:t>
      </w:r>
      <w:r w:rsidRPr="00332B2F">
        <w:rPr>
          <w:rFonts w:cs="Arial"/>
          <w:color w:val="auto"/>
        </w:rPr>
        <w:t xml:space="preserve"> national and international comparisons.</w:t>
      </w:r>
    </w:p>
    <w:p w14:paraId="2D31AC5B" w14:textId="24FCE142" w:rsidR="009303CD" w:rsidRDefault="009303CD" w:rsidP="009303CD">
      <w:pPr>
        <w:pStyle w:val="AIHWbodytext"/>
        <w:rPr>
          <w:rFonts w:cs="Arial"/>
          <w:color w:val="auto"/>
          <w:szCs w:val="22"/>
          <w:lang w:eastAsia="en-AU"/>
        </w:rPr>
      </w:pPr>
      <w:r w:rsidRPr="00332B2F">
        <w:rPr>
          <w:rFonts w:cs="Arial"/>
          <w:color w:val="auto"/>
          <w:szCs w:val="22"/>
          <w:lang w:eastAsia="en-AU"/>
        </w:rPr>
        <w:t>The Fertility Society of Australia</w:t>
      </w:r>
      <w:r w:rsidR="00E12571">
        <w:rPr>
          <w:rFonts w:cs="Arial"/>
          <w:color w:val="auto"/>
          <w:szCs w:val="22"/>
          <w:lang w:eastAsia="en-AU"/>
        </w:rPr>
        <w:t xml:space="preserve"> and New Zealand</w:t>
      </w:r>
      <w:r w:rsidRPr="00332B2F">
        <w:rPr>
          <w:rFonts w:cs="Arial"/>
          <w:color w:val="auto"/>
          <w:szCs w:val="22"/>
          <w:lang w:eastAsia="en-AU"/>
        </w:rPr>
        <w:t xml:space="preserve"> (FSA</w:t>
      </w:r>
      <w:r w:rsidR="00E12571">
        <w:rPr>
          <w:rFonts w:cs="Arial"/>
          <w:color w:val="auto"/>
          <w:szCs w:val="22"/>
          <w:lang w:eastAsia="en-AU"/>
        </w:rPr>
        <w:t>NZ</w:t>
      </w:r>
      <w:r w:rsidRPr="00332B2F">
        <w:rPr>
          <w:rFonts w:cs="Arial"/>
          <w:color w:val="auto"/>
          <w:szCs w:val="22"/>
          <w:lang w:eastAsia="en-AU"/>
        </w:rPr>
        <w:t xml:space="preserve">), in collaboration with the University of New South Wales (UNSW), </w:t>
      </w:r>
      <w:r w:rsidR="001D184A">
        <w:rPr>
          <w:rFonts w:cs="Arial"/>
          <w:color w:val="auto"/>
          <w:szCs w:val="22"/>
          <w:lang w:eastAsia="en-AU"/>
        </w:rPr>
        <w:t>are</w:t>
      </w:r>
      <w:r w:rsidRPr="00332B2F">
        <w:rPr>
          <w:rFonts w:cs="Arial"/>
          <w:color w:val="auto"/>
          <w:szCs w:val="22"/>
          <w:lang w:eastAsia="en-AU"/>
        </w:rPr>
        <w:t xml:space="preserve"> committed to providing informative annual statistics on ART treatments and is pleased to present the annual report</w:t>
      </w:r>
      <w:r w:rsidR="00772356">
        <w:rPr>
          <w:rFonts w:cs="Arial"/>
          <w:color w:val="auto"/>
          <w:szCs w:val="22"/>
          <w:lang w:eastAsia="en-AU"/>
        </w:rPr>
        <w:t xml:space="preserve"> </w:t>
      </w:r>
      <w:r w:rsidRPr="00332B2F">
        <w:rPr>
          <w:rFonts w:cs="Arial"/>
          <w:color w:val="auto"/>
          <w:szCs w:val="22"/>
          <w:lang w:eastAsia="en-AU"/>
        </w:rPr>
        <w:t xml:space="preserve">on the use of ART in New Zealand in </w:t>
      </w:r>
      <w:r w:rsidR="002C669F">
        <w:rPr>
          <w:rFonts w:cs="Arial"/>
          <w:color w:val="auto"/>
          <w:szCs w:val="22"/>
          <w:lang w:eastAsia="en-AU"/>
        </w:rPr>
        <w:t>20</w:t>
      </w:r>
      <w:r w:rsidR="00C03A13">
        <w:rPr>
          <w:rFonts w:cs="Arial"/>
          <w:color w:val="auto"/>
          <w:szCs w:val="22"/>
          <w:lang w:eastAsia="en-AU"/>
        </w:rPr>
        <w:t>2</w:t>
      </w:r>
      <w:r w:rsidR="00B6363B">
        <w:rPr>
          <w:rFonts w:cs="Arial"/>
          <w:color w:val="auto"/>
          <w:szCs w:val="22"/>
          <w:lang w:eastAsia="en-AU"/>
        </w:rPr>
        <w:t>1</w:t>
      </w:r>
      <w:r w:rsidRPr="00332B2F">
        <w:rPr>
          <w:rFonts w:cs="Arial"/>
          <w:color w:val="auto"/>
          <w:szCs w:val="22"/>
          <w:lang w:eastAsia="en-AU"/>
        </w:rPr>
        <w:t xml:space="preserve">. </w:t>
      </w:r>
    </w:p>
    <w:p w14:paraId="7D604C48" w14:textId="77777777" w:rsidR="00CA31FB" w:rsidRPr="00332B2F" w:rsidRDefault="00CA31FB" w:rsidP="009303CD">
      <w:pPr>
        <w:pStyle w:val="AIHWbodytext"/>
        <w:rPr>
          <w:rFonts w:cs="Arial"/>
          <w:color w:val="auto"/>
          <w:szCs w:val="22"/>
          <w:lang w:eastAsia="en-AU"/>
        </w:rPr>
      </w:pPr>
    </w:p>
    <w:p w14:paraId="65ADDC7F" w14:textId="77777777" w:rsidR="009303CD" w:rsidRPr="00360E75" w:rsidRDefault="009303CD" w:rsidP="00360E75">
      <w:pPr>
        <w:spacing w:before="60" w:after="120" w:line="260" w:lineRule="atLeast"/>
        <w:rPr>
          <w:rFonts w:ascii="Arial" w:hAnsi="Arial" w:cs="Arial"/>
          <w:b/>
          <w:sz w:val="36"/>
          <w:szCs w:val="36"/>
        </w:rPr>
      </w:pPr>
      <w:bookmarkStart w:id="64" w:name="_Toc453061453"/>
      <w:bookmarkStart w:id="65" w:name="_Toc453054823"/>
      <w:bookmarkStart w:id="66" w:name="_Toc422408378"/>
      <w:bookmarkStart w:id="67" w:name="_Toc422220193"/>
      <w:bookmarkStart w:id="68" w:name="_Toc421699692"/>
      <w:bookmarkStart w:id="69" w:name="_Toc398882998"/>
      <w:bookmarkStart w:id="70" w:name="_Toc398733469"/>
      <w:bookmarkStart w:id="71" w:name="_Toc394403750"/>
      <w:bookmarkStart w:id="72" w:name="_Toc364327977"/>
      <w:bookmarkStart w:id="73" w:name="_Toc364084071"/>
      <w:bookmarkStart w:id="74" w:name="_Toc362443905"/>
      <w:bookmarkStart w:id="75" w:name="_Toc362443837"/>
      <w:bookmarkStart w:id="76" w:name="_Toc360712818"/>
      <w:bookmarkStart w:id="77" w:name="_Toc359179047"/>
      <w:bookmarkStart w:id="78" w:name="_Toc359178973"/>
      <w:bookmarkStart w:id="79" w:name="_Toc358813441"/>
      <w:bookmarkStart w:id="80" w:name="_Toc358381637"/>
      <w:bookmarkStart w:id="81" w:name="_Toc358380548"/>
      <w:bookmarkStart w:id="82" w:name="_Toc358205696"/>
      <w:bookmarkStart w:id="83" w:name="_Toc335985245"/>
      <w:bookmarkStart w:id="84" w:name="_Toc335985089"/>
      <w:bookmarkStart w:id="85" w:name="_Toc333226654"/>
      <w:bookmarkStart w:id="86" w:name="_Toc330404311"/>
      <w:bookmarkStart w:id="87" w:name="_Toc327282224"/>
      <w:bookmarkStart w:id="88" w:name="_Toc305580585"/>
      <w:bookmarkStart w:id="89" w:name="_Toc301259240"/>
      <w:bookmarkStart w:id="90" w:name="_Toc301251741"/>
      <w:bookmarkStart w:id="91" w:name="_Toc300481040"/>
      <w:bookmarkStart w:id="92" w:name="_Toc300236308"/>
      <w:bookmarkStart w:id="93" w:name="_Toc300234462"/>
      <w:bookmarkStart w:id="94" w:name="_Toc300143870"/>
      <w:bookmarkStart w:id="95" w:name="_Toc297042041"/>
      <w:bookmarkStart w:id="96" w:name="_Toc296951846"/>
      <w:bookmarkStart w:id="97" w:name="_Toc296692870"/>
      <w:bookmarkStart w:id="98" w:name="_Toc268079477"/>
      <w:bookmarkStart w:id="99" w:name="_Toc263854066"/>
      <w:bookmarkStart w:id="100" w:name="_Toc263242429"/>
      <w:bookmarkStart w:id="101" w:name="_Toc236735676"/>
      <w:bookmarkStart w:id="102" w:name="_Toc236732901"/>
      <w:bookmarkStart w:id="103" w:name="_Toc236712452"/>
      <w:bookmarkStart w:id="104" w:name="_Toc236562277"/>
      <w:bookmarkStart w:id="105" w:name="_Toc236544153"/>
      <w:bookmarkStart w:id="106" w:name="_Toc233600469"/>
      <w:bookmarkStart w:id="107" w:name="_Toc233520797"/>
      <w:bookmarkStart w:id="108" w:name="_Toc233452470"/>
      <w:bookmarkStart w:id="109" w:name="_Toc233440868"/>
      <w:bookmarkStart w:id="110" w:name="_Toc199757376"/>
      <w:bookmarkStart w:id="111" w:name="_Toc199757056"/>
      <w:bookmarkStart w:id="112" w:name="_Toc198457660"/>
      <w:bookmarkStart w:id="113" w:name="_Toc198011890"/>
      <w:bookmarkStart w:id="114" w:name="_Toc176968952"/>
      <w:bookmarkStart w:id="115" w:name="_Toc176946980"/>
      <w:bookmarkStart w:id="116" w:name="_Toc176934293"/>
      <w:bookmarkStart w:id="117" w:name="_Toc176341931"/>
      <w:bookmarkStart w:id="118" w:name="_Toc176334611"/>
      <w:bookmarkStart w:id="119" w:name="_Toc175992472"/>
      <w:bookmarkStart w:id="120" w:name="_Toc175984168"/>
      <w:bookmarkStart w:id="121" w:name="_Toc175984105"/>
      <w:bookmarkStart w:id="122" w:name="_Toc174779387"/>
      <w:bookmarkStart w:id="123" w:name="_Toc174344083"/>
      <w:bookmarkStart w:id="124" w:name="_Toc174181120"/>
      <w:bookmarkStart w:id="125" w:name="_Toc174163277"/>
      <w:bookmarkStart w:id="126" w:name="_Toc174163178"/>
      <w:bookmarkStart w:id="127" w:name="_Toc174162954"/>
      <w:bookmarkStart w:id="128" w:name="_Toc173827230"/>
      <w:bookmarkStart w:id="129" w:name="_Toc170017032"/>
      <w:bookmarkStart w:id="130" w:name="_Toc170016953"/>
      <w:bookmarkStart w:id="131" w:name="_Toc170016905"/>
      <w:bookmarkStart w:id="132" w:name="_Toc167079119"/>
      <w:bookmarkStart w:id="133" w:name="_Toc167076246"/>
      <w:bookmarkStart w:id="134" w:name="_Toc150837793"/>
      <w:bookmarkStart w:id="135" w:name="_Toc150837613"/>
      <w:bookmarkStart w:id="136" w:name="_Toc150837093"/>
      <w:bookmarkStart w:id="137" w:name="_Toc150829300"/>
      <w:bookmarkStart w:id="138" w:name="_Toc150052829"/>
      <w:bookmarkStart w:id="139" w:name="_Toc149632692"/>
      <w:bookmarkStart w:id="140" w:name="_Toc149388731"/>
      <w:bookmarkStart w:id="141" w:name="_Toc149131410"/>
      <w:r w:rsidRPr="00360E75">
        <w:rPr>
          <w:rFonts w:ascii="Arial" w:hAnsi="Arial" w:cs="Arial"/>
          <w:b/>
          <w:sz w:val="36"/>
          <w:szCs w:val="36"/>
        </w:rPr>
        <w:t>Treatments covered in this report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9F0F23D" w14:textId="1A7C28E3" w:rsidR="009303CD" w:rsidRPr="00332B2F" w:rsidRDefault="009303CD" w:rsidP="009303CD">
      <w:pPr>
        <w:pStyle w:val="AIHWbodytext"/>
        <w:rPr>
          <w:rFonts w:cs="Arial"/>
          <w:color w:val="auto"/>
        </w:rPr>
      </w:pPr>
      <w:r w:rsidRPr="00332B2F">
        <w:rPr>
          <w:rFonts w:cs="Arial"/>
          <w:color w:val="auto"/>
        </w:rPr>
        <w:t xml:space="preserve">ART is a group of procedures that involve the </w:t>
      </w:r>
      <w:r w:rsidRPr="00332B2F">
        <w:rPr>
          <w:rFonts w:cs="Arial"/>
          <w:i/>
          <w:color w:val="auto"/>
        </w:rPr>
        <w:t>in</w:t>
      </w:r>
      <w:r w:rsidR="00FB0275">
        <w:rPr>
          <w:rFonts w:cs="Arial"/>
          <w:i/>
          <w:color w:val="auto"/>
        </w:rPr>
        <w:t xml:space="preserve"> </w:t>
      </w:r>
      <w:r w:rsidRPr="00332B2F">
        <w:rPr>
          <w:rFonts w:cs="Arial"/>
          <w:i/>
          <w:color w:val="auto"/>
        </w:rPr>
        <w:t>vitro</w:t>
      </w:r>
      <w:r w:rsidRPr="00332B2F">
        <w:rPr>
          <w:rFonts w:cs="Arial"/>
          <w:color w:val="auto"/>
        </w:rPr>
        <w:t xml:space="preserve"> (outside of body) handling of human oocytes (eggs) and sperm or embryos for the purposes of establishing a pregnancy (Zegers-Hochschild et al. 20</w:t>
      </w:r>
      <w:r w:rsidR="0026421C">
        <w:rPr>
          <w:rFonts w:cs="Arial"/>
          <w:color w:val="auto"/>
        </w:rPr>
        <w:t>17</w:t>
      </w:r>
      <w:r w:rsidRPr="00332B2F">
        <w:rPr>
          <w:rFonts w:cs="Arial"/>
          <w:color w:val="auto"/>
        </w:rPr>
        <w:t xml:space="preserve">). A typical fresh </w:t>
      </w:r>
      <w:r w:rsidRPr="00E217FF">
        <w:rPr>
          <w:rFonts w:cs="Arial"/>
          <w:i/>
          <w:iCs/>
          <w:color w:val="auto"/>
        </w:rPr>
        <w:t>in vitro</w:t>
      </w:r>
      <w:r w:rsidRPr="00332B2F">
        <w:rPr>
          <w:rFonts w:cs="Arial"/>
          <w:color w:val="auto"/>
        </w:rPr>
        <w:t xml:space="preserve"> fertilisation (IVF) cycle involves the following five steps:</w:t>
      </w:r>
    </w:p>
    <w:p w14:paraId="0B8A02E7" w14:textId="47761464" w:rsidR="009303CD" w:rsidRPr="00332B2F" w:rsidRDefault="00555651" w:rsidP="00814AD1">
      <w:pPr>
        <w:pStyle w:val="Bullet1"/>
        <w:numPr>
          <w:ilvl w:val="0"/>
          <w:numId w:val="4"/>
        </w:numPr>
        <w:spacing w:after="40"/>
        <w:rPr>
          <w:rFonts w:cs="Arial"/>
        </w:rPr>
      </w:pPr>
      <w:r>
        <w:rPr>
          <w:rFonts w:cs="Arial"/>
        </w:rPr>
        <w:t>C</w:t>
      </w:r>
      <w:r w:rsidR="009303CD" w:rsidRPr="00332B2F">
        <w:rPr>
          <w:rFonts w:cs="Arial"/>
        </w:rPr>
        <w:t>ontrolled ovarian hyperstimulation during which an ovarian stimulation regimen, typically using follicle stimulating hormone (FSH)</w:t>
      </w:r>
      <w:r>
        <w:rPr>
          <w:rFonts w:cs="Arial"/>
        </w:rPr>
        <w:t xml:space="preserve"> or gonadotrophins</w:t>
      </w:r>
      <w:r w:rsidR="009303CD" w:rsidRPr="00332B2F">
        <w:rPr>
          <w:rFonts w:cs="Arial"/>
        </w:rPr>
        <w:t>, is administered to a woman over a</w:t>
      </w:r>
      <w:r w:rsidR="0087533F">
        <w:rPr>
          <w:rFonts w:cs="Arial"/>
        </w:rPr>
        <w:t xml:space="preserve"> </w:t>
      </w:r>
      <w:r w:rsidR="009303CD" w:rsidRPr="00332B2F">
        <w:rPr>
          <w:rFonts w:cs="Arial"/>
        </w:rPr>
        <w:t xml:space="preserve">number of days to induce the maturation of multiple oocytes </w:t>
      </w:r>
      <w:r>
        <w:rPr>
          <w:rFonts w:cs="Arial"/>
        </w:rPr>
        <w:t>(eggs).</w:t>
      </w:r>
    </w:p>
    <w:p w14:paraId="489E0B3E" w14:textId="17F90C15" w:rsidR="009303CD" w:rsidRPr="00332B2F" w:rsidRDefault="00555651" w:rsidP="00814AD1">
      <w:pPr>
        <w:pStyle w:val="Bullet1"/>
        <w:numPr>
          <w:ilvl w:val="0"/>
          <w:numId w:val="4"/>
        </w:numPr>
        <w:spacing w:after="40"/>
        <w:rPr>
          <w:rFonts w:cs="Arial"/>
        </w:rPr>
      </w:pPr>
      <w:r>
        <w:rPr>
          <w:rFonts w:cs="Arial"/>
        </w:rPr>
        <w:t>O</w:t>
      </w:r>
      <w:r w:rsidR="009303CD" w:rsidRPr="00332B2F">
        <w:rPr>
          <w:rFonts w:cs="Arial"/>
        </w:rPr>
        <w:t>ocyte pick-up (OPU) where mature oocytes are aspirated from ovarian follicles</w:t>
      </w:r>
      <w:r>
        <w:rPr>
          <w:rFonts w:cs="Arial"/>
        </w:rPr>
        <w:t>.</w:t>
      </w:r>
    </w:p>
    <w:p w14:paraId="7222339F" w14:textId="13E27053" w:rsidR="009303CD" w:rsidRPr="00332B2F" w:rsidRDefault="00555651" w:rsidP="00814AD1">
      <w:pPr>
        <w:pStyle w:val="Bullet1"/>
        <w:numPr>
          <w:ilvl w:val="0"/>
          <w:numId w:val="4"/>
        </w:numPr>
        <w:spacing w:after="40"/>
        <w:rPr>
          <w:rFonts w:cs="Arial"/>
        </w:rPr>
      </w:pPr>
      <w:r>
        <w:rPr>
          <w:rFonts w:cs="Arial"/>
        </w:rPr>
        <w:t>F</w:t>
      </w:r>
      <w:r w:rsidR="009303CD" w:rsidRPr="00332B2F">
        <w:rPr>
          <w:rFonts w:cs="Arial"/>
        </w:rPr>
        <w:t xml:space="preserve">ertilisation of the collected oocytes </w:t>
      </w:r>
      <w:r>
        <w:rPr>
          <w:rFonts w:cs="Arial"/>
        </w:rPr>
        <w:t>using the male intending parent or donor</w:t>
      </w:r>
      <w:r w:rsidR="009303CD" w:rsidRPr="00332B2F">
        <w:rPr>
          <w:rFonts w:cs="Arial"/>
        </w:rPr>
        <w:t xml:space="preserve"> sperm</w:t>
      </w:r>
      <w:r>
        <w:rPr>
          <w:rFonts w:cs="Arial"/>
        </w:rPr>
        <w:t>.</w:t>
      </w:r>
    </w:p>
    <w:p w14:paraId="25233C65" w14:textId="70FBCF6E" w:rsidR="009303CD" w:rsidRPr="00332B2F" w:rsidRDefault="00555651" w:rsidP="00814AD1">
      <w:pPr>
        <w:pStyle w:val="Bullet1"/>
        <w:numPr>
          <w:ilvl w:val="0"/>
          <w:numId w:val="4"/>
        </w:numPr>
        <w:spacing w:after="40"/>
        <w:rPr>
          <w:rFonts w:cs="Arial"/>
        </w:rPr>
      </w:pPr>
      <w:r>
        <w:rPr>
          <w:rFonts w:cs="Arial"/>
        </w:rPr>
        <w:t>E</w:t>
      </w:r>
      <w:r w:rsidR="009303CD" w:rsidRPr="00332B2F">
        <w:rPr>
          <w:rFonts w:cs="Arial"/>
        </w:rPr>
        <w:t>mbryo maturation during which a fertilised oocyte is cultured for 2–</w:t>
      </w:r>
      <w:r w:rsidR="00177B08">
        <w:rPr>
          <w:rFonts w:cs="Arial"/>
        </w:rPr>
        <w:t>4</w:t>
      </w:r>
      <w:r w:rsidR="009303CD" w:rsidRPr="00332B2F">
        <w:rPr>
          <w:rFonts w:cs="Arial"/>
        </w:rPr>
        <w:t xml:space="preserve"> days to form a cleavage stage embryo (6–8 cells) or 5–6 days to create a blastocyst (60–100 cells)</w:t>
      </w:r>
      <w:r>
        <w:rPr>
          <w:rFonts w:cs="Arial"/>
        </w:rPr>
        <w:t>.</w:t>
      </w:r>
    </w:p>
    <w:p w14:paraId="53D0BC3E" w14:textId="09755A22" w:rsidR="009303CD" w:rsidRPr="00332B2F" w:rsidRDefault="00555651" w:rsidP="00814AD1">
      <w:pPr>
        <w:pStyle w:val="Bullet1"/>
        <w:numPr>
          <w:ilvl w:val="0"/>
          <w:numId w:val="4"/>
        </w:numPr>
        <w:spacing w:after="40"/>
        <w:rPr>
          <w:rFonts w:cs="Arial"/>
        </w:rPr>
      </w:pPr>
      <w:r>
        <w:rPr>
          <w:rFonts w:cs="Arial"/>
        </w:rPr>
        <w:t>T</w:t>
      </w:r>
      <w:r w:rsidR="009303CD" w:rsidRPr="00332B2F">
        <w:rPr>
          <w:rFonts w:cs="Arial"/>
        </w:rPr>
        <w:t xml:space="preserve">ransfer of one fresh embryo into the uterus in order to achieve </w:t>
      </w:r>
      <w:r w:rsidR="0053621C">
        <w:rPr>
          <w:rFonts w:cs="Arial"/>
        </w:rPr>
        <w:t xml:space="preserve">a </w:t>
      </w:r>
      <w:r w:rsidR="009303CD" w:rsidRPr="00332B2F">
        <w:rPr>
          <w:rFonts w:cs="Arial"/>
        </w:rPr>
        <w:t xml:space="preserve">pregnancy. </w:t>
      </w:r>
    </w:p>
    <w:p w14:paraId="09D2704B" w14:textId="01305299" w:rsidR="009303CD" w:rsidRPr="00332B2F" w:rsidRDefault="009303CD" w:rsidP="009303CD">
      <w:pPr>
        <w:pStyle w:val="AIHWbodytext"/>
        <w:rPr>
          <w:rFonts w:cs="Arial"/>
          <w:color w:val="auto"/>
        </w:rPr>
      </w:pPr>
      <w:r w:rsidRPr="00332B2F">
        <w:rPr>
          <w:rFonts w:cs="Arial"/>
          <w:color w:val="auto"/>
        </w:rPr>
        <w:t xml:space="preserve">Treatment may be discontinued at any stage during a treatment cycle due to </w:t>
      </w:r>
      <w:r w:rsidR="00AF7084">
        <w:rPr>
          <w:rFonts w:cs="Arial"/>
          <w:color w:val="auto"/>
        </w:rPr>
        <w:t>various</w:t>
      </w:r>
      <w:r w:rsidRPr="00332B2F">
        <w:rPr>
          <w:rFonts w:cs="Arial"/>
          <w:color w:val="auto"/>
        </w:rPr>
        <w:t xml:space="preserve"> reasons including </w:t>
      </w:r>
      <w:r w:rsidR="00555651">
        <w:rPr>
          <w:rFonts w:cs="Arial"/>
          <w:color w:val="auto"/>
        </w:rPr>
        <w:t>suboptimal</w:t>
      </w:r>
      <w:r w:rsidRPr="00332B2F">
        <w:rPr>
          <w:rFonts w:cs="Arial"/>
          <w:color w:val="auto"/>
        </w:rPr>
        <w:t xml:space="preserve"> response </w:t>
      </w:r>
      <w:r w:rsidR="00555651">
        <w:rPr>
          <w:rFonts w:cs="Arial"/>
          <w:color w:val="auto"/>
        </w:rPr>
        <w:t>ovarian stimulation</w:t>
      </w:r>
      <w:r w:rsidRPr="00332B2F">
        <w:rPr>
          <w:rFonts w:cs="Arial"/>
          <w:color w:val="auto"/>
        </w:rPr>
        <w:t>, failure to obtain oocytes, failure of oocyte fertilisation, inadequate embryo growth</w:t>
      </w:r>
      <w:r w:rsidR="008D6EEE">
        <w:rPr>
          <w:rFonts w:cs="Arial"/>
          <w:color w:val="auto"/>
        </w:rPr>
        <w:t>,</w:t>
      </w:r>
      <w:r w:rsidRPr="00332B2F">
        <w:rPr>
          <w:rFonts w:cs="Arial"/>
          <w:color w:val="auto"/>
        </w:rPr>
        <w:t xml:space="preserve"> or patient choice.</w:t>
      </w:r>
    </w:p>
    <w:p w14:paraId="692A9196" w14:textId="28394377" w:rsidR="009303CD" w:rsidRPr="00332B2F" w:rsidRDefault="009303CD" w:rsidP="009303CD">
      <w:pPr>
        <w:pStyle w:val="AIHWbodytext"/>
        <w:rPr>
          <w:rFonts w:cs="Arial"/>
          <w:color w:val="auto"/>
        </w:rPr>
      </w:pPr>
      <w:r w:rsidRPr="00332B2F">
        <w:rPr>
          <w:rFonts w:cs="Arial"/>
          <w:color w:val="auto"/>
        </w:rPr>
        <w:t xml:space="preserve">Over the last </w:t>
      </w:r>
      <w:r w:rsidR="0026421C">
        <w:rPr>
          <w:rFonts w:cs="Arial"/>
          <w:color w:val="auto"/>
        </w:rPr>
        <w:t>four</w:t>
      </w:r>
      <w:r w:rsidR="0026421C" w:rsidRPr="00332B2F">
        <w:rPr>
          <w:rFonts w:cs="Arial"/>
          <w:color w:val="auto"/>
        </w:rPr>
        <w:t xml:space="preserve"> </w:t>
      </w:r>
      <w:r w:rsidRPr="00332B2F">
        <w:rPr>
          <w:rFonts w:cs="Arial"/>
          <w:color w:val="auto"/>
        </w:rPr>
        <w:t>decades, ART has evolved to encompass complex ovarian hyperstimulation protocols and numerous variations to the typical fresh IVF treatment cycle described above. Some of these variations include:</w:t>
      </w:r>
    </w:p>
    <w:p w14:paraId="21200501" w14:textId="1F070898" w:rsidR="009303CD" w:rsidRPr="00AF7084" w:rsidRDefault="00380078">
      <w:pPr>
        <w:pStyle w:val="Bullet1"/>
        <w:numPr>
          <w:ilvl w:val="0"/>
          <w:numId w:val="2"/>
        </w:numPr>
        <w:spacing w:after="40"/>
        <w:rPr>
          <w:rFonts w:cs="Arial"/>
        </w:rPr>
      </w:pPr>
      <w:r>
        <w:rPr>
          <w:rFonts w:cs="Arial"/>
        </w:rPr>
        <w:t>i</w:t>
      </w:r>
      <w:r w:rsidR="009303CD" w:rsidRPr="00332B2F">
        <w:rPr>
          <w:rFonts w:cs="Arial"/>
        </w:rPr>
        <w:t>ntracytoplasmic sperm injection (ICSI)</w:t>
      </w:r>
      <w:r w:rsidR="00AF7084">
        <w:rPr>
          <w:rFonts w:cs="Arial"/>
        </w:rPr>
        <w:t xml:space="preserve"> – </w:t>
      </w:r>
      <w:r w:rsidR="009303CD" w:rsidRPr="00AF7084">
        <w:rPr>
          <w:rFonts w:cs="Arial"/>
        </w:rPr>
        <w:t>when a single sperm is injected directly into the oocyte</w:t>
      </w:r>
    </w:p>
    <w:p w14:paraId="646CC536" w14:textId="145A591A" w:rsidR="009303CD" w:rsidRPr="00332B2F" w:rsidRDefault="001D184A" w:rsidP="009303CD">
      <w:pPr>
        <w:pStyle w:val="Bullet1"/>
        <w:numPr>
          <w:ilvl w:val="0"/>
          <w:numId w:val="2"/>
        </w:numPr>
        <w:rPr>
          <w:rFonts w:cs="Arial"/>
        </w:rPr>
      </w:pPr>
      <w:r>
        <w:rPr>
          <w:rFonts w:cs="Arial"/>
        </w:rPr>
        <w:t>a</w:t>
      </w:r>
      <w:r w:rsidR="009303CD" w:rsidRPr="00332B2F">
        <w:rPr>
          <w:rFonts w:cs="Arial"/>
        </w:rPr>
        <w:t>ssisted hatching</w:t>
      </w:r>
      <w:r w:rsidR="00AF7084">
        <w:rPr>
          <w:rFonts w:cs="Arial"/>
        </w:rPr>
        <w:t xml:space="preserve"> – </w:t>
      </w:r>
      <w:r w:rsidR="009303CD" w:rsidRPr="00332B2F">
        <w:rPr>
          <w:rFonts w:cs="Arial"/>
        </w:rPr>
        <w:t>when the outer layer of the embryo, the zona pellucida, is either thinned or perforated in the laboratory to aid ‘hatching’ of the embryo</w:t>
      </w:r>
    </w:p>
    <w:p w14:paraId="3BD69E41" w14:textId="6918EFCB" w:rsidR="009303CD" w:rsidRPr="00332B2F" w:rsidRDefault="001D184A" w:rsidP="009303CD">
      <w:pPr>
        <w:pStyle w:val="Bullet1"/>
        <w:numPr>
          <w:ilvl w:val="0"/>
          <w:numId w:val="2"/>
        </w:numPr>
        <w:spacing w:after="40"/>
        <w:rPr>
          <w:rFonts w:cs="Arial"/>
        </w:rPr>
      </w:pPr>
      <w:r>
        <w:rPr>
          <w:rFonts w:cs="Arial"/>
        </w:rPr>
        <w:t>g</w:t>
      </w:r>
      <w:r w:rsidR="009303CD" w:rsidRPr="00332B2F">
        <w:rPr>
          <w:rFonts w:cs="Arial"/>
        </w:rPr>
        <w:t>amete intrafallopian transfer (GIFT)</w:t>
      </w:r>
      <w:r w:rsidR="00AF7084">
        <w:rPr>
          <w:rFonts w:cs="Arial"/>
        </w:rPr>
        <w:t xml:space="preserve"> – </w:t>
      </w:r>
      <w:r w:rsidR="009303CD" w:rsidRPr="00332B2F">
        <w:rPr>
          <w:rFonts w:cs="Arial"/>
        </w:rPr>
        <w:t xml:space="preserve">when mature oocytes and sperm are placed directly into a woman’s fallopian tubes so that fertilisation may take place </w:t>
      </w:r>
      <w:r w:rsidR="009303CD" w:rsidRPr="00FB0275">
        <w:rPr>
          <w:rFonts w:cs="Arial"/>
          <w:i/>
        </w:rPr>
        <w:t>in vivo</w:t>
      </w:r>
      <w:r w:rsidR="009303CD" w:rsidRPr="00332B2F">
        <w:rPr>
          <w:rFonts w:cs="Arial"/>
        </w:rPr>
        <w:t xml:space="preserve"> (inside the body). While once popular, this procedure now accounts for only a very small percentage of ART cycles</w:t>
      </w:r>
      <w:r w:rsidR="00244A33">
        <w:rPr>
          <w:rFonts w:cs="Arial"/>
        </w:rPr>
        <w:t>.</w:t>
      </w:r>
    </w:p>
    <w:p w14:paraId="33820432" w14:textId="7CB4252B" w:rsidR="009303CD" w:rsidRPr="00332B2F" w:rsidRDefault="001D184A" w:rsidP="009303CD">
      <w:pPr>
        <w:pStyle w:val="Bullet1"/>
        <w:numPr>
          <w:ilvl w:val="0"/>
          <w:numId w:val="2"/>
        </w:numPr>
        <w:spacing w:after="40"/>
        <w:rPr>
          <w:rFonts w:cs="Arial"/>
        </w:rPr>
      </w:pPr>
      <w:r>
        <w:rPr>
          <w:rFonts w:cs="Arial"/>
        </w:rPr>
        <w:lastRenderedPageBreak/>
        <w:t>p</w:t>
      </w:r>
      <w:r w:rsidR="009303CD" w:rsidRPr="00332B2F">
        <w:rPr>
          <w:rFonts w:cs="Arial"/>
        </w:rPr>
        <w:t xml:space="preserve">reimplantation genetic </w:t>
      </w:r>
      <w:r w:rsidR="00555651">
        <w:rPr>
          <w:rFonts w:cs="Arial"/>
        </w:rPr>
        <w:t>testing</w:t>
      </w:r>
      <w:r w:rsidR="00555651" w:rsidRPr="00332B2F">
        <w:rPr>
          <w:rFonts w:cs="Arial"/>
        </w:rPr>
        <w:t xml:space="preserve"> </w:t>
      </w:r>
      <w:r w:rsidR="009303CD" w:rsidRPr="00332B2F">
        <w:rPr>
          <w:rFonts w:cs="Arial"/>
        </w:rPr>
        <w:t>(PG</w:t>
      </w:r>
      <w:r w:rsidR="00555651">
        <w:rPr>
          <w:rFonts w:cs="Arial"/>
        </w:rPr>
        <w:t>T</w:t>
      </w:r>
      <w:r w:rsidR="009303CD" w:rsidRPr="00332B2F">
        <w:rPr>
          <w:rFonts w:cs="Arial"/>
        </w:rPr>
        <w:t>)</w:t>
      </w:r>
      <w:r w:rsidR="00AF7084">
        <w:rPr>
          <w:rFonts w:cs="Arial"/>
        </w:rPr>
        <w:t xml:space="preserve"> – </w:t>
      </w:r>
      <w:r w:rsidR="009303CD" w:rsidRPr="00332B2F">
        <w:rPr>
          <w:rFonts w:cs="Arial"/>
        </w:rPr>
        <w:t xml:space="preserve">when </w:t>
      </w:r>
      <w:r w:rsidR="00555651">
        <w:rPr>
          <w:rFonts w:cs="Arial"/>
        </w:rPr>
        <w:t>DNA from oocytes or embryos is tested for chromosomal disorders or genetic diseases before embryo transfer.</w:t>
      </w:r>
    </w:p>
    <w:p w14:paraId="1DE7D12D" w14:textId="5BF0494A" w:rsidR="009303CD" w:rsidRPr="00332B2F" w:rsidRDefault="001D184A" w:rsidP="009303CD">
      <w:pPr>
        <w:pStyle w:val="Bullet1"/>
        <w:numPr>
          <w:ilvl w:val="0"/>
          <w:numId w:val="2"/>
        </w:numPr>
        <w:rPr>
          <w:rFonts w:cs="Arial"/>
        </w:rPr>
      </w:pPr>
      <w:r>
        <w:rPr>
          <w:rFonts w:cs="Arial"/>
          <w:szCs w:val="22"/>
        </w:rPr>
        <w:t>o</w:t>
      </w:r>
      <w:r w:rsidR="009303CD" w:rsidRPr="00332B2F">
        <w:rPr>
          <w:rFonts w:cs="Arial"/>
          <w:szCs w:val="22"/>
        </w:rPr>
        <w:t>ocyte</w:t>
      </w:r>
      <w:r>
        <w:rPr>
          <w:rFonts w:cs="Arial"/>
          <w:szCs w:val="22"/>
        </w:rPr>
        <w:t>/embryo</w:t>
      </w:r>
      <w:r w:rsidR="009303CD" w:rsidRPr="00332B2F">
        <w:rPr>
          <w:rFonts w:cs="Arial"/>
          <w:szCs w:val="22"/>
        </w:rPr>
        <w:t xml:space="preserve"> donation</w:t>
      </w:r>
      <w:r w:rsidR="00DA4DF3">
        <w:rPr>
          <w:rFonts w:cs="Arial"/>
          <w:szCs w:val="22"/>
        </w:rPr>
        <w:t xml:space="preserve"> –</w:t>
      </w:r>
      <w:r w:rsidRPr="00A27753">
        <w:rPr>
          <w:rFonts w:cs="Arial"/>
          <w:szCs w:val="22"/>
        </w:rPr>
        <w:t xml:space="preserve"> when </w:t>
      </w:r>
      <w:r w:rsidRPr="00A27753">
        <w:rPr>
          <w:rFonts w:cs="Arial"/>
        </w:rPr>
        <w:t>a female patient who is not an intending parent</w:t>
      </w:r>
      <w:r>
        <w:rPr>
          <w:rFonts w:cs="Arial"/>
        </w:rPr>
        <w:t>, intends to donate or</w:t>
      </w:r>
      <w:r w:rsidRPr="00A27753">
        <w:rPr>
          <w:rFonts w:cs="Arial"/>
        </w:rPr>
        <w:t xml:space="preserve"> donates her oocytes</w:t>
      </w:r>
      <w:r>
        <w:rPr>
          <w:rFonts w:cs="Arial"/>
        </w:rPr>
        <w:t>/</w:t>
      </w:r>
      <w:r w:rsidRPr="003D3959">
        <w:rPr>
          <w:rFonts w:cs="Arial"/>
        </w:rPr>
        <w:t>embryos</w:t>
      </w:r>
      <w:r w:rsidRPr="00A27753">
        <w:rPr>
          <w:rFonts w:cs="Arial"/>
        </w:rPr>
        <w:t xml:space="preserve"> to others, or where a female intending parent provides oocytes</w:t>
      </w:r>
      <w:r>
        <w:rPr>
          <w:rFonts w:cs="Arial"/>
        </w:rPr>
        <w:t>/</w:t>
      </w:r>
      <w:r w:rsidRPr="003D3959">
        <w:rPr>
          <w:rFonts w:cs="Arial"/>
        </w:rPr>
        <w:t>embryos</w:t>
      </w:r>
      <w:r w:rsidRPr="00A27753">
        <w:rPr>
          <w:rFonts w:cs="Arial"/>
        </w:rPr>
        <w:t xml:space="preserve"> to a female partner who is also an intending </w:t>
      </w:r>
      <w:r w:rsidRPr="003D3959">
        <w:rPr>
          <w:rFonts w:cs="Arial"/>
        </w:rPr>
        <w:t>par</w:t>
      </w:r>
      <w:r w:rsidRPr="00A27753">
        <w:rPr>
          <w:rFonts w:cs="Arial"/>
        </w:rPr>
        <w:t>ent</w:t>
      </w:r>
      <w:r w:rsidR="00555651">
        <w:rPr>
          <w:rFonts w:cs="Arial"/>
        </w:rPr>
        <w:t>.</w:t>
      </w:r>
      <w:r w:rsidR="009303CD" w:rsidRPr="00332B2F">
        <w:rPr>
          <w:rFonts w:cs="Arial"/>
        </w:rPr>
        <w:t xml:space="preserve"> </w:t>
      </w:r>
    </w:p>
    <w:p w14:paraId="53C97E43" w14:textId="2C3873A0" w:rsidR="001D184A" w:rsidRPr="00332B2F" w:rsidRDefault="001D184A" w:rsidP="009303CD">
      <w:pPr>
        <w:pStyle w:val="Bullet1"/>
        <w:numPr>
          <w:ilvl w:val="0"/>
          <w:numId w:val="2"/>
        </w:numPr>
        <w:rPr>
          <w:rFonts w:cs="Arial"/>
        </w:rPr>
      </w:pPr>
      <w:r w:rsidRPr="00A27753">
        <w:rPr>
          <w:rFonts w:cs="Arial"/>
        </w:rPr>
        <w:t>oocyte/embryo recipient</w:t>
      </w:r>
      <w:r w:rsidR="00DA4DF3">
        <w:rPr>
          <w:rFonts w:cs="Arial"/>
        </w:rPr>
        <w:t xml:space="preserve"> – </w:t>
      </w:r>
      <w:r w:rsidRPr="00A27753">
        <w:rPr>
          <w:rFonts w:cs="Arial"/>
        </w:rPr>
        <w:t>when a female patient who is an intending parent receives oocytes</w:t>
      </w:r>
      <w:r>
        <w:rPr>
          <w:rFonts w:cs="Arial"/>
        </w:rPr>
        <w:t>/</w:t>
      </w:r>
      <w:r w:rsidRPr="00A27753">
        <w:rPr>
          <w:rFonts w:cs="Arial"/>
        </w:rPr>
        <w:t>embryos from another individual/couple</w:t>
      </w:r>
      <w:r>
        <w:rPr>
          <w:rFonts w:cs="Arial"/>
        </w:rPr>
        <w:t xml:space="preserve"> who is not an intending parent</w:t>
      </w:r>
      <w:r w:rsidRPr="00A27753">
        <w:rPr>
          <w:rFonts w:cs="Arial"/>
        </w:rPr>
        <w:t xml:space="preserve">, or where </w:t>
      </w:r>
      <w:r>
        <w:rPr>
          <w:rFonts w:cs="Arial"/>
        </w:rPr>
        <w:t>a female intending parent receives oocytes/embryos from a female partner who is also an intending parent, to achieve a pregnancy.</w:t>
      </w:r>
    </w:p>
    <w:p w14:paraId="652A011D" w14:textId="319ABEC7" w:rsidR="009303CD" w:rsidRPr="00332B2F" w:rsidRDefault="001D184A" w:rsidP="009303CD">
      <w:pPr>
        <w:pStyle w:val="Bullet1"/>
        <w:numPr>
          <w:ilvl w:val="0"/>
          <w:numId w:val="2"/>
        </w:numPr>
        <w:spacing w:after="40"/>
        <w:rPr>
          <w:rFonts w:cs="Arial"/>
        </w:rPr>
      </w:pPr>
      <w:r>
        <w:rPr>
          <w:rFonts w:cs="Arial"/>
        </w:rPr>
        <w:t>c</w:t>
      </w:r>
      <w:r w:rsidR="009303CD" w:rsidRPr="00332B2F">
        <w:rPr>
          <w:rFonts w:cs="Arial"/>
        </w:rPr>
        <w:t xml:space="preserve">ryopreservation and storage of embryos that are not transferred in the initial fresh treatment cycle. Once thawed or warmed, the embryos can be transferred in subsequent treatment cycles. Cryopreservation techniques include both the traditional slow freezing method and vitrification. Vitrification can be used to cryopreserve gametes and </w:t>
      </w:r>
      <w:r w:rsidR="00911B32" w:rsidRPr="00332B2F">
        <w:rPr>
          <w:rFonts w:cs="Arial"/>
        </w:rPr>
        <w:t>embryos and</w:t>
      </w:r>
      <w:r w:rsidR="009303CD" w:rsidRPr="00332B2F">
        <w:rPr>
          <w:rFonts w:cs="Arial"/>
        </w:rPr>
        <w:t xml:space="preserve"> uses an ultra-rapid temperature change with exposure to higher concentrations of cryoprotectants</w:t>
      </w:r>
      <w:r w:rsidR="0090160F">
        <w:rPr>
          <w:rFonts w:cs="Arial"/>
        </w:rPr>
        <w:t>.</w:t>
      </w:r>
    </w:p>
    <w:p w14:paraId="17799D9D" w14:textId="70F087DA" w:rsidR="009303CD" w:rsidRPr="00332B2F" w:rsidRDefault="001D184A" w:rsidP="009303CD">
      <w:pPr>
        <w:pStyle w:val="Bullet1"/>
        <w:numPr>
          <w:ilvl w:val="0"/>
          <w:numId w:val="2"/>
        </w:numPr>
        <w:spacing w:after="40"/>
        <w:rPr>
          <w:rFonts w:cs="Arial"/>
        </w:rPr>
      </w:pPr>
      <w:r>
        <w:rPr>
          <w:rFonts w:cs="Arial"/>
        </w:rPr>
        <w:t>c</w:t>
      </w:r>
      <w:r w:rsidR="009303CD" w:rsidRPr="00332B2F">
        <w:rPr>
          <w:rFonts w:cs="Arial"/>
        </w:rPr>
        <w:t>ryopreservation and storage of oocytes and embryos for</w:t>
      </w:r>
      <w:r w:rsidR="00555651">
        <w:rPr>
          <w:rFonts w:cs="Arial"/>
        </w:rPr>
        <w:t xml:space="preserve"> medical and non-medical</w:t>
      </w:r>
      <w:r w:rsidR="009303CD" w:rsidRPr="00332B2F">
        <w:rPr>
          <w:rFonts w:cs="Arial"/>
        </w:rPr>
        <w:t xml:space="preserve"> fertility preservation</w:t>
      </w:r>
      <w:r w:rsidR="00DA4DF3">
        <w:rPr>
          <w:rFonts w:cs="Arial"/>
        </w:rPr>
        <w:t>.</w:t>
      </w:r>
      <w:r w:rsidR="009303CD" w:rsidRPr="00332B2F">
        <w:rPr>
          <w:rFonts w:cs="Arial"/>
        </w:rPr>
        <w:t xml:space="preserve"> </w:t>
      </w:r>
    </w:p>
    <w:p w14:paraId="65697640" w14:textId="68A139AF" w:rsidR="00555651" w:rsidRDefault="001D184A" w:rsidP="009303CD">
      <w:pPr>
        <w:pStyle w:val="Bullet1"/>
        <w:numPr>
          <w:ilvl w:val="0"/>
          <w:numId w:val="2"/>
        </w:numPr>
        <w:spacing w:after="40"/>
        <w:rPr>
          <w:rFonts w:cs="Arial"/>
        </w:rPr>
      </w:pPr>
      <w:r>
        <w:rPr>
          <w:rFonts w:cs="Arial"/>
        </w:rPr>
        <w:t>f</w:t>
      </w:r>
      <w:r w:rsidR="00555651">
        <w:rPr>
          <w:rFonts w:cs="Arial"/>
        </w:rPr>
        <w:t xml:space="preserve">reeze-all cycles </w:t>
      </w:r>
      <w:r w:rsidR="00DA4DF3">
        <w:rPr>
          <w:rFonts w:cs="Arial"/>
        </w:rPr>
        <w:t xml:space="preserve">– </w:t>
      </w:r>
      <w:r w:rsidR="00555651">
        <w:rPr>
          <w:rFonts w:cs="Arial"/>
        </w:rPr>
        <w:t>where all oocytes or embryos resulting from an OPU are cryopreserved for potential future use.</w:t>
      </w:r>
    </w:p>
    <w:p w14:paraId="32202418" w14:textId="0CB88F81" w:rsidR="001D184A" w:rsidRDefault="001D184A" w:rsidP="009303CD">
      <w:pPr>
        <w:pStyle w:val="Bullet1"/>
        <w:numPr>
          <w:ilvl w:val="0"/>
          <w:numId w:val="2"/>
        </w:numPr>
        <w:spacing w:after="40"/>
        <w:rPr>
          <w:rFonts w:cs="Arial"/>
        </w:rPr>
      </w:pPr>
      <w:r>
        <w:rPr>
          <w:rFonts w:cs="Arial"/>
        </w:rPr>
        <w:t>in vitro maturation</w:t>
      </w:r>
      <w:r w:rsidR="00DA4DF3">
        <w:rPr>
          <w:rFonts w:cs="Arial"/>
        </w:rPr>
        <w:t xml:space="preserve"> – </w:t>
      </w:r>
      <w:r>
        <w:rPr>
          <w:rFonts w:cs="Arial"/>
          <w:szCs w:val="22"/>
        </w:rPr>
        <w:t xml:space="preserve">where immature oocytes are </w:t>
      </w:r>
      <w:r w:rsidR="00937BB7">
        <w:rPr>
          <w:rFonts w:cs="Arial"/>
          <w:szCs w:val="22"/>
        </w:rPr>
        <w:t>collected and</w:t>
      </w:r>
      <w:r>
        <w:rPr>
          <w:rFonts w:cs="Arial"/>
          <w:szCs w:val="22"/>
        </w:rPr>
        <w:t xml:space="preserve"> placed in a special culture medium to mature before fertilisation is attempted.</w:t>
      </w:r>
    </w:p>
    <w:p w14:paraId="2FA04EFA" w14:textId="6BE179D8" w:rsidR="009303CD" w:rsidRPr="00332B2F" w:rsidRDefault="00380078" w:rsidP="009303CD">
      <w:pPr>
        <w:pStyle w:val="Bullet1"/>
        <w:numPr>
          <w:ilvl w:val="0"/>
          <w:numId w:val="2"/>
        </w:numPr>
        <w:spacing w:after="40"/>
        <w:rPr>
          <w:rFonts w:cs="Arial"/>
        </w:rPr>
      </w:pPr>
      <w:r>
        <w:rPr>
          <w:rFonts w:cs="Arial"/>
        </w:rPr>
        <w:t>s</w:t>
      </w:r>
      <w:r w:rsidR="009303CD" w:rsidRPr="00332B2F">
        <w:rPr>
          <w:rFonts w:cs="Arial"/>
        </w:rPr>
        <w:t>urrogacy arrangement</w:t>
      </w:r>
      <w:r w:rsidR="00AF7084">
        <w:rPr>
          <w:rFonts w:cs="Arial"/>
        </w:rPr>
        <w:t xml:space="preserve"> – </w:t>
      </w:r>
      <w:r w:rsidR="009303CD" w:rsidRPr="00332B2F">
        <w:rPr>
          <w:rFonts w:cs="Arial"/>
        </w:rPr>
        <w:t xml:space="preserve">where a </w:t>
      </w:r>
      <w:r w:rsidR="00555651">
        <w:rPr>
          <w:rFonts w:cs="Arial"/>
        </w:rPr>
        <w:t>female patient</w:t>
      </w:r>
      <w:r w:rsidR="009303CD" w:rsidRPr="00332B2F">
        <w:rPr>
          <w:rFonts w:cs="Arial"/>
        </w:rPr>
        <w:t>, known as the ‘gestational carrier’</w:t>
      </w:r>
      <w:r w:rsidR="00555651">
        <w:rPr>
          <w:rFonts w:cs="Arial"/>
        </w:rPr>
        <w:t xml:space="preserve"> or ‘surrogate’</w:t>
      </w:r>
      <w:r w:rsidR="009303CD" w:rsidRPr="00332B2F">
        <w:rPr>
          <w:rFonts w:cs="Arial"/>
        </w:rPr>
        <w:t>, agrees to carry a child for another person or couple, known as the ‘intend</w:t>
      </w:r>
      <w:r w:rsidR="00555651">
        <w:rPr>
          <w:rFonts w:cs="Arial"/>
        </w:rPr>
        <w:t>ing</w:t>
      </w:r>
      <w:r w:rsidR="009303CD" w:rsidRPr="00332B2F">
        <w:rPr>
          <w:rFonts w:cs="Arial"/>
        </w:rPr>
        <w:t xml:space="preserve"> parent(s)’, with the intention that the child will be raised by the intend</w:t>
      </w:r>
      <w:r w:rsidR="00555651">
        <w:rPr>
          <w:rFonts w:cs="Arial"/>
        </w:rPr>
        <w:t>ing</w:t>
      </w:r>
      <w:r w:rsidR="009303CD" w:rsidRPr="00332B2F">
        <w:rPr>
          <w:rFonts w:cs="Arial"/>
        </w:rPr>
        <w:t xml:space="preserve"> parent(s).</w:t>
      </w:r>
      <w:r w:rsidR="00555651">
        <w:rPr>
          <w:rFonts w:cs="Arial"/>
        </w:rPr>
        <w:t xml:space="preserve"> The oocytes and/or sperm used to create the embryo(s) in the cycle can be either from the intending parent(s) or from a donor(s).</w:t>
      </w:r>
    </w:p>
    <w:p w14:paraId="3402967A" w14:textId="127B23BB" w:rsidR="009303CD" w:rsidRDefault="009303CD" w:rsidP="009303CD">
      <w:pPr>
        <w:pStyle w:val="AIHWbodytext"/>
        <w:rPr>
          <w:rFonts w:cs="Arial"/>
          <w:color w:val="auto"/>
        </w:rPr>
      </w:pPr>
      <w:r w:rsidRPr="00332B2F">
        <w:rPr>
          <w:rFonts w:cs="Arial"/>
          <w:color w:val="auto"/>
        </w:rPr>
        <w:t xml:space="preserve">Along with ART, </w:t>
      </w:r>
      <w:r w:rsidR="00140132">
        <w:rPr>
          <w:rFonts w:cs="Arial"/>
          <w:color w:val="auto"/>
        </w:rPr>
        <w:t xml:space="preserve">there are </w:t>
      </w:r>
      <w:r w:rsidRPr="00332B2F">
        <w:rPr>
          <w:rFonts w:cs="Arial"/>
          <w:color w:val="auto"/>
        </w:rPr>
        <w:t xml:space="preserve">other fertility treatments </w:t>
      </w:r>
      <w:r w:rsidR="00140132">
        <w:rPr>
          <w:rFonts w:cs="Arial"/>
          <w:color w:val="auto"/>
        </w:rPr>
        <w:t xml:space="preserve">that </w:t>
      </w:r>
      <w:r w:rsidRPr="00332B2F">
        <w:rPr>
          <w:rFonts w:cs="Arial"/>
          <w:color w:val="auto"/>
        </w:rPr>
        <w:t xml:space="preserve">are undertaken in New Zealand. Artificial insemination is one such treatment by which sperm are placed into the female genital tract (for example, intracervical or intrauterine), and can be used with controlled ovarian hyperstimulation or in natural cycles. Artificial insemination can be undertaken using a partner’s sperm, or donated sperm, also known as ‘donor sperm insemination’ (DI). </w:t>
      </w:r>
      <w:r w:rsidR="00555651">
        <w:rPr>
          <w:rFonts w:cs="Arial"/>
          <w:color w:val="auto"/>
        </w:rPr>
        <w:t>Only DI performed at an ART Unit is reported to ANZARD.</w:t>
      </w:r>
    </w:p>
    <w:p w14:paraId="3554C3CD" w14:textId="77777777" w:rsidR="00CA31FB" w:rsidRPr="00332B2F" w:rsidRDefault="00CA31FB" w:rsidP="009303CD">
      <w:pPr>
        <w:pStyle w:val="AIHWbodytext"/>
        <w:rPr>
          <w:rFonts w:cs="Arial"/>
          <w:color w:val="auto"/>
        </w:rPr>
      </w:pPr>
    </w:p>
    <w:p w14:paraId="62538F00" w14:textId="77777777" w:rsidR="009303CD" w:rsidRPr="00360E75" w:rsidRDefault="009303CD" w:rsidP="00360E75">
      <w:pPr>
        <w:spacing w:before="60" w:after="120" w:line="260" w:lineRule="atLeast"/>
        <w:rPr>
          <w:rFonts w:ascii="Arial" w:hAnsi="Arial" w:cs="Arial"/>
          <w:b/>
          <w:sz w:val="36"/>
          <w:szCs w:val="36"/>
        </w:rPr>
      </w:pPr>
      <w:bookmarkStart w:id="142" w:name="_Toc453061454"/>
      <w:bookmarkStart w:id="143" w:name="_Toc453054824"/>
      <w:bookmarkStart w:id="144" w:name="_Toc422408379"/>
      <w:bookmarkStart w:id="145" w:name="_Toc422220194"/>
      <w:bookmarkStart w:id="146" w:name="_Toc421699693"/>
      <w:bookmarkStart w:id="147" w:name="_Toc398882999"/>
      <w:bookmarkStart w:id="148" w:name="_Toc398733470"/>
      <w:bookmarkStart w:id="149" w:name="_Toc394403751"/>
      <w:bookmarkStart w:id="150" w:name="_Toc364327978"/>
      <w:bookmarkStart w:id="151" w:name="_Toc364084072"/>
      <w:bookmarkStart w:id="152" w:name="_Toc362443906"/>
      <w:bookmarkStart w:id="153" w:name="_Toc362443838"/>
      <w:bookmarkStart w:id="154" w:name="_Toc360712819"/>
      <w:bookmarkStart w:id="155" w:name="_Toc359179048"/>
      <w:bookmarkStart w:id="156" w:name="_Toc359178974"/>
      <w:bookmarkStart w:id="157" w:name="_Toc358813442"/>
      <w:bookmarkStart w:id="158" w:name="_Toc358381638"/>
      <w:bookmarkStart w:id="159" w:name="_Toc358380549"/>
      <w:bookmarkStart w:id="160" w:name="_Toc358205697"/>
      <w:bookmarkStart w:id="161" w:name="_Toc333226653"/>
      <w:bookmarkStart w:id="162" w:name="_Toc330404310"/>
      <w:bookmarkStart w:id="163" w:name="_Toc327282223"/>
      <w:bookmarkStart w:id="164" w:name="_Toc305580583"/>
      <w:bookmarkStart w:id="165" w:name="_Toc301259238"/>
      <w:bookmarkStart w:id="166" w:name="_Toc301251739"/>
      <w:bookmarkStart w:id="167" w:name="_Toc300481038"/>
      <w:bookmarkStart w:id="168" w:name="_Toc300236306"/>
      <w:bookmarkStart w:id="169" w:name="_Toc300234460"/>
      <w:bookmarkStart w:id="170" w:name="_Toc300143868"/>
      <w:bookmarkStart w:id="171" w:name="_Toc297042039"/>
      <w:bookmarkStart w:id="172" w:name="_Toc296951844"/>
      <w:bookmarkStart w:id="173" w:name="_Toc296692868"/>
      <w:bookmarkStart w:id="174" w:name="_Toc268079475"/>
      <w:bookmarkStart w:id="175" w:name="_Toc263854064"/>
      <w:bookmarkStart w:id="176" w:name="_Toc263242427"/>
      <w:bookmarkStart w:id="177" w:name="_Toc236735674"/>
      <w:bookmarkStart w:id="178" w:name="_Toc236732899"/>
      <w:bookmarkStart w:id="179" w:name="_Toc236712450"/>
      <w:bookmarkStart w:id="180" w:name="_Toc236562275"/>
      <w:bookmarkStart w:id="181" w:name="_Toc236544151"/>
      <w:bookmarkStart w:id="182" w:name="_Toc233600467"/>
      <w:bookmarkStart w:id="183" w:name="_Toc233520795"/>
      <w:bookmarkStart w:id="184" w:name="_Toc233452468"/>
      <w:bookmarkStart w:id="185" w:name="_Toc233440866"/>
      <w:r w:rsidRPr="00360E75">
        <w:rPr>
          <w:rFonts w:ascii="Arial" w:hAnsi="Arial" w:cs="Arial"/>
          <w:b/>
          <w:sz w:val="36"/>
          <w:szCs w:val="36"/>
        </w:rPr>
        <w:t>Data used in this report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AA1D42F" w14:textId="5DCC885A" w:rsidR="009303CD" w:rsidRPr="00332B2F" w:rsidRDefault="009303CD" w:rsidP="009303CD">
      <w:pPr>
        <w:pStyle w:val="AIHWbodytext"/>
        <w:rPr>
          <w:rFonts w:cs="Arial"/>
          <w:color w:val="auto"/>
        </w:rPr>
      </w:pPr>
      <w:r w:rsidRPr="00332B2F">
        <w:rPr>
          <w:rFonts w:cs="Arial"/>
          <w:color w:val="auto"/>
        </w:rPr>
        <w:t>This report provides information on ART and DI treatments and the resulting pregnancy and birth outcomes.</w:t>
      </w:r>
      <w:r w:rsidR="00FB0275">
        <w:rPr>
          <w:rFonts w:cs="Arial"/>
          <w:color w:val="auto"/>
        </w:rPr>
        <w:t xml:space="preserve"> </w:t>
      </w:r>
      <w:r w:rsidR="00555651">
        <w:rPr>
          <w:rFonts w:cs="Arial"/>
          <w:color w:val="auto"/>
        </w:rPr>
        <w:t xml:space="preserve">Also included is an analysis of trends </w:t>
      </w:r>
      <w:r w:rsidR="00555651">
        <w:t>in ART treatments and outcomes in the five years from 201</w:t>
      </w:r>
      <w:r w:rsidR="00491669">
        <w:t>7</w:t>
      </w:r>
      <w:r w:rsidR="00555651">
        <w:t xml:space="preserve"> to 202</w:t>
      </w:r>
      <w:r w:rsidR="00491669">
        <w:t>1</w:t>
      </w:r>
      <w:r w:rsidR="00555651">
        <w:t xml:space="preserve">. </w:t>
      </w:r>
      <w:r w:rsidRPr="00332B2F">
        <w:rPr>
          <w:rFonts w:cs="Arial"/>
          <w:color w:val="auto"/>
        </w:rPr>
        <w:t xml:space="preserve">The data presented in this report were </w:t>
      </w:r>
      <w:r w:rsidRPr="004D4C17">
        <w:rPr>
          <w:rFonts w:cs="Arial"/>
          <w:color w:val="auto"/>
        </w:rPr>
        <w:t xml:space="preserve">supplied by </w:t>
      </w:r>
      <w:r w:rsidR="00491669">
        <w:rPr>
          <w:rFonts w:cs="Arial"/>
          <w:color w:val="auto"/>
        </w:rPr>
        <w:t>seven</w:t>
      </w:r>
      <w:r w:rsidR="00FF632A" w:rsidRPr="004D4C17">
        <w:rPr>
          <w:rFonts w:cs="Arial"/>
          <w:color w:val="auto"/>
        </w:rPr>
        <w:t xml:space="preserve"> </w:t>
      </w:r>
      <w:r w:rsidRPr="004D4C17">
        <w:rPr>
          <w:rFonts w:cs="Arial"/>
          <w:color w:val="auto"/>
        </w:rPr>
        <w:t xml:space="preserve">fertility centres </w:t>
      </w:r>
      <w:r w:rsidRPr="00332B2F">
        <w:rPr>
          <w:rFonts w:cs="Arial"/>
          <w:color w:val="auto"/>
        </w:rPr>
        <w:t xml:space="preserve">and compiled into </w:t>
      </w:r>
      <w:r w:rsidR="00EC13E9" w:rsidRPr="00332B2F">
        <w:rPr>
          <w:rFonts w:cs="Arial"/>
          <w:color w:val="auto"/>
        </w:rPr>
        <w:t>the Australian and New Zealand Assisted Reproduction Database (</w:t>
      </w:r>
      <w:r w:rsidRPr="00332B2F">
        <w:rPr>
          <w:rFonts w:cs="Arial"/>
          <w:color w:val="auto"/>
        </w:rPr>
        <w:t>ANZARD</w:t>
      </w:r>
      <w:r w:rsidR="00EC13E9">
        <w:rPr>
          <w:rFonts w:cs="Arial"/>
          <w:color w:val="auto"/>
        </w:rPr>
        <w:t>)</w:t>
      </w:r>
      <w:r w:rsidRPr="00332B2F">
        <w:rPr>
          <w:rFonts w:cs="Arial"/>
          <w:color w:val="auto"/>
        </w:rPr>
        <w:t>.</w:t>
      </w:r>
      <w:r w:rsidR="00555651">
        <w:rPr>
          <w:rFonts w:cs="Arial"/>
          <w:color w:val="auto"/>
        </w:rPr>
        <w:t xml:space="preserve"> The full list of contributing ART Units can be found in Appendix A.</w:t>
      </w:r>
    </w:p>
    <w:p w14:paraId="3B6EFF6F" w14:textId="069149EB" w:rsidR="000C3BA3" w:rsidRDefault="000C3BA3" w:rsidP="009303CD">
      <w:pPr>
        <w:pStyle w:val="AIHWbodytext"/>
      </w:pPr>
      <w:r>
        <w:t xml:space="preserve">ANZARD is a data collection which uses a statistical linkage key (SLK) that links successive treatment cycles undertaken by one female patient. The SLK is a combination of the first two letters of a female patient’s first name, the first two letters of her surname and her date of birth. The SLK enables the number of female patients undergoing treatment across time to be reported. </w:t>
      </w:r>
      <w:r w:rsidR="001D184A">
        <w:t xml:space="preserve">As a joint initiative of the NPESU at UNSW Sydney and FSANZ, ANZARD was upgraded in 2020 to the ANZARD 3.0 Data Dictionary for treatments performed from 2020 to accommodate new treatment types and reflect different types of patients involved in ART treatments. ANZARD 3.0 collects more information about the intending parents, causes of infertility, period of infertility, PGT, lab-only cycles and fertility preservation. </w:t>
      </w:r>
    </w:p>
    <w:p w14:paraId="5D746020" w14:textId="77777777" w:rsidR="00380078" w:rsidRDefault="009303CD" w:rsidP="009303CD">
      <w:pPr>
        <w:pStyle w:val="AIHWbodytext"/>
        <w:rPr>
          <w:rFonts w:cs="Arial"/>
          <w:color w:val="auto"/>
        </w:rPr>
      </w:pPr>
      <w:r w:rsidRPr="00332B2F">
        <w:rPr>
          <w:rFonts w:cs="Arial"/>
          <w:color w:val="auto"/>
        </w:rPr>
        <w:t>A more detailed description of ANZARD</w:t>
      </w:r>
      <w:r w:rsidR="00FF632A">
        <w:rPr>
          <w:rFonts w:cs="Arial"/>
          <w:color w:val="auto"/>
        </w:rPr>
        <w:t xml:space="preserve"> </w:t>
      </w:r>
      <w:r w:rsidR="000C3BA3">
        <w:rPr>
          <w:rFonts w:cs="Arial"/>
          <w:color w:val="auto"/>
        </w:rPr>
        <w:t>3</w:t>
      </w:r>
      <w:r w:rsidRPr="00332B2F">
        <w:rPr>
          <w:rFonts w:cs="Arial"/>
          <w:color w:val="auto"/>
        </w:rPr>
        <w:t>.0 can be found in Appendix B.</w:t>
      </w:r>
    </w:p>
    <w:p w14:paraId="1176A5F8" w14:textId="272831D4" w:rsidR="009303CD" w:rsidRPr="00360E75" w:rsidRDefault="009303CD" w:rsidP="00360E75">
      <w:pPr>
        <w:spacing w:before="60" w:after="120" w:line="260" w:lineRule="atLeast"/>
        <w:rPr>
          <w:rFonts w:ascii="Arial" w:hAnsi="Arial" w:cs="Arial"/>
          <w:b/>
          <w:sz w:val="36"/>
          <w:szCs w:val="36"/>
        </w:rPr>
      </w:pPr>
      <w:bookmarkStart w:id="186" w:name="_Toc453061455"/>
      <w:bookmarkStart w:id="187" w:name="_Toc453054825"/>
      <w:bookmarkStart w:id="188" w:name="_Toc422408380"/>
      <w:bookmarkStart w:id="189" w:name="_Toc422220195"/>
      <w:bookmarkStart w:id="190" w:name="_Toc421699694"/>
      <w:bookmarkStart w:id="191" w:name="_Toc421692530"/>
      <w:bookmarkStart w:id="192" w:name="_Toc389646236"/>
      <w:bookmarkStart w:id="193" w:name="_Toc389646046"/>
      <w:bookmarkStart w:id="194" w:name="_Toc340648592"/>
      <w:bookmarkStart w:id="195" w:name="_Toc340571536"/>
      <w:bookmarkStart w:id="196" w:name="_Toc340497601"/>
      <w:bookmarkStart w:id="197" w:name="_Toc340225628"/>
      <w:bookmarkStart w:id="198" w:name="_Toc340224047"/>
      <w:bookmarkStart w:id="199" w:name="_Toc340223979"/>
      <w:bookmarkStart w:id="200" w:name="_Toc338150816"/>
      <w:r w:rsidRPr="00360E75">
        <w:rPr>
          <w:rFonts w:ascii="Arial" w:hAnsi="Arial" w:cs="Arial"/>
          <w:b/>
          <w:sz w:val="36"/>
          <w:szCs w:val="36"/>
        </w:rPr>
        <w:lastRenderedPageBreak/>
        <w:t>Structure of this report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0FC9E7C0" w14:textId="151D7A5B" w:rsidR="009303CD" w:rsidRPr="00332B2F" w:rsidRDefault="009303CD" w:rsidP="009303CD">
      <w:pPr>
        <w:pStyle w:val="NPESUbodytext"/>
        <w:rPr>
          <w:rFonts w:cs="Arial"/>
        </w:rPr>
      </w:pPr>
      <w:bookmarkStart w:id="201" w:name="_Hlk92961735"/>
      <w:r w:rsidRPr="00332B2F">
        <w:rPr>
          <w:rFonts w:cs="Arial"/>
        </w:rPr>
        <w:t xml:space="preserve">This report has </w:t>
      </w:r>
      <w:r w:rsidR="00772356">
        <w:rPr>
          <w:rFonts w:cs="Arial"/>
        </w:rPr>
        <w:t>nine</w:t>
      </w:r>
      <w:r w:rsidRPr="00332B2F">
        <w:rPr>
          <w:rFonts w:cs="Arial"/>
        </w:rPr>
        <w:t xml:space="preserve"> chapters, including this introductory chapter (Chapter 1).</w:t>
      </w:r>
    </w:p>
    <w:p w14:paraId="4FCC5D42" w14:textId="7B66D493" w:rsidR="009303CD" w:rsidRPr="00332B2F" w:rsidRDefault="009303CD" w:rsidP="009303CD">
      <w:pPr>
        <w:pStyle w:val="NPESUbodytext"/>
        <w:rPr>
          <w:rFonts w:cs="Arial"/>
        </w:rPr>
      </w:pPr>
      <w:r w:rsidRPr="00332B2F">
        <w:rPr>
          <w:rFonts w:cs="Arial"/>
        </w:rPr>
        <w:t>Chapter 2</w:t>
      </w:r>
      <w:r w:rsidR="00D000A0">
        <w:rPr>
          <w:rFonts w:cs="Arial"/>
        </w:rPr>
        <w:t xml:space="preserve"> – </w:t>
      </w:r>
      <w:r w:rsidRPr="00332B2F">
        <w:rPr>
          <w:rFonts w:cs="Arial"/>
        </w:rPr>
        <w:t xml:space="preserve">‘Overview of ART treatment in </w:t>
      </w:r>
      <w:r w:rsidR="00D000A0">
        <w:rPr>
          <w:rFonts w:cs="Arial"/>
        </w:rPr>
        <w:t>20</w:t>
      </w:r>
      <w:r w:rsidR="00536AEF">
        <w:rPr>
          <w:rFonts w:cs="Arial"/>
        </w:rPr>
        <w:t>2</w:t>
      </w:r>
      <w:r w:rsidR="00491669">
        <w:rPr>
          <w:rFonts w:cs="Arial"/>
        </w:rPr>
        <w:t>1</w:t>
      </w:r>
      <w:r w:rsidRPr="00332B2F">
        <w:rPr>
          <w:rFonts w:cs="Arial"/>
        </w:rPr>
        <w:t xml:space="preserve">’, provides an outline of the numbers and outcomes of all ART treatments undertaken in New Zealand. </w:t>
      </w:r>
    </w:p>
    <w:p w14:paraId="6E2282C4" w14:textId="23F44D63" w:rsidR="009303CD" w:rsidRPr="00332B2F" w:rsidRDefault="009303CD" w:rsidP="009303CD">
      <w:pPr>
        <w:pStyle w:val="NPESUbodytext"/>
        <w:rPr>
          <w:rFonts w:cs="Arial"/>
        </w:rPr>
      </w:pPr>
      <w:r w:rsidRPr="00332B2F">
        <w:rPr>
          <w:rFonts w:cs="Arial"/>
        </w:rPr>
        <w:t>Chapter 3</w:t>
      </w:r>
      <w:r w:rsidR="00D000A0">
        <w:rPr>
          <w:rFonts w:cs="Arial"/>
        </w:rPr>
        <w:t xml:space="preserve"> – </w:t>
      </w:r>
      <w:r w:rsidRPr="00332B2F">
        <w:rPr>
          <w:rFonts w:cs="Arial"/>
        </w:rPr>
        <w:t xml:space="preserve">‘Autologous and donation/recipient cycles in </w:t>
      </w:r>
      <w:r w:rsidR="00D000A0">
        <w:rPr>
          <w:rFonts w:cs="Arial"/>
        </w:rPr>
        <w:t>20</w:t>
      </w:r>
      <w:r w:rsidR="00536AEF">
        <w:rPr>
          <w:rFonts w:cs="Arial"/>
        </w:rPr>
        <w:t>2</w:t>
      </w:r>
      <w:r w:rsidR="00491669">
        <w:rPr>
          <w:rFonts w:cs="Arial"/>
        </w:rPr>
        <w:t>1</w:t>
      </w:r>
      <w:r w:rsidRPr="00332B2F">
        <w:rPr>
          <w:rFonts w:cs="Arial"/>
        </w:rPr>
        <w:t>’, presents data on women undergoing treatment, cycle types, and the outcomes of treatment.</w:t>
      </w:r>
    </w:p>
    <w:p w14:paraId="3CFF9895" w14:textId="15B653DF" w:rsidR="009303CD" w:rsidRPr="00332B2F" w:rsidRDefault="009303CD" w:rsidP="009303CD">
      <w:pPr>
        <w:pStyle w:val="NPESUbodytext"/>
        <w:rPr>
          <w:rFonts w:cs="Arial"/>
        </w:rPr>
      </w:pPr>
      <w:r w:rsidRPr="00332B2F">
        <w:rPr>
          <w:rFonts w:cs="Arial"/>
        </w:rPr>
        <w:t>Chapter 4</w:t>
      </w:r>
      <w:r w:rsidR="00D000A0">
        <w:rPr>
          <w:rFonts w:cs="Arial"/>
        </w:rPr>
        <w:t xml:space="preserve"> – </w:t>
      </w:r>
      <w:r w:rsidRPr="00332B2F">
        <w:rPr>
          <w:rFonts w:cs="Arial"/>
        </w:rPr>
        <w:t xml:space="preserve">‘Pregnancy and birth outcomes following </w:t>
      </w:r>
      <w:r w:rsidR="00AA18F7">
        <w:rPr>
          <w:rFonts w:cs="Arial"/>
        </w:rPr>
        <w:t>autologous and recipient</w:t>
      </w:r>
      <w:r w:rsidRPr="00332B2F">
        <w:rPr>
          <w:rFonts w:cs="Arial"/>
        </w:rPr>
        <w:t xml:space="preserve"> cycles in </w:t>
      </w:r>
      <w:r w:rsidR="00D000A0">
        <w:rPr>
          <w:rFonts w:cs="Arial"/>
        </w:rPr>
        <w:t>20</w:t>
      </w:r>
      <w:r w:rsidR="00536AEF">
        <w:rPr>
          <w:rFonts w:cs="Arial"/>
        </w:rPr>
        <w:t>2</w:t>
      </w:r>
      <w:r w:rsidR="00491669">
        <w:rPr>
          <w:rFonts w:cs="Arial"/>
        </w:rPr>
        <w:t>1</w:t>
      </w:r>
      <w:r w:rsidRPr="00332B2F">
        <w:rPr>
          <w:rFonts w:cs="Arial"/>
        </w:rPr>
        <w:t xml:space="preserve">’, presents data on the outcomes of clinical pregnancies and </w:t>
      </w:r>
      <w:r w:rsidR="00C736CE">
        <w:rPr>
          <w:rFonts w:cs="Arial"/>
        </w:rPr>
        <w:t>births</w:t>
      </w:r>
      <w:r w:rsidRPr="00332B2F">
        <w:rPr>
          <w:rFonts w:cs="Arial"/>
        </w:rPr>
        <w:t xml:space="preserve"> following autologous and recipient cycles including a description of perinatal outcomes. </w:t>
      </w:r>
    </w:p>
    <w:p w14:paraId="348D5DE0" w14:textId="69778A6C" w:rsidR="009303CD" w:rsidRPr="00332B2F" w:rsidRDefault="009303CD" w:rsidP="009303CD">
      <w:pPr>
        <w:pStyle w:val="NPESUbodytext"/>
        <w:rPr>
          <w:rFonts w:cs="Arial"/>
        </w:rPr>
      </w:pPr>
      <w:r w:rsidRPr="00332B2F">
        <w:rPr>
          <w:rFonts w:cs="Arial"/>
        </w:rPr>
        <w:t>Chapter 5</w:t>
      </w:r>
      <w:r w:rsidR="00D000A0">
        <w:rPr>
          <w:rFonts w:cs="Arial"/>
        </w:rPr>
        <w:t xml:space="preserve"> – </w:t>
      </w:r>
      <w:r w:rsidRPr="00332B2F">
        <w:rPr>
          <w:rFonts w:cs="Arial"/>
        </w:rPr>
        <w:t xml:space="preserve">‘Preimplantation genetic </w:t>
      </w:r>
      <w:r w:rsidR="00C93534">
        <w:rPr>
          <w:rFonts w:cs="Arial"/>
        </w:rPr>
        <w:t>testing in 20</w:t>
      </w:r>
      <w:r w:rsidR="00536AEF">
        <w:rPr>
          <w:rFonts w:cs="Arial"/>
        </w:rPr>
        <w:t>2</w:t>
      </w:r>
      <w:r w:rsidR="00491669">
        <w:rPr>
          <w:rFonts w:cs="Arial"/>
        </w:rPr>
        <w:t>1</w:t>
      </w:r>
      <w:r w:rsidR="00C93534" w:rsidRPr="00332B2F">
        <w:rPr>
          <w:rFonts w:cs="Arial"/>
        </w:rPr>
        <w:t>’</w:t>
      </w:r>
      <w:r w:rsidRPr="00332B2F">
        <w:rPr>
          <w:rFonts w:cs="Arial"/>
        </w:rPr>
        <w:t>, includes information on the numbers of embryos that had cells removed and analysed for chromosomal disorders or genetic diseases before transfer.</w:t>
      </w:r>
    </w:p>
    <w:p w14:paraId="2E573ABC" w14:textId="4D7ADDDD" w:rsidR="009303CD" w:rsidRPr="00332B2F" w:rsidRDefault="009303CD" w:rsidP="009303CD">
      <w:pPr>
        <w:pStyle w:val="NPESUbodytext"/>
        <w:rPr>
          <w:rFonts w:cs="Arial"/>
        </w:rPr>
      </w:pPr>
      <w:r w:rsidRPr="00332B2F">
        <w:rPr>
          <w:rFonts w:cs="Arial"/>
        </w:rPr>
        <w:t>Chapter 6</w:t>
      </w:r>
      <w:r w:rsidR="00D000A0">
        <w:rPr>
          <w:rFonts w:cs="Arial"/>
        </w:rPr>
        <w:t xml:space="preserve"> – ‘</w:t>
      </w:r>
      <w:r w:rsidRPr="00332B2F">
        <w:rPr>
          <w:rFonts w:cs="Arial"/>
        </w:rPr>
        <w:t xml:space="preserve">Donor insemination cycles in </w:t>
      </w:r>
      <w:r w:rsidR="00D000A0">
        <w:rPr>
          <w:rFonts w:cs="Arial"/>
        </w:rPr>
        <w:t>20</w:t>
      </w:r>
      <w:r w:rsidR="00536AEF">
        <w:rPr>
          <w:rFonts w:cs="Arial"/>
        </w:rPr>
        <w:t>2</w:t>
      </w:r>
      <w:r w:rsidR="00491669">
        <w:rPr>
          <w:rFonts w:cs="Arial"/>
        </w:rPr>
        <w:t>1</w:t>
      </w:r>
      <w:r w:rsidRPr="00332B2F">
        <w:rPr>
          <w:rFonts w:cs="Arial"/>
        </w:rPr>
        <w:t xml:space="preserve">’, presents data on DI cycles and their outcomes, including a description of pregnancy and perinatal outcomes. </w:t>
      </w:r>
    </w:p>
    <w:p w14:paraId="63750866" w14:textId="7DA7DFB6" w:rsidR="009303CD" w:rsidRPr="00F91E18" w:rsidRDefault="009303CD" w:rsidP="009303CD">
      <w:pPr>
        <w:pStyle w:val="NPESUbodytext"/>
        <w:rPr>
          <w:rFonts w:cs="Arial"/>
        </w:rPr>
      </w:pPr>
      <w:r w:rsidRPr="00F91E18">
        <w:rPr>
          <w:rFonts w:cs="Arial"/>
        </w:rPr>
        <w:t>Chapter 7</w:t>
      </w:r>
      <w:r w:rsidR="00D000A0" w:rsidRPr="00F91E18">
        <w:rPr>
          <w:rFonts w:cs="Arial"/>
        </w:rPr>
        <w:t xml:space="preserve"> – </w:t>
      </w:r>
      <w:r w:rsidRPr="00F91E18">
        <w:rPr>
          <w:rFonts w:cs="Arial"/>
        </w:rPr>
        <w:t>‘Trends in ART treatment and outcomes 20</w:t>
      </w:r>
      <w:r w:rsidR="00E16051" w:rsidRPr="00F91E18">
        <w:rPr>
          <w:rFonts w:cs="Arial"/>
        </w:rPr>
        <w:t>1</w:t>
      </w:r>
      <w:r w:rsidR="00491669">
        <w:rPr>
          <w:rFonts w:cs="Arial"/>
        </w:rPr>
        <w:t>7</w:t>
      </w:r>
      <w:r w:rsidRPr="00F91E18">
        <w:rPr>
          <w:rFonts w:cs="Arial"/>
        </w:rPr>
        <w:t>-</w:t>
      </w:r>
      <w:r w:rsidR="00D000A0" w:rsidRPr="00F91E18">
        <w:rPr>
          <w:rFonts w:cs="Arial"/>
        </w:rPr>
        <w:t>20</w:t>
      </w:r>
      <w:r w:rsidR="00536AEF">
        <w:rPr>
          <w:rFonts w:cs="Arial"/>
        </w:rPr>
        <w:t>2</w:t>
      </w:r>
      <w:r w:rsidR="00491669">
        <w:rPr>
          <w:rFonts w:cs="Arial"/>
        </w:rPr>
        <w:t>1</w:t>
      </w:r>
      <w:r w:rsidR="00FF632A" w:rsidRPr="00F91E18">
        <w:rPr>
          <w:rFonts w:cs="Arial"/>
        </w:rPr>
        <w:t>’</w:t>
      </w:r>
      <w:r w:rsidRPr="00F91E18">
        <w:rPr>
          <w:rFonts w:cs="Arial"/>
        </w:rPr>
        <w:t xml:space="preserve">, presents trends in ART treatment over the last </w:t>
      </w:r>
      <w:r w:rsidR="003A54FB" w:rsidRPr="00F91E18">
        <w:rPr>
          <w:rFonts w:cs="Arial"/>
        </w:rPr>
        <w:t xml:space="preserve">five </w:t>
      </w:r>
      <w:r w:rsidRPr="00F91E18">
        <w:rPr>
          <w:rFonts w:cs="Arial"/>
        </w:rPr>
        <w:t>years of data collection in New Zealand.</w:t>
      </w:r>
    </w:p>
    <w:p w14:paraId="1BD0238C" w14:textId="63F4C0E4" w:rsidR="009303CD" w:rsidRDefault="009303CD" w:rsidP="009303CD">
      <w:pPr>
        <w:pStyle w:val="NPESUbodytext"/>
        <w:rPr>
          <w:rFonts w:cs="Arial"/>
        </w:rPr>
      </w:pPr>
      <w:r w:rsidRPr="00952173">
        <w:rPr>
          <w:rFonts w:cs="Arial"/>
        </w:rPr>
        <w:t>Chapter 8</w:t>
      </w:r>
      <w:r w:rsidR="00D000A0" w:rsidRPr="00952173">
        <w:rPr>
          <w:rFonts w:cs="Arial"/>
        </w:rPr>
        <w:t xml:space="preserve"> – </w:t>
      </w:r>
      <w:r w:rsidRPr="00952173">
        <w:rPr>
          <w:rFonts w:cs="Arial"/>
        </w:rPr>
        <w:t xml:space="preserve">‘Cumulative success rates for women undertaking autologous treatment </w:t>
      </w:r>
      <w:r w:rsidR="006E4DCE" w:rsidRPr="00952173">
        <w:rPr>
          <w:rFonts w:cs="Arial"/>
        </w:rPr>
        <w:t>201</w:t>
      </w:r>
      <w:r w:rsidR="00491669">
        <w:rPr>
          <w:rFonts w:cs="Arial"/>
        </w:rPr>
        <w:t>9</w:t>
      </w:r>
      <w:r w:rsidRPr="00952173">
        <w:rPr>
          <w:rFonts w:cs="Arial"/>
        </w:rPr>
        <w:t>-</w:t>
      </w:r>
      <w:r w:rsidR="006E4DCE" w:rsidRPr="00952173">
        <w:rPr>
          <w:rFonts w:cs="Arial"/>
        </w:rPr>
        <w:t>20</w:t>
      </w:r>
      <w:r w:rsidR="00536AEF">
        <w:rPr>
          <w:rFonts w:cs="Arial"/>
        </w:rPr>
        <w:t>2</w:t>
      </w:r>
      <w:r w:rsidR="00491669">
        <w:rPr>
          <w:rFonts w:cs="Arial"/>
        </w:rPr>
        <w:t>1</w:t>
      </w:r>
      <w:r w:rsidR="006E4DCE" w:rsidRPr="00952173">
        <w:rPr>
          <w:rFonts w:cs="Arial"/>
        </w:rPr>
        <w:t>’</w:t>
      </w:r>
      <w:r w:rsidRPr="00952173">
        <w:rPr>
          <w:rFonts w:cs="Arial"/>
        </w:rPr>
        <w:t>, presents information on all women who started their first autologous fresh ART treatment cycle between 1</w:t>
      </w:r>
      <w:r w:rsidRPr="00952173">
        <w:rPr>
          <w:rFonts w:cs="Arial"/>
          <w:vertAlign w:val="superscript"/>
        </w:rPr>
        <w:t>st</w:t>
      </w:r>
      <w:r w:rsidRPr="00952173">
        <w:rPr>
          <w:rFonts w:cs="Arial"/>
        </w:rPr>
        <w:t xml:space="preserve"> January </w:t>
      </w:r>
      <w:r w:rsidR="006E4DCE" w:rsidRPr="00952173">
        <w:rPr>
          <w:rFonts w:cs="Arial"/>
        </w:rPr>
        <w:t>201</w:t>
      </w:r>
      <w:r w:rsidR="00491669">
        <w:rPr>
          <w:rFonts w:cs="Arial"/>
        </w:rPr>
        <w:t>9</w:t>
      </w:r>
      <w:r w:rsidR="006E4DCE" w:rsidRPr="00952173">
        <w:rPr>
          <w:rFonts w:cs="Arial"/>
        </w:rPr>
        <w:t xml:space="preserve"> </w:t>
      </w:r>
      <w:r w:rsidRPr="00952173">
        <w:rPr>
          <w:rFonts w:cs="Arial"/>
        </w:rPr>
        <w:t>and 31</w:t>
      </w:r>
      <w:r w:rsidRPr="00952173">
        <w:rPr>
          <w:rFonts w:cs="Arial"/>
          <w:vertAlign w:val="superscript"/>
        </w:rPr>
        <w:t>st</w:t>
      </w:r>
      <w:r w:rsidRPr="00952173">
        <w:rPr>
          <w:rFonts w:cs="Arial"/>
        </w:rPr>
        <w:t xml:space="preserve"> December </w:t>
      </w:r>
      <w:r w:rsidR="006E4DCE" w:rsidRPr="00952173">
        <w:rPr>
          <w:rFonts w:cs="Arial"/>
        </w:rPr>
        <w:t>201</w:t>
      </w:r>
      <w:r w:rsidR="00491669">
        <w:rPr>
          <w:rFonts w:cs="Arial"/>
        </w:rPr>
        <w:t>9</w:t>
      </w:r>
      <w:r w:rsidRPr="00952173">
        <w:rPr>
          <w:rFonts w:cs="Arial"/>
        </w:rPr>
        <w:t>.</w:t>
      </w:r>
    </w:p>
    <w:p w14:paraId="7AD2C10A" w14:textId="63A0E7C0" w:rsidR="00536AEF" w:rsidRPr="00952173" w:rsidRDefault="00536AEF" w:rsidP="00536AEF">
      <w:pPr>
        <w:pStyle w:val="NPESUbodytext"/>
        <w:rPr>
          <w:rFonts w:cs="Arial"/>
        </w:rPr>
      </w:pPr>
      <w:r w:rsidRPr="00952173">
        <w:rPr>
          <w:rFonts w:cs="Arial"/>
        </w:rPr>
        <w:t xml:space="preserve">Chapter </w:t>
      </w:r>
      <w:r>
        <w:rPr>
          <w:rFonts w:cs="Arial"/>
        </w:rPr>
        <w:t>9</w:t>
      </w:r>
      <w:r w:rsidRPr="00952173">
        <w:rPr>
          <w:rFonts w:cs="Arial"/>
        </w:rPr>
        <w:t xml:space="preserve"> – ‘Cumulative success rates for women undertaking autologous treatment 201</w:t>
      </w:r>
      <w:r w:rsidR="00491669">
        <w:rPr>
          <w:rFonts w:cs="Arial"/>
        </w:rPr>
        <w:t>8</w:t>
      </w:r>
      <w:r w:rsidRPr="00952173">
        <w:rPr>
          <w:rFonts w:cs="Arial"/>
        </w:rPr>
        <w:t>-20</w:t>
      </w:r>
      <w:r>
        <w:rPr>
          <w:rFonts w:cs="Arial"/>
        </w:rPr>
        <w:t>2</w:t>
      </w:r>
      <w:r w:rsidR="00491669">
        <w:rPr>
          <w:rFonts w:cs="Arial"/>
        </w:rPr>
        <w:t>1</w:t>
      </w:r>
      <w:r w:rsidRPr="00952173">
        <w:rPr>
          <w:rFonts w:cs="Arial"/>
        </w:rPr>
        <w:t>’, presents information on all women who started their first autologous fresh ART treatment cycle between 1</w:t>
      </w:r>
      <w:r w:rsidRPr="00952173">
        <w:rPr>
          <w:rFonts w:cs="Arial"/>
          <w:vertAlign w:val="superscript"/>
        </w:rPr>
        <w:t>st</w:t>
      </w:r>
      <w:r w:rsidRPr="00952173">
        <w:rPr>
          <w:rFonts w:cs="Arial"/>
        </w:rPr>
        <w:t xml:space="preserve"> January 201</w:t>
      </w:r>
      <w:r w:rsidR="00491669">
        <w:rPr>
          <w:rFonts w:cs="Arial"/>
        </w:rPr>
        <w:t>8</w:t>
      </w:r>
      <w:r w:rsidRPr="00952173">
        <w:rPr>
          <w:rFonts w:cs="Arial"/>
        </w:rPr>
        <w:t xml:space="preserve"> and 31</w:t>
      </w:r>
      <w:r w:rsidRPr="00952173">
        <w:rPr>
          <w:rFonts w:cs="Arial"/>
          <w:vertAlign w:val="superscript"/>
        </w:rPr>
        <w:t>st</w:t>
      </w:r>
      <w:r w:rsidRPr="00952173">
        <w:rPr>
          <w:rFonts w:cs="Arial"/>
        </w:rPr>
        <w:t xml:space="preserve"> December 201</w:t>
      </w:r>
      <w:r w:rsidR="00491669">
        <w:rPr>
          <w:rFonts w:cs="Arial"/>
        </w:rPr>
        <w:t>8</w:t>
      </w:r>
      <w:r w:rsidRPr="00952173">
        <w:rPr>
          <w:rFonts w:cs="Arial"/>
        </w:rPr>
        <w:t>.</w:t>
      </w:r>
    </w:p>
    <w:p w14:paraId="12FE05E9" w14:textId="77777777" w:rsidR="00536AEF" w:rsidRPr="00952173" w:rsidRDefault="00536AEF" w:rsidP="009303CD">
      <w:pPr>
        <w:pStyle w:val="NPESUbodytext"/>
        <w:rPr>
          <w:rFonts w:cs="Arial"/>
        </w:rPr>
      </w:pPr>
    </w:p>
    <w:p w14:paraId="1AF07A51" w14:textId="5DDF03C1" w:rsidR="009303CD" w:rsidRPr="00952173" w:rsidRDefault="009303CD" w:rsidP="009303CD">
      <w:pPr>
        <w:pStyle w:val="NPESUbodytext"/>
        <w:rPr>
          <w:rFonts w:cs="Arial"/>
        </w:rPr>
      </w:pPr>
      <w:r w:rsidRPr="00F91E18">
        <w:rPr>
          <w:rFonts w:cs="Arial"/>
        </w:rPr>
        <w:t>Appendices</w:t>
      </w:r>
      <w:r w:rsidR="00D000A0" w:rsidRPr="00F91E18">
        <w:rPr>
          <w:rFonts w:cs="Arial"/>
        </w:rPr>
        <w:t xml:space="preserve"> – </w:t>
      </w:r>
      <w:r w:rsidRPr="00F91E18">
        <w:rPr>
          <w:rFonts w:cs="Arial"/>
        </w:rPr>
        <w:t xml:space="preserve">Appendix A lists the contributing fertility clinics. Appendix B provides an overview of the </w:t>
      </w:r>
      <w:r w:rsidRPr="00952173">
        <w:rPr>
          <w:rFonts w:cs="Arial"/>
        </w:rPr>
        <w:t>ANZARD</w:t>
      </w:r>
      <w:r w:rsidR="00D000A0" w:rsidRPr="00952173">
        <w:rPr>
          <w:rFonts w:cs="Arial"/>
        </w:rPr>
        <w:t xml:space="preserve"> </w:t>
      </w:r>
      <w:r w:rsidR="00536AEF">
        <w:rPr>
          <w:rFonts w:cs="Arial"/>
        </w:rPr>
        <w:t>3</w:t>
      </w:r>
      <w:r w:rsidRPr="00952173">
        <w:rPr>
          <w:rFonts w:cs="Arial"/>
        </w:rPr>
        <w:t xml:space="preserve">.0 </w:t>
      </w:r>
      <w:r w:rsidRPr="00F91E18">
        <w:rPr>
          <w:rFonts w:cs="Arial"/>
        </w:rPr>
        <w:t>data collection that was used to prepare this report.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bookmarkEnd w:id="201"/>
    <w:p w14:paraId="169141B5" w14:textId="77777777" w:rsidR="009303CD" w:rsidRPr="00617599" w:rsidRDefault="009303CD" w:rsidP="009303CD">
      <w:pPr>
        <w:pStyle w:val="AIHWbodytext"/>
        <w:rPr>
          <w:rFonts w:cs="Arial"/>
          <w:color w:val="auto"/>
          <w:szCs w:val="22"/>
          <w:lang w:eastAsia="en-AU"/>
        </w:rPr>
      </w:pPr>
    </w:p>
    <w:p w14:paraId="5D926CC8" w14:textId="05B95DA4" w:rsidR="009303CD" w:rsidRPr="00360E75" w:rsidRDefault="009303CD" w:rsidP="00814AD1">
      <w:pPr>
        <w:pStyle w:val="Heading1"/>
        <w:numPr>
          <w:ilvl w:val="0"/>
          <w:numId w:val="3"/>
        </w:numPr>
        <w:ind w:left="851" w:hanging="491"/>
        <w:rPr>
          <w:rFonts w:cs="Arial"/>
        </w:rPr>
      </w:pPr>
      <w:bookmarkStart w:id="202" w:name="_Toc453054826"/>
      <w:bookmarkStart w:id="203" w:name="_Toc452112613"/>
      <w:bookmarkStart w:id="204" w:name="_Toc15956871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360E75">
        <w:rPr>
          <w:rFonts w:cs="Arial"/>
        </w:rPr>
        <w:lastRenderedPageBreak/>
        <w:t xml:space="preserve">Overview of ART treatment in </w:t>
      </w:r>
      <w:r w:rsidR="002C669F" w:rsidRPr="00360E75">
        <w:rPr>
          <w:rFonts w:cs="Arial"/>
        </w:rPr>
        <w:t>20</w:t>
      </w:r>
      <w:r w:rsidR="00536AEF">
        <w:rPr>
          <w:rFonts w:cs="Arial"/>
        </w:rPr>
        <w:t>2</w:t>
      </w:r>
      <w:bookmarkEnd w:id="202"/>
      <w:bookmarkEnd w:id="203"/>
      <w:r w:rsidR="00491669">
        <w:rPr>
          <w:rFonts w:cs="Arial"/>
        </w:rPr>
        <w:t>1</w:t>
      </w:r>
      <w:bookmarkEnd w:id="204"/>
    </w:p>
    <w:p w14:paraId="4A28BF24" w14:textId="7B8C0643" w:rsidR="00EC4BB6" w:rsidRDefault="009303CD" w:rsidP="00EC4BB6">
      <w:pPr>
        <w:pStyle w:val="NPESUbodytext"/>
        <w:rPr>
          <w:rFonts w:cs="Arial"/>
          <w:lang w:eastAsia="en-AU"/>
        </w:rPr>
      </w:pPr>
      <w:r w:rsidRPr="00617599">
        <w:rPr>
          <w:rFonts w:cs="Arial"/>
          <w:lang w:eastAsia="en-AU"/>
        </w:rPr>
        <w:t xml:space="preserve">There </w:t>
      </w:r>
      <w:r w:rsidR="005C01EC" w:rsidRPr="00617599">
        <w:rPr>
          <w:rFonts w:cs="Arial"/>
          <w:lang w:eastAsia="en-AU"/>
        </w:rPr>
        <w:t xml:space="preserve">were </w:t>
      </w:r>
      <w:r w:rsidR="005E5FBE">
        <w:rPr>
          <w:rFonts w:cs="Arial"/>
          <w:lang w:eastAsia="en-AU"/>
        </w:rPr>
        <w:t>8,</w:t>
      </w:r>
      <w:r w:rsidR="00491669">
        <w:rPr>
          <w:rFonts w:cs="Arial"/>
          <w:lang w:eastAsia="en-AU"/>
        </w:rPr>
        <w:t>861</w:t>
      </w:r>
      <w:r w:rsidR="0026421C">
        <w:rPr>
          <w:rFonts w:cs="Arial"/>
          <w:lang w:eastAsia="en-AU"/>
        </w:rPr>
        <w:t xml:space="preserve"> </w:t>
      </w:r>
      <w:r w:rsidRPr="00617599">
        <w:rPr>
          <w:rFonts w:cs="Arial"/>
          <w:lang w:eastAsia="en-AU"/>
        </w:rPr>
        <w:t xml:space="preserve">assisted </w:t>
      </w:r>
      <w:r w:rsidRPr="00554AAC">
        <w:rPr>
          <w:rFonts w:cs="Arial"/>
          <w:lang w:eastAsia="en-AU"/>
        </w:rPr>
        <w:t xml:space="preserve">reproductive technology (ART) treatment cycles reported from New Zealand clinics in </w:t>
      </w:r>
      <w:r w:rsidR="002C669F">
        <w:rPr>
          <w:rFonts w:cs="Arial"/>
          <w:lang w:eastAsia="en-AU"/>
        </w:rPr>
        <w:t>20</w:t>
      </w:r>
      <w:r w:rsidR="005E5FBE">
        <w:rPr>
          <w:rFonts w:cs="Arial"/>
          <w:lang w:eastAsia="en-AU"/>
        </w:rPr>
        <w:t>2</w:t>
      </w:r>
      <w:r w:rsidR="001267A1">
        <w:rPr>
          <w:rFonts w:cs="Arial"/>
          <w:lang w:eastAsia="en-AU"/>
        </w:rPr>
        <w:t>1</w:t>
      </w:r>
      <w:r w:rsidRPr="00554AAC">
        <w:rPr>
          <w:rFonts w:cs="Arial"/>
          <w:lang w:eastAsia="en-AU"/>
        </w:rPr>
        <w:t xml:space="preserve">. </w:t>
      </w:r>
      <w:r w:rsidRPr="00952173">
        <w:rPr>
          <w:rFonts w:cs="Arial"/>
        </w:rPr>
        <w:t xml:space="preserve">This represented </w:t>
      </w:r>
      <w:r w:rsidR="005111BE">
        <w:rPr>
          <w:rFonts w:cs="Arial"/>
        </w:rPr>
        <w:t>8.</w:t>
      </w:r>
      <w:r w:rsidR="001B468C">
        <w:rPr>
          <w:rFonts w:cs="Arial"/>
        </w:rPr>
        <w:t>7</w:t>
      </w:r>
      <w:r w:rsidR="00F96E1D" w:rsidRPr="00952173">
        <w:rPr>
          <w:rFonts w:cs="Arial"/>
        </w:rPr>
        <w:t xml:space="preserve"> </w:t>
      </w:r>
      <w:r w:rsidRPr="00952173">
        <w:rPr>
          <w:rFonts w:cs="Arial"/>
        </w:rPr>
        <w:t>cycles per 1,000 women of reproductive age (15-44 years) in New Zealand</w:t>
      </w:r>
      <w:r w:rsidR="004238ED" w:rsidRPr="00952173">
        <w:rPr>
          <w:rFonts w:cs="Arial"/>
        </w:rPr>
        <w:t xml:space="preserve"> (Statistics New Zealand, </w:t>
      </w:r>
      <w:r w:rsidR="00F96E1D" w:rsidRPr="00952173">
        <w:rPr>
          <w:rFonts w:cs="Arial"/>
        </w:rPr>
        <w:t>20</w:t>
      </w:r>
      <w:r w:rsidR="005111BE">
        <w:rPr>
          <w:rFonts w:cs="Arial"/>
        </w:rPr>
        <w:t>2</w:t>
      </w:r>
      <w:r w:rsidR="001B468C">
        <w:rPr>
          <w:rFonts w:cs="Arial"/>
        </w:rPr>
        <w:t>1</w:t>
      </w:r>
      <w:r w:rsidR="004238ED" w:rsidRPr="00952173">
        <w:rPr>
          <w:rFonts w:cs="Arial"/>
        </w:rPr>
        <w:t>)</w:t>
      </w:r>
      <w:r w:rsidRPr="00952173">
        <w:rPr>
          <w:rFonts w:cs="Arial"/>
        </w:rPr>
        <w:t xml:space="preserve">. </w:t>
      </w:r>
      <w:r w:rsidRPr="00584635">
        <w:rPr>
          <w:rFonts w:cs="Arial"/>
          <w:lang w:eastAsia="en-AU"/>
        </w:rPr>
        <w:t>Of</w:t>
      </w:r>
      <w:r w:rsidRPr="00617599">
        <w:rPr>
          <w:rFonts w:cs="Arial"/>
          <w:lang w:eastAsia="en-AU"/>
        </w:rPr>
        <w:t xml:space="preserve"> these</w:t>
      </w:r>
      <w:r w:rsidR="00063E10">
        <w:rPr>
          <w:rFonts w:cs="Arial"/>
          <w:lang w:eastAsia="en-AU"/>
        </w:rPr>
        <w:t>,</w:t>
      </w:r>
      <w:r w:rsidRPr="00617599">
        <w:rPr>
          <w:rFonts w:cs="Arial"/>
          <w:lang w:eastAsia="en-AU"/>
        </w:rPr>
        <w:t xml:space="preserve"> </w:t>
      </w:r>
      <w:r w:rsidR="0026421C" w:rsidRPr="00C447F1">
        <w:rPr>
          <w:rFonts w:cs="Arial"/>
          <w:lang w:eastAsia="en-AU"/>
        </w:rPr>
        <w:t>9</w:t>
      </w:r>
      <w:r w:rsidR="005E5FBE">
        <w:rPr>
          <w:rFonts w:cs="Arial"/>
          <w:lang w:eastAsia="en-AU"/>
        </w:rPr>
        <w:t>3</w:t>
      </w:r>
      <w:r w:rsidR="00C447F1" w:rsidRPr="00C447F1">
        <w:rPr>
          <w:rFonts w:cs="Arial"/>
          <w:lang w:eastAsia="en-AU"/>
        </w:rPr>
        <w:t>.</w:t>
      </w:r>
      <w:r w:rsidR="00491669">
        <w:rPr>
          <w:rFonts w:cs="Arial"/>
          <w:lang w:eastAsia="en-AU"/>
        </w:rPr>
        <w:t>1</w:t>
      </w:r>
      <w:r w:rsidRPr="00C447F1">
        <w:rPr>
          <w:rFonts w:cs="Arial"/>
          <w:lang w:eastAsia="en-AU"/>
        </w:rPr>
        <w:t xml:space="preserve">% </w:t>
      </w:r>
      <w:r w:rsidRPr="00617599">
        <w:rPr>
          <w:rFonts w:cs="Arial"/>
          <w:lang w:eastAsia="en-AU"/>
        </w:rPr>
        <w:t xml:space="preserve">of cycles were autologous cycles (where a woman used </w:t>
      </w:r>
      <w:r w:rsidR="00063E10">
        <w:rPr>
          <w:rFonts w:cs="Arial"/>
          <w:lang w:eastAsia="en-AU"/>
        </w:rPr>
        <w:t xml:space="preserve">or intended to use </w:t>
      </w:r>
      <w:r w:rsidRPr="00617599">
        <w:rPr>
          <w:rFonts w:cs="Arial"/>
          <w:lang w:eastAsia="en-AU"/>
        </w:rPr>
        <w:t xml:space="preserve">her own oocytes or embryos). </w:t>
      </w:r>
    </w:p>
    <w:p w14:paraId="76981F72" w14:textId="2EAF02BC" w:rsidR="00EC4BB6" w:rsidRDefault="00FF632A" w:rsidP="00EC4BB6">
      <w:pPr>
        <w:pStyle w:val="NPESUbodytext"/>
        <w:rPr>
          <w:rFonts w:cs="Arial"/>
          <w:lang w:eastAsia="en-AU"/>
        </w:rPr>
      </w:pPr>
      <w:r>
        <w:rPr>
          <w:rFonts w:cs="Arial"/>
          <w:lang w:eastAsia="en-AU"/>
        </w:rPr>
        <w:t>There were</w:t>
      </w:r>
      <w:r w:rsidR="005C01EC" w:rsidRPr="005108F5">
        <w:rPr>
          <w:rFonts w:cs="Arial"/>
          <w:lang w:eastAsia="en-AU"/>
        </w:rPr>
        <w:t xml:space="preserve">, </w:t>
      </w:r>
      <w:r w:rsidR="00491669">
        <w:rPr>
          <w:rFonts w:cs="Arial"/>
          <w:lang w:eastAsia="en-AU"/>
        </w:rPr>
        <w:t>8,247</w:t>
      </w:r>
      <w:r w:rsidR="005E5FBE">
        <w:rPr>
          <w:rFonts w:cs="Arial"/>
          <w:lang w:eastAsia="en-AU"/>
        </w:rPr>
        <w:t xml:space="preserve"> </w:t>
      </w:r>
      <w:r w:rsidR="00EE68A8">
        <w:rPr>
          <w:rFonts w:cs="Arial"/>
          <w:lang w:eastAsia="en-AU"/>
        </w:rPr>
        <w:t>autologous cycles in 20</w:t>
      </w:r>
      <w:r w:rsidR="005E5FBE">
        <w:rPr>
          <w:rFonts w:cs="Arial"/>
          <w:lang w:eastAsia="en-AU"/>
        </w:rPr>
        <w:t>2</w:t>
      </w:r>
      <w:r w:rsidR="00491669">
        <w:rPr>
          <w:rFonts w:cs="Arial"/>
          <w:lang w:eastAsia="en-AU"/>
        </w:rPr>
        <w:t>1</w:t>
      </w:r>
      <w:r w:rsidR="00EE68A8">
        <w:rPr>
          <w:rFonts w:cs="Arial"/>
          <w:lang w:eastAsia="en-AU"/>
        </w:rPr>
        <w:t xml:space="preserve">. Of these, </w:t>
      </w:r>
      <w:r w:rsidR="005E5FBE">
        <w:rPr>
          <w:rFonts w:cs="Arial"/>
          <w:lang w:eastAsia="en-AU"/>
        </w:rPr>
        <w:t>4,</w:t>
      </w:r>
      <w:r w:rsidR="00491669">
        <w:rPr>
          <w:rFonts w:cs="Arial"/>
          <w:lang w:eastAsia="en-AU"/>
        </w:rPr>
        <w:t>219</w:t>
      </w:r>
      <w:r w:rsidR="00233C7D" w:rsidRPr="00BA46AF">
        <w:rPr>
          <w:rFonts w:cs="Arial"/>
          <w:lang w:eastAsia="en-AU"/>
        </w:rPr>
        <w:t xml:space="preserve"> </w:t>
      </w:r>
      <w:r w:rsidR="009303CD" w:rsidRPr="00BA46AF">
        <w:rPr>
          <w:rFonts w:cs="Arial"/>
          <w:lang w:eastAsia="en-AU"/>
        </w:rPr>
        <w:t>(</w:t>
      </w:r>
      <w:r w:rsidR="00772356">
        <w:rPr>
          <w:rFonts w:cs="Arial"/>
          <w:lang w:eastAsia="en-AU"/>
        </w:rPr>
        <w:t>51.</w:t>
      </w:r>
      <w:r w:rsidR="00491669">
        <w:rPr>
          <w:rFonts w:cs="Arial"/>
          <w:lang w:eastAsia="en-AU"/>
        </w:rPr>
        <w:t>2</w:t>
      </w:r>
      <w:r w:rsidR="009303CD" w:rsidRPr="00BA46AF">
        <w:rPr>
          <w:rFonts w:cs="Arial"/>
          <w:lang w:eastAsia="en-AU"/>
        </w:rPr>
        <w:t xml:space="preserve">%) </w:t>
      </w:r>
      <w:r w:rsidR="00EE68A8">
        <w:rPr>
          <w:rFonts w:cs="Arial"/>
          <w:lang w:eastAsia="en-AU"/>
        </w:rPr>
        <w:t>were fresh</w:t>
      </w:r>
      <w:r>
        <w:rPr>
          <w:rFonts w:cs="Arial"/>
          <w:lang w:eastAsia="en-AU"/>
        </w:rPr>
        <w:t xml:space="preserve"> </w:t>
      </w:r>
      <w:r w:rsidR="009303CD" w:rsidRPr="005108F5">
        <w:rPr>
          <w:rFonts w:cs="Arial"/>
          <w:lang w:eastAsia="en-AU"/>
        </w:rPr>
        <w:t xml:space="preserve">cycles and </w:t>
      </w:r>
      <w:r w:rsidR="00491669">
        <w:rPr>
          <w:rFonts w:cs="Arial"/>
          <w:lang w:eastAsia="en-AU"/>
        </w:rPr>
        <w:t>4,028</w:t>
      </w:r>
      <w:r w:rsidR="005C01EC" w:rsidRPr="00BA46AF">
        <w:rPr>
          <w:rFonts w:cs="Arial"/>
          <w:lang w:eastAsia="en-AU"/>
        </w:rPr>
        <w:t xml:space="preserve"> (</w:t>
      </w:r>
      <w:r w:rsidR="005E5FBE">
        <w:rPr>
          <w:rFonts w:cs="Arial"/>
          <w:lang w:eastAsia="en-AU"/>
        </w:rPr>
        <w:t>4</w:t>
      </w:r>
      <w:r w:rsidR="00772356">
        <w:rPr>
          <w:rFonts w:cs="Arial"/>
          <w:lang w:eastAsia="en-AU"/>
        </w:rPr>
        <w:t>8.</w:t>
      </w:r>
      <w:r w:rsidR="00491669">
        <w:rPr>
          <w:rFonts w:cs="Arial"/>
          <w:lang w:eastAsia="en-AU"/>
        </w:rPr>
        <w:t>8</w:t>
      </w:r>
      <w:r w:rsidR="009303CD" w:rsidRPr="00BA46AF">
        <w:rPr>
          <w:rFonts w:cs="Arial"/>
          <w:lang w:eastAsia="en-AU"/>
        </w:rPr>
        <w:t>%)</w:t>
      </w:r>
      <w:r w:rsidR="009303CD" w:rsidRPr="007A4B13">
        <w:rPr>
          <w:rFonts w:cs="Arial"/>
          <w:color w:val="FF0000"/>
          <w:lang w:eastAsia="en-AU"/>
        </w:rPr>
        <w:t xml:space="preserve"> </w:t>
      </w:r>
      <w:r w:rsidR="00EE68A8">
        <w:rPr>
          <w:rFonts w:cs="Arial"/>
          <w:lang w:eastAsia="en-AU"/>
        </w:rPr>
        <w:t xml:space="preserve">were </w:t>
      </w:r>
      <w:r w:rsidR="009303CD" w:rsidRPr="00617599">
        <w:rPr>
          <w:rFonts w:cs="Arial"/>
          <w:lang w:eastAsia="en-AU"/>
        </w:rPr>
        <w:t xml:space="preserve">thaw cycles. Other treatment cycles accounted for a small proportion of cycles comprising </w:t>
      </w:r>
      <w:r w:rsidR="005E5FBE">
        <w:rPr>
          <w:rFonts w:cs="Arial"/>
          <w:lang w:eastAsia="en-AU"/>
        </w:rPr>
        <w:t>3.</w:t>
      </w:r>
      <w:r w:rsidR="00491669">
        <w:rPr>
          <w:rFonts w:cs="Arial"/>
          <w:lang w:eastAsia="en-AU"/>
        </w:rPr>
        <w:t>5</w:t>
      </w:r>
      <w:r w:rsidR="009303CD" w:rsidRPr="00617599">
        <w:rPr>
          <w:rFonts w:cs="Arial"/>
          <w:lang w:eastAsia="en-AU"/>
        </w:rPr>
        <w:t xml:space="preserve">% oocyte recipient cycles, </w:t>
      </w:r>
      <w:r w:rsidR="005C01EC" w:rsidRPr="00617599">
        <w:rPr>
          <w:rFonts w:cs="Arial"/>
          <w:lang w:eastAsia="en-AU"/>
        </w:rPr>
        <w:t>0.</w:t>
      </w:r>
      <w:r w:rsidR="00491669">
        <w:rPr>
          <w:rFonts w:cs="Arial"/>
          <w:lang w:eastAsia="en-AU"/>
        </w:rPr>
        <w:t>9</w:t>
      </w:r>
      <w:r w:rsidR="009303CD" w:rsidRPr="00617599">
        <w:rPr>
          <w:rFonts w:cs="Arial"/>
          <w:lang w:eastAsia="en-AU"/>
        </w:rPr>
        <w:t xml:space="preserve">% embryo recipient cycles, </w:t>
      </w:r>
      <w:r w:rsidR="00491669">
        <w:rPr>
          <w:rFonts w:cs="Arial"/>
          <w:lang w:eastAsia="en-AU"/>
        </w:rPr>
        <w:t>1.6</w:t>
      </w:r>
      <w:r w:rsidR="009303CD" w:rsidRPr="00617599">
        <w:rPr>
          <w:rFonts w:cs="Arial"/>
          <w:lang w:eastAsia="en-AU"/>
        </w:rPr>
        <w:t>% oocyte</w:t>
      </w:r>
      <w:r w:rsidR="00215AE6">
        <w:rPr>
          <w:rFonts w:cs="Arial"/>
          <w:lang w:eastAsia="en-AU"/>
        </w:rPr>
        <w:t>/embryo</w:t>
      </w:r>
      <w:r w:rsidR="009303CD" w:rsidRPr="00617599">
        <w:rPr>
          <w:rFonts w:cs="Arial"/>
          <w:lang w:eastAsia="en-AU"/>
        </w:rPr>
        <w:t xml:space="preserve"> donation cycles and </w:t>
      </w:r>
      <w:r w:rsidR="00C550ED">
        <w:rPr>
          <w:rFonts w:cs="Arial"/>
          <w:lang w:eastAsia="en-AU"/>
        </w:rPr>
        <w:t>0.</w:t>
      </w:r>
      <w:r w:rsidR="00491669">
        <w:rPr>
          <w:rFonts w:cs="Arial"/>
          <w:lang w:eastAsia="en-AU"/>
        </w:rPr>
        <w:t>9</w:t>
      </w:r>
      <w:r w:rsidR="009303CD" w:rsidRPr="00617599">
        <w:rPr>
          <w:rFonts w:cs="Arial"/>
          <w:lang w:eastAsia="en-AU"/>
        </w:rPr>
        <w:t xml:space="preserve">% surrogacy cycles. </w:t>
      </w:r>
    </w:p>
    <w:p w14:paraId="55641F0E" w14:textId="5350FC46" w:rsidR="009303CD" w:rsidRPr="00617599" w:rsidRDefault="009303CD">
      <w:pPr>
        <w:pStyle w:val="NPESUbodytext"/>
        <w:rPr>
          <w:rFonts w:cs="Arial"/>
          <w:lang w:eastAsia="en-AU"/>
        </w:rPr>
      </w:pPr>
      <w:r w:rsidRPr="00617599">
        <w:rPr>
          <w:rFonts w:cs="Arial"/>
          <w:lang w:eastAsia="en-AU"/>
        </w:rPr>
        <w:t xml:space="preserve">Of all the ART </w:t>
      </w:r>
      <w:r w:rsidR="00AB1FF7">
        <w:rPr>
          <w:rFonts w:cs="Arial"/>
          <w:lang w:eastAsia="en-AU"/>
        </w:rPr>
        <w:t>cycles</w:t>
      </w:r>
      <w:r w:rsidRPr="00617599">
        <w:rPr>
          <w:rFonts w:cs="Arial"/>
          <w:lang w:eastAsia="en-AU"/>
        </w:rPr>
        <w:t xml:space="preserve"> in </w:t>
      </w:r>
      <w:r w:rsidR="002C669F" w:rsidRPr="005108F5">
        <w:rPr>
          <w:rFonts w:cs="Arial"/>
          <w:lang w:eastAsia="en-AU"/>
        </w:rPr>
        <w:t>20</w:t>
      </w:r>
      <w:r w:rsidR="005E5FBE">
        <w:rPr>
          <w:rFonts w:cs="Arial"/>
          <w:lang w:eastAsia="en-AU"/>
        </w:rPr>
        <w:t>2</w:t>
      </w:r>
      <w:r w:rsidR="00491669">
        <w:rPr>
          <w:rFonts w:cs="Arial"/>
          <w:lang w:eastAsia="en-AU"/>
        </w:rPr>
        <w:t>1</w:t>
      </w:r>
      <w:r w:rsidR="00EC4BB6">
        <w:rPr>
          <w:rFonts w:cs="Arial"/>
          <w:lang w:eastAsia="en-AU"/>
        </w:rPr>
        <w:t xml:space="preserve"> in New Zealand</w:t>
      </w:r>
      <w:r w:rsidRPr="005108F5">
        <w:rPr>
          <w:rFonts w:cs="Arial"/>
          <w:lang w:eastAsia="en-AU"/>
        </w:rPr>
        <w:t xml:space="preserve">, </w:t>
      </w:r>
      <w:r w:rsidR="00AC7608">
        <w:rPr>
          <w:rFonts w:cs="Arial"/>
          <w:lang w:eastAsia="en-AU"/>
        </w:rPr>
        <w:t>2,</w:t>
      </w:r>
      <w:r w:rsidR="00491669">
        <w:rPr>
          <w:rFonts w:cs="Arial"/>
          <w:lang w:eastAsia="en-AU"/>
        </w:rPr>
        <w:t>553</w:t>
      </w:r>
      <w:r w:rsidR="005E5FBE">
        <w:rPr>
          <w:rFonts w:cs="Arial"/>
          <w:lang w:eastAsia="en-AU"/>
        </w:rPr>
        <w:t xml:space="preserve"> </w:t>
      </w:r>
      <w:r w:rsidR="00FF632A">
        <w:rPr>
          <w:rFonts w:cs="Arial"/>
          <w:lang w:eastAsia="en-AU"/>
        </w:rPr>
        <w:t>(</w:t>
      </w:r>
      <w:r w:rsidR="005E5FBE">
        <w:rPr>
          <w:rFonts w:cs="Arial"/>
          <w:lang w:eastAsia="en-AU"/>
        </w:rPr>
        <w:t>2</w:t>
      </w:r>
      <w:r w:rsidR="00491669">
        <w:rPr>
          <w:rFonts w:cs="Arial"/>
          <w:lang w:eastAsia="en-AU"/>
        </w:rPr>
        <w:t>8.8</w:t>
      </w:r>
      <w:r w:rsidRPr="00DF254E">
        <w:rPr>
          <w:rFonts w:cs="Arial"/>
          <w:lang w:eastAsia="en-AU"/>
        </w:rPr>
        <w:t>%</w:t>
      </w:r>
      <w:r w:rsidR="00FF632A" w:rsidRPr="00DF254E">
        <w:rPr>
          <w:rFonts w:cs="Arial"/>
          <w:lang w:eastAsia="en-AU"/>
        </w:rPr>
        <w:t>)</w:t>
      </w:r>
      <w:r w:rsidRPr="00DF254E">
        <w:rPr>
          <w:rFonts w:cs="Arial"/>
          <w:lang w:eastAsia="en-AU"/>
        </w:rPr>
        <w:t xml:space="preserve"> </w:t>
      </w:r>
      <w:r w:rsidRPr="00617599">
        <w:rPr>
          <w:rFonts w:cs="Arial"/>
          <w:lang w:eastAsia="en-AU"/>
        </w:rPr>
        <w:t xml:space="preserve">resulted in a clinical </w:t>
      </w:r>
      <w:r w:rsidRPr="00743582">
        <w:rPr>
          <w:rFonts w:cs="Arial"/>
          <w:lang w:eastAsia="en-AU"/>
        </w:rPr>
        <w:t xml:space="preserve">pregnancy, </w:t>
      </w:r>
      <w:r w:rsidR="001B468C">
        <w:rPr>
          <w:rFonts w:cs="Arial"/>
          <w:lang w:eastAsia="en-AU"/>
        </w:rPr>
        <w:t>2,059</w:t>
      </w:r>
      <w:r w:rsidR="006400E9" w:rsidRPr="00BA46AF">
        <w:rPr>
          <w:rFonts w:cs="Arial"/>
          <w:lang w:eastAsia="en-AU"/>
        </w:rPr>
        <w:t xml:space="preserve"> </w:t>
      </w:r>
      <w:r w:rsidR="00FF632A" w:rsidRPr="00BA46AF">
        <w:rPr>
          <w:rFonts w:cs="Arial"/>
          <w:lang w:eastAsia="en-AU"/>
        </w:rPr>
        <w:t>(</w:t>
      </w:r>
      <w:r w:rsidR="006400E9">
        <w:rPr>
          <w:rFonts w:cs="Arial"/>
          <w:lang w:eastAsia="en-AU"/>
        </w:rPr>
        <w:t>23.</w:t>
      </w:r>
      <w:r w:rsidR="0097759F">
        <w:rPr>
          <w:rFonts w:cs="Arial"/>
          <w:lang w:eastAsia="en-AU"/>
        </w:rPr>
        <w:t>2</w:t>
      </w:r>
      <w:r w:rsidRPr="00BA46AF">
        <w:rPr>
          <w:rFonts w:cs="Arial"/>
          <w:lang w:eastAsia="en-AU"/>
        </w:rPr>
        <w:t>%)</w:t>
      </w:r>
      <w:r w:rsidRPr="007A1710">
        <w:rPr>
          <w:rFonts w:cs="Arial"/>
          <w:color w:val="FF0000"/>
          <w:lang w:eastAsia="en-AU"/>
        </w:rPr>
        <w:t xml:space="preserve"> </w:t>
      </w:r>
      <w:r w:rsidRPr="00743582">
        <w:rPr>
          <w:rFonts w:cs="Arial"/>
          <w:lang w:eastAsia="en-AU"/>
        </w:rPr>
        <w:t xml:space="preserve">resulted in a </w:t>
      </w:r>
      <w:r w:rsidR="00EC42AE">
        <w:rPr>
          <w:rFonts w:cs="Arial"/>
          <w:lang w:eastAsia="en-AU"/>
        </w:rPr>
        <w:t>birth</w:t>
      </w:r>
      <w:r w:rsidRPr="00743582">
        <w:rPr>
          <w:rFonts w:cs="Arial"/>
          <w:lang w:eastAsia="en-AU"/>
        </w:rPr>
        <w:t xml:space="preserve"> and</w:t>
      </w:r>
      <w:r w:rsidRPr="005108F5">
        <w:rPr>
          <w:rFonts w:cs="Arial"/>
          <w:lang w:eastAsia="en-AU"/>
        </w:rPr>
        <w:t xml:space="preserve"> </w:t>
      </w:r>
      <w:r w:rsidR="00491669">
        <w:rPr>
          <w:rFonts w:cs="Arial"/>
          <w:lang w:eastAsia="en-AU"/>
        </w:rPr>
        <w:t>2,021</w:t>
      </w:r>
      <w:r w:rsidR="00A501CE">
        <w:rPr>
          <w:rFonts w:cs="Arial"/>
          <w:lang w:eastAsia="en-AU"/>
        </w:rPr>
        <w:t xml:space="preserve"> </w:t>
      </w:r>
      <w:r w:rsidR="008741A0">
        <w:rPr>
          <w:rFonts w:cs="Arial"/>
          <w:lang w:eastAsia="en-AU"/>
        </w:rPr>
        <w:t>(</w:t>
      </w:r>
      <w:r w:rsidR="008741A0" w:rsidRPr="00DF254E">
        <w:rPr>
          <w:rFonts w:cs="Arial"/>
          <w:lang w:eastAsia="en-AU"/>
        </w:rPr>
        <w:t>2</w:t>
      </w:r>
      <w:r w:rsidR="00491669">
        <w:rPr>
          <w:rFonts w:cs="Arial"/>
          <w:lang w:eastAsia="en-AU"/>
        </w:rPr>
        <w:t>2.8</w:t>
      </w:r>
      <w:r w:rsidR="008741A0" w:rsidRPr="00DF254E">
        <w:rPr>
          <w:rFonts w:cs="Arial"/>
          <w:lang w:eastAsia="en-AU"/>
        </w:rPr>
        <w:t xml:space="preserve">%) </w:t>
      </w:r>
      <w:r w:rsidR="00FF632A" w:rsidRPr="00DF254E">
        <w:rPr>
          <w:rFonts w:cs="Arial"/>
          <w:lang w:eastAsia="en-AU"/>
        </w:rPr>
        <w:t xml:space="preserve">resulted </w:t>
      </w:r>
      <w:r w:rsidRPr="00617599">
        <w:rPr>
          <w:rFonts w:cs="Arial"/>
          <w:lang w:eastAsia="en-AU"/>
        </w:rPr>
        <w:t xml:space="preserve">in a live </w:t>
      </w:r>
      <w:r w:rsidR="00EC42AE">
        <w:rPr>
          <w:rFonts w:cs="Arial"/>
          <w:lang w:eastAsia="en-AU"/>
        </w:rPr>
        <w:t>birth</w:t>
      </w:r>
      <w:r w:rsidRPr="00FF632A">
        <w:rPr>
          <w:rFonts w:cs="Arial"/>
          <w:lang w:eastAsia="en-AU"/>
        </w:rPr>
        <w:t xml:space="preserve">. </w:t>
      </w:r>
      <w:r w:rsidR="00FF632A">
        <w:rPr>
          <w:rFonts w:cs="Arial"/>
          <w:lang w:eastAsia="en-AU"/>
        </w:rPr>
        <w:t>Of the</w:t>
      </w:r>
      <w:r w:rsidRPr="00FF632A">
        <w:rPr>
          <w:rFonts w:cs="Arial"/>
          <w:lang w:eastAsia="en-AU"/>
        </w:rPr>
        <w:t xml:space="preserve"> </w:t>
      </w:r>
      <w:r w:rsidR="005E5FBE">
        <w:rPr>
          <w:rFonts w:cs="Arial"/>
          <w:lang w:eastAsia="en-AU"/>
        </w:rPr>
        <w:t>2,0</w:t>
      </w:r>
      <w:r w:rsidR="00491669">
        <w:rPr>
          <w:rFonts w:cs="Arial"/>
          <w:lang w:eastAsia="en-AU"/>
        </w:rPr>
        <w:t>5</w:t>
      </w:r>
      <w:r w:rsidR="00BC631B">
        <w:rPr>
          <w:rFonts w:cs="Arial"/>
          <w:lang w:eastAsia="en-AU"/>
        </w:rPr>
        <w:t>5</w:t>
      </w:r>
      <w:r w:rsidR="00A501CE" w:rsidRPr="00FF632A">
        <w:rPr>
          <w:rFonts w:cs="Arial"/>
          <w:lang w:eastAsia="en-AU"/>
        </w:rPr>
        <w:t xml:space="preserve"> </w:t>
      </w:r>
      <w:r w:rsidRPr="00FF632A">
        <w:rPr>
          <w:rFonts w:cs="Arial"/>
          <w:lang w:eastAsia="en-AU"/>
        </w:rPr>
        <w:t>liveborn babies</w:t>
      </w:r>
      <w:r w:rsidRPr="003C4F17">
        <w:rPr>
          <w:rFonts w:cs="Arial"/>
          <w:lang w:eastAsia="en-AU"/>
        </w:rPr>
        <w:t xml:space="preserve">, </w:t>
      </w:r>
      <w:r w:rsidR="00FF632A" w:rsidRPr="003C4F17">
        <w:rPr>
          <w:rFonts w:cs="Arial"/>
          <w:lang w:eastAsia="en-AU"/>
        </w:rPr>
        <w:t>1,</w:t>
      </w:r>
      <w:r w:rsidR="005E5FBE">
        <w:rPr>
          <w:rFonts w:cs="Arial"/>
          <w:lang w:eastAsia="en-AU"/>
        </w:rPr>
        <w:t>7</w:t>
      </w:r>
      <w:r w:rsidR="00491669">
        <w:rPr>
          <w:rFonts w:cs="Arial"/>
          <w:lang w:eastAsia="en-AU"/>
        </w:rPr>
        <w:t>56</w:t>
      </w:r>
      <w:r w:rsidR="005E5FBE" w:rsidRPr="003C4F17">
        <w:rPr>
          <w:rFonts w:cs="Arial"/>
          <w:lang w:eastAsia="en-AU"/>
        </w:rPr>
        <w:t xml:space="preserve"> </w:t>
      </w:r>
      <w:r w:rsidR="00FF632A" w:rsidRPr="003C4F17">
        <w:rPr>
          <w:rFonts w:cs="Arial"/>
          <w:lang w:eastAsia="en-AU"/>
        </w:rPr>
        <w:t>(</w:t>
      </w:r>
      <w:r w:rsidR="005E5FBE">
        <w:rPr>
          <w:rFonts w:cs="Arial"/>
          <w:lang w:eastAsia="en-AU"/>
        </w:rPr>
        <w:t>85.</w:t>
      </w:r>
      <w:r w:rsidR="00BC631B">
        <w:rPr>
          <w:rFonts w:cs="Arial"/>
          <w:lang w:eastAsia="en-AU"/>
        </w:rPr>
        <w:t>5</w:t>
      </w:r>
      <w:r w:rsidRPr="003C4F17">
        <w:rPr>
          <w:rFonts w:cs="Arial"/>
          <w:lang w:eastAsia="en-AU"/>
        </w:rPr>
        <w:t xml:space="preserve">%) were singletons at term </w:t>
      </w:r>
      <w:r w:rsidRPr="00617599">
        <w:rPr>
          <w:rFonts w:cs="Arial"/>
          <w:lang w:eastAsia="en-AU"/>
        </w:rPr>
        <w:t>(gestational age of 37-41 weeks) with normal birthweight (≥</w:t>
      </w:r>
      <w:r w:rsidR="00AB1FF7">
        <w:rPr>
          <w:rFonts w:cs="Arial"/>
          <w:lang w:eastAsia="en-AU"/>
        </w:rPr>
        <w:t xml:space="preserve"> </w:t>
      </w:r>
      <w:r w:rsidRPr="00617599">
        <w:rPr>
          <w:rFonts w:cs="Arial"/>
          <w:lang w:eastAsia="en-AU"/>
        </w:rPr>
        <w:t>2,500 grams).</w:t>
      </w:r>
    </w:p>
    <w:tbl>
      <w:tblPr>
        <w:tblW w:w="5001" w:type="pct"/>
        <w:tblCellSpacing w:w="0" w:type="dxa"/>
        <w:tblCellMar>
          <w:top w:w="30" w:type="dxa"/>
          <w:left w:w="30" w:type="dxa"/>
          <w:bottom w:w="30" w:type="dxa"/>
          <w:right w:w="30" w:type="dxa"/>
        </w:tblCellMar>
        <w:tblLook w:val="04A0" w:firstRow="1" w:lastRow="0" w:firstColumn="1" w:lastColumn="0" w:noHBand="0" w:noVBand="1"/>
      </w:tblPr>
      <w:tblGrid>
        <w:gridCol w:w="2092"/>
        <w:gridCol w:w="1156"/>
        <w:gridCol w:w="1156"/>
        <w:gridCol w:w="1166"/>
        <w:gridCol w:w="1163"/>
        <w:gridCol w:w="1156"/>
        <w:gridCol w:w="1139"/>
      </w:tblGrid>
      <w:tr w:rsidR="00DA4D6A" w:rsidRPr="00617599" w14:paraId="3EA21B6D" w14:textId="77777777" w:rsidTr="00DA0028">
        <w:trPr>
          <w:trHeight w:hRule="exact" w:val="395"/>
          <w:tblHeader/>
          <w:tblCellSpacing w:w="0" w:type="dxa"/>
        </w:trPr>
        <w:tc>
          <w:tcPr>
            <w:tcW w:w="5000" w:type="pct"/>
            <w:gridSpan w:val="7"/>
            <w:tcBorders>
              <w:top w:val="nil"/>
              <w:left w:val="nil"/>
              <w:bottom w:val="nil"/>
              <w:right w:val="nil"/>
            </w:tcBorders>
            <w:tcMar>
              <w:top w:w="0" w:type="dxa"/>
              <w:left w:w="0" w:type="dxa"/>
              <w:bottom w:w="0" w:type="dxa"/>
              <w:right w:w="0" w:type="dxa"/>
            </w:tcMar>
            <w:vAlign w:val="center"/>
            <w:hideMark/>
          </w:tcPr>
          <w:p w14:paraId="7D083339" w14:textId="6490C959" w:rsidR="00DA4D6A" w:rsidRPr="00617599" w:rsidRDefault="00DA4D6A" w:rsidP="00DA0028">
            <w:pPr>
              <w:pStyle w:val="Caption"/>
            </w:pPr>
            <w:bookmarkStart w:id="205" w:name="_Toc158026550"/>
            <w:r w:rsidRPr="00617599">
              <w:t xml:space="preserve">Table 1: Number of initiated ART treatment cycles by treatment type, </w:t>
            </w:r>
            <w:r w:rsidR="00466C86" w:rsidRPr="00617599">
              <w:t>New Zealand</w:t>
            </w:r>
            <w:r w:rsidRPr="00617599">
              <w:t xml:space="preserve">, </w:t>
            </w:r>
            <w:r w:rsidR="002C669F">
              <w:t>20</w:t>
            </w:r>
            <w:r w:rsidR="00536AEF">
              <w:t>2</w:t>
            </w:r>
            <w:r w:rsidR="006F301C">
              <w:t>1</w:t>
            </w:r>
            <w:bookmarkEnd w:id="205"/>
            <w:r w:rsidRPr="00617599">
              <w:t xml:space="preserve"> </w:t>
            </w:r>
          </w:p>
        </w:tc>
      </w:tr>
      <w:tr w:rsidR="002C669F" w:rsidRPr="00617599" w14:paraId="3F177FF1" w14:textId="77777777" w:rsidTr="007C483D">
        <w:trPr>
          <w:trHeight w:hRule="exact" w:val="1308"/>
          <w:tblHeader/>
          <w:tblCellSpacing w:w="0" w:type="dxa"/>
        </w:trPr>
        <w:tc>
          <w:tcPr>
            <w:tcW w:w="1159" w:type="pct"/>
            <w:tcBorders>
              <w:top w:val="single" w:sz="12" w:space="0" w:color="000000"/>
              <w:left w:val="nil"/>
              <w:bottom w:val="single" w:sz="4" w:space="0" w:color="auto"/>
              <w:right w:val="nil"/>
            </w:tcBorders>
            <w:tcMar>
              <w:top w:w="28" w:type="dxa"/>
              <w:left w:w="0" w:type="dxa"/>
              <w:bottom w:w="28" w:type="dxa"/>
              <w:right w:w="0" w:type="dxa"/>
            </w:tcMar>
            <w:vAlign w:val="bottom"/>
            <w:hideMark/>
          </w:tcPr>
          <w:p w14:paraId="6C02F90A" w14:textId="77777777" w:rsidR="002C669F" w:rsidRPr="002C669F" w:rsidRDefault="002C669F" w:rsidP="00B105BE">
            <w:pPr>
              <w:pStyle w:val="NormalWeb"/>
              <w:spacing w:before="0" w:beforeAutospacing="0" w:after="0"/>
              <w:rPr>
                <w:rFonts w:ascii="Arial" w:hAnsi="Arial" w:cs="Arial"/>
                <w:b/>
                <w:bCs/>
                <w:sz w:val="16"/>
                <w:szCs w:val="16"/>
              </w:rPr>
            </w:pPr>
            <w:r w:rsidRPr="002C669F">
              <w:rPr>
                <w:rFonts w:ascii="Arial" w:hAnsi="Arial" w:cs="Arial"/>
                <w:b/>
                <w:bCs/>
                <w:sz w:val="16"/>
                <w:szCs w:val="16"/>
              </w:rPr>
              <w:t xml:space="preserve">Treatment type </w:t>
            </w:r>
          </w:p>
        </w:tc>
        <w:tc>
          <w:tcPr>
            <w:tcW w:w="640" w:type="pct"/>
            <w:tcBorders>
              <w:top w:val="single" w:sz="12" w:space="0" w:color="000000"/>
              <w:left w:val="nil"/>
              <w:bottom w:val="single" w:sz="4" w:space="0" w:color="auto"/>
              <w:right w:val="nil"/>
            </w:tcBorders>
            <w:tcMar>
              <w:top w:w="28" w:type="dxa"/>
              <w:left w:w="0" w:type="dxa"/>
              <w:bottom w:w="28" w:type="dxa"/>
              <w:right w:w="0" w:type="dxa"/>
            </w:tcMar>
            <w:vAlign w:val="bottom"/>
            <w:hideMark/>
          </w:tcPr>
          <w:p w14:paraId="4918E9AC" w14:textId="77777777" w:rsidR="002C669F" w:rsidRPr="002C669F" w:rsidRDefault="002C669F" w:rsidP="00B105BE">
            <w:pPr>
              <w:pStyle w:val="NormalWeb"/>
              <w:spacing w:before="0" w:beforeAutospacing="0" w:after="0"/>
              <w:jc w:val="right"/>
              <w:rPr>
                <w:rFonts w:ascii="Arial" w:hAnsi="Arial" w:cs="Arial"/>
                <w:b/>
                <w:bCs/>
                <w:sz w:val="16"/>
                <w:szCs w:val="16"/>
              </w:rPr>
            </w:pPr>
            <w:r w:rsidRPr="002C669F">
              <w:rPr>
                <w:rFonts w:ascii="Arial" w:hAnsi="Arial" w:cs="Arial"/>
                <w:b/>
                <w:bCs/>
                <w:sz w:val="16"/>
                <w:szCs w:val="16"/>
              </w:rPr>
              <w:t xml:space="preserve">Number of initiated ART cycles </w:t>
            </w:r>
          </w:p>
        </w:tc>
        <w:tc>
          <w:tcPr>
            <w:tcW w:w="640" w:type="pct"/>
            <w:tcBorders>
              <w:top w:val="single" w:sz="12" w:space="0" w:color="000000"/>
              <w:left w:val="nil"/>
              <w:bottom w:val="single" w:sz="4" w:space="0" w:color="auto"/>
              <w:right w:val="nil"/>
            </w:tcBorders>
            <w:tcMar>
              <w:top w:w="28" w:type="dxa"/>
              <w:left w:w="0" w:type="dxa"/>
              <w:bottom w:w="28" w:type="dxa"/>
              <w:right w:w="0" w:type="dxa"/>
            </w:tcMar>
            <w:vAlign w:val="bottom"/>
            <w:hideMark/>
          </w:tcPr>
          <w:p w14:paraId="0784347E" w14:textId="77777777" w:rsidR="002C669F" w:rsidRPr="002C669F" w:rsidRDefault="002C669F" w:rsidP="00B105BE">
            <w:pPr>
              <w:pStyle w:val="NormalWeb"/>
              <w:spacing w:before="0" w:beforeAutospacing="0" w:after="0"/>
              <w:jc w:val="right"/>
              <w:rPr>
                <w:rFonts w:ascii="Arial" w:hAnsi="Arial" w:cs="Arial"/>
                <w:b/>
                <w:bCs/>
                <w:sz w:val="16"/>
                <w:szCs w:val="16"/>
              </w:rPr>
            </w:pPr>
            <w:r w:rsidRPr="002C669F">
              <w:rPr>
                <w:rFonts w:ascii="Arial" w:hAnsi="Arial" w:cs="Arial"/>
                <w:b/>
                <w:bCs/>
                <w:sz w:val="16"/>
                <w:szCs w:val="16"/>
              </w:rPr>
              <w:t xml:space="preserve">Percent of treatment types </w:t>
            </w:r>
          </w:p>
        </w:tc>
        <w:tc>
          <w:tcPr>
            <w:tcW w:w="646" w:type="pct"/>
            <w:tcBorders>
              <w:top w:val="single" w:sz="12" w:space="0" w:color="000000"/>
              <w:left w:val="nil"/>
              <w:bottom w:val="single" w:sz="4" w:space="0" w:color="auto"/>
              <w:right w:val="nil"/>
            </w:tcBorders>
            <w:vAlign w:val="bottom"/>
          </w:tcPr>
          <w:p w14:paraId="5BC93AD5" w14:textId="1E4F0151" w:rsidR="002C669F" w:rsidRPr="002C669F" w:rsidRDefault="002C669F" w:rsidP="00B105BE">
            <w:pPr>
              <w:pStyle w:val="NormalWeb"/>
              <w:spacing w:before="0" w:beforeAutospacing="0" w:after="0"/>
              <w:jc w:val="right"/>
              <w:rPr>
                <w:rFonts w:ascii="Arial" w:hAnsi="Arial" w:cs="Arial"/>
                <w:b/>
                <w:bCs/>
                <w:sz w:val="16"/>
                <w:szCs w:val="16"/>
              </w:rPr>
            </w:pPr>
            <w:r w:rsidRPr="002C669F">
              <w:rPr>
                <w:rFonts w:ascii="Arial" w:hAnsi="Arial" w:cs="Arial"/>
                <w:b/>
                <w:bCs/>
                <w:sz w:val="16"/>
                <w:szCs w:val="16"/>
              </w:rPr>
              <w:t>Number of clinical pregnancies</w:t>
            </w:r>
          </w:p>
        </w:tc>
        <w:tc>
          <w:tcPr>
            <w:tcW w:w="644" w:type="pct"/>
            <w:tcBorders>
              <w:top w:val="single" w:sz="12" w:space="0" w:color="000000"/>
              <w:left w:val="nil"/>
              <w:bottom w:val="single" w:sz="4" w:space="0" w:color="auto"/>
              <w:right w:val="nil"/>
            </w:tcBorders>
            <w:tcMar>
              <w:top w:w="28" w:type="dxa"/>
              <w:left w:w="0" w:type="dxa"/>
              <w:bottom w:w="28" w:type="dxa"/>
              <w:right w:w="0" w:type="dxa"/>
            </w:tcMar>
            <w:vAlign w:val="bottom"/>
            <w:hideMark/>
          </w:tcPr>
          <w:p w14:paraId="51E2E4EE" w14:textId="707F0868" w:rsidR="002C669F" w:rsidRPr="002C669F" w:rsidRDefault="002C669F" w:rsidP="00B105BE">
            <w:pPr>
              <w:pStyle w:val="NormalWeb"/>
              <w:spacing w:before="0" w:beforeAutospacing="0" w:after="0"/>
              <w:jc w:val="right"/>
              <w:rPr>
                <w:rFonts w:ascii="Arial" w:hAnsi="Arial" w:cs="Arial"/>
                <w:b/>
                <w:bCs/>
                <w:sz w:val="16"/>
                <w:szCs w:val="16"/>
              </w:rPr>
            </w:pPr>
            <w:r w:rsidRPr="002C669F">
              <w:rPr>
                <w:rFonts w:ascii="Arial" w:hAnsi="Arial" w:cs="Arial"/>
                <w:b/>
                <w:bCs/>
                <w:sz w:val="16"/>
                <w:szCs w:val="16"/>
              </w:rPr>
              <w:t xml:space="preserve">Number of live   </w:t>
            </w:r>
            <w:r w:rsidR="00C736CE">
              <w:rPr>
                <w:rFonts w:ascii="Arial" w:hAnsi="Arial" w:cs="Arial"/>
                <w:b/>
                <w:bCs/>
                <w:sz w:val="16"/>
                <w:szCs w:val="16"/>
              </w:rPr>
              <w:t>births</w:t>
            </w:r>
            <w:r w:rsidRPr="002C669F">
              <w:rPr>
                <w:rFonts w:ascii="Arial" w:hAnsi="Arial" w:cs="Arial"/>
                <w:b/>
                <w:bCs/>
                <w:sz w:val="16"/>
                <w:szCs w:val="16"/>
              </w:rPr>
              <w:t xml:space="preserve"> </w:t>
            </w:r>
          </w:p>
        </w:tc>
        <w:tc>
          <w:tcPr>
            <w:tcW w:w="640" w:type="pct"/>
            <w:tcBorders>
              <w:top w:val="single" w:sz="12" w:space="0" w:color="000000"/>
              <w:left w:val="nil"/>
              <w:bottom w:val="single" w:sz="4" w:space="0" w:color="auto"/>
              <w:right w:val="nil"/>
            </w:tcBorders>
            <w:tcMar>
              <w:top w:w="28" w:type="dxa"/>
              <w:left w:w="0" w:type="dxa"/>
              <w:bottom w:w="28" w:type="dxa"/>
              <w:right w:w="0" w:type="dxa"/>
            </w:tcMar>
            <w:vAlign w:val="bottom"/>
            <w:hideMark/>
          </w:tcPr>
          <w:p w14:paraId="0875595A" w14:textId="66D97C67" w:rsidR="002C669F" w:rsidRPr="002C669F" w:rsidRDefault="002C669F" w:rsidP="00B105BE">
            <w:pPr>
              <w:pStyle w:val="NormalWeb"/>
              <w:spacing w:before="0" w:beforeAutospacing="0" w:after="0"/>
              <w:jc w:val="right"/>
              <w:rPr>
                <w:rFonts w:ascii="Arial" w:hAnsi="Arial" w:cs="Arial"/>
                <w:b/>
                <w:bCs/>
                <w:sz w:val="16"/>
                <w:szCs w:val="16"/>
              </w:rPr>
            </w:pPr>
            <w:r w:rsidRPr="002C669F">
              <w:rPr>
                <w:rFonts w:ascii="Arial" w:hAnsi="Arial" w:cs="Arial"/>
                <w:b/>
                <w:bCs/>
                <w:sz w:val="16"/>
                <w:szCs w:val="16"/>
              </w:rPr>
              <w:t>Number of liveborn babies</w:t>
            </w:r>
          </w:p>
        </w:tc>
        <w:tc>
          <w:tcPr>
            <w:tcW w:w="631" w:type="pct"/>
            <w:tcBorders>
              <w:top w:val="single" w:sz="12" w:space="0" w:color="000000"/>
              <w:left w:val="nil"/>
              <w:bottom w:val="single" w:sz="4" w:space="0" w:color="auto"/>
              <w:right w:val="nil"/>
            </w:tcBorders>
            <w:tcMar>
              <w:top w:w="28" w:type="dxa"/>
              <w:left w:w="0" w:type="dxa"/>
              <w:bottom w:w="28" w:type="dxa"/>
              <w:right w:w="0" w:type="dxa"/>
            </w:tcMar>
            <w:vAlign w:val="bottom"/>
            <w:hideMark/>
          </w:tcPr>
          <w:p w14:paraId="067484CE" w14:textId="77777777" w:rsidR="002C669F" w:rsidRPr="002C669F" w:rsidRDefault="002C669F" w:rsidP="00B105BE">
            <w:pPr>
              <w:pStyle w:val="NormalWeb"/>
              <w:spacing w:before="0" w:beforeAutospacing="0" w:after="0"/>
              <w:jc w:val="right"/>
              <w:rPr>
                <w:rFonts w:ascii="Arial" w:hAnsi="Arial" w:cs="Arial"/>
                <w:b/>
                <w:bCs/>
                <w:sz w:val="16"/>
                <w:szCs w:val="16"/>
              </w:rPr>
            </w:pPr>
            <w:r w:rsidRPr="002C669F">
              <w:rPr>
                <w:rFonts w:ascii="Arial" w:hAnsi="Arial" w:cs="Arial"/>
                <w:b/>
                <w:bCs/>
                <w:sz w:val="16"/>
                <w:szCs w:val="16"/>
              </w:rPr>
              <w:t xml:space="preserve">Number of liveborn singletons at term with normal birthweight </w:t>
            </w:r>
          </w:p>
        </w:tc>
      </w:tr>
      <w:tr w:rsidR="007C483D" w:rsidRPr="008C147B" w14:paraId="40216FEC" w14:textId="77777777" w:rsidTr="007C483D">
        <w:trPr>
          <w:trHeight w:val="340"/>
          <w:tblCellSpacing w:w="0" w:type="dxa"/>
        </w:trPr>
        <w:tc>
          <w:tcPr>
            <w:tcW w:w="1159" w:type="pct"/>
            <w:tcBorders>
              <w:top w:val="nil"/>
              <w:left w:val="nil"/>
              <w:bottom w:val="nil"/>
              <w:right w:val="nil"/>
            </w:tcBorders>
            <w:tcMar>
              <w:top w:w="0" w:type="dxa"/>
              <w:left w:w="0" w:type="dxa"/>
              <w:bottom w:w="0" w:type="dxa"/>
              <w:right w:w="0" w:type="dxa"/>
            </w:tcMar>
            <w:vAlign w:val="center"/>
            <w:hideMark/>
          </w:tcPr>
          <w:p w14:paraId="039427BB" w14:textId="486261AD" w:rsidR="007C483D" w:rsidRPr="008C147B" w:rsidRDefault="007C483D" w:rsidP="007C483D">
            <w:pPr>
              <w:pStyle w:val="NormalWeb"/>
              <w:spacing w:before="0" w:beforeAutospacing="0" w:after="0"/>
              <w:rPr>
                <w:rFonts w:ascii="Arial" w:hAnsi="Arial" w:cs="Arial"/>
                <w:sz w:val="16"/>
                <w:szCs w:val="16"/>
              </w:rPr>
            </w:pPr>
            <w:r w:rsidRPr="002C669F">
              <w:rPr>
                <w:rFonts w:ascii="Arial" w:hAnsi="Arial" w:cs="Arial"/>
                <w:sz w:val="16"/>
                <w:szCs w:val="16"/>
              </w:rPr>
              <w:t>Autologous</w:t>
            </w:r>
          </w:p>
        </w:tc>
        <w:tc>
          <w:tcPr>
            <w:tcW w:w="640" w:type="pct"/>
            <w:tcBorders>
              <w:top w:val="nil"/>
              <w:left w:val="nil"/>
              <w:bottom w:val="nil"/>
              <w:right w:val="nil"/>
            </w:tcBorders>
            <w:tcMar>
              <w:top w:w="0" w:type="dxa"/>
              <w:left w:w="0" w:type="dxa"/>
              <w:bottom w:w="0" w:type="dxa"/>
              <w:right w:w="0" w:type="dxa"/>
            </w:tcMar>
            <w:vAlign w:val="center"/>
          </w:tcPr>
          <w:p w14:paraId="65C4E8FA" w14:textId="3FA484C0"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sz w:val="16"/>
                <w:szCs w:val="16"/>
              </w:rPr>
              <w:t>8,247</w:t>
            </w:r>
          </w:p>
        </w:tc>
        <w:tc>
          <w:tcPr>
            <w:tcW w:w="640" w:type="pct"/>
            <w:tcBorders>
              <w:top w:val="nil"/>
              <w:left w:val="nil"/>
              <w:bottom w:val="nil"/>
              <w:right w:val="nil"/>
            </w:tcBorders>
            <w:tcMar>
              <w:top w:w="0" w:type="dxa"/>
              <w:left w:w="0" w:type="dxa"/>
              <w:bottom w:w="0" w:type="dxa"/>
              <w:right w:w="0" w:type="dxa"/>
            </w:tcMar>
            <w:vAlign w:val="center"/>
          </w:tcPr>
          <w:p w14:paraId="4E2AB9ED" w14:textId="0EFAAADC"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sz w:val="16"/>
                <w:szCs w:val="16"/>
              </w:rPr>
              <w:t>93.1</w:t>
            </w:r>
          </w:p>
        </w:tc>
        <w:tc>
          <w:tcPr>
            <w:tcW w:w="646" w:type="pct"/>
            <w:tcBorders>
              <w:top w:val="nil"/>
              <w:left w:val="nil"/>
              <w:bottom w:val="nil"/>
              <w:right w:val="nil"/>
            </w:tcBorders>
            <w:tcMar>
              <w:top w:w="0" w:type="dxa"/>
              <w:left w:w="0" w:type="dxa"/>
              <w:bottom w:w="0" w:type="dxa"/>
              <w:right w:w="0" w:type="dxa"/>
            </w:tcMar>
            <w:vAlign w:val="center"/>
          </w:tcPr>
          <w:p w14:paraId="582BA3A5" w14:textId="6C9A1A60"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sz w:val="16"/>
                <w:szCs w:val="16"/>
              </w:rPr>
              <w:t>2,373</w:t>
            </w:r>
          </w:p>
        </w:tc>
        <w:tc>
          <w:tcPr>
            <w:tcW w:w="644" w:type="pct"/>
            <w:tcBorders>
              <w:top w:val="nil"/>
              <w:left w:val="nil"/>
              <w:bottom w:val="nil"/>
              <w:right w:val="nil"/>
            </w:tcBorders>
            <w:tcMar>
              <w:top w:w="0" w:type="dxa"/>
              <w:left w:w="0" w:type="dxa"/>
              <w:bottom w:w="0" w:type="dxa"/>
              <w:right w:w="0" w:type="dxa"/>
            </w:tcMar>
            <w:vAlign w:val="center"/>
          </w:tcPr>
          <w:p w14:paraId="1D31D606" w14:textId="74837668"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sz w:val="16"/>
                <w:szCs w:val="16"/>
              </w:rPr>
              <w:t>1,879</w:t>
            </w:r>
          </w:p>
        </w:tc>
        <w:tc>
          <w:tcPr>
            <w:tcW w:w="640" w:type="pct"/>
            <w:tcBorders>
              <w:top w:val="nil"/>
              <w:left w:val="nil"/>
              <w:bottom w:val="nil"/>
              <w:right w:val="nil"/>
            </w:tcBorders>
            <w:tcMar>
              <w:top w:w="0" w:type="dxa"/>
              <w:left w:w="0" w:type="dxa"/>
              <w:bottom w:w="0" w:type="dxa"/>
              <w:right w:w="0" w:type="dxa"/>
            </w:tcMar>
            <w:vAlign w:val="center"/>
          </w:tcPr>
          <w:p w14:paraId="1BEC58EF" w14:textId="213EC32A"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sz w:val="16"/>
                <w:szCs w:val="16"/>
              </w:rPr>
              <w:t>1,9</w:t>
            </w:r>
            <w:r w:rsidR="00BC631B">
              <w:rPr>
                <w:rFonts w:ascii="Arial" w:hAnsi="Arial" w:cs="Arial"/>
                <w:sz w:val="16"/>
                <w:szCs w:val="16"/>
              </w:rPr>
              <w:t>09</w:t>
            </w:r>
          </w:p>
        </w:tc>
        <w:tc>
          <w:tcPr>
            <w:tcW w:w="631" w:type="pct"/>
            <w:tcBorders>
              <w:top w:val="nil"/>
              <w:left w:val="nil"/>
              <w:bottom w:val="nil"/>
              <w:right w:val="nil"/>
            </w:tcBorders>
            <w:tcMar>
              <w:top w:w="0" w:type="dxa"/>
              <w:left w:w="0" w:type="dxa"/>
              <w:bottom w:w="0" w:type="dxa"/>
              <w:right w:w="0" w:type="dxa"/>
            </w:tcMar>
            <w:vAlign w:val="center"/>
          </w:tcPr>
          <w:p w14:paraId="551C7781" w14:textId="2ADF7709"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sz w:val="16"/>
                <w:szCs w:val="16"/>
              </w:rPr>
              <w:t>1,627</w:t>
            </w:r>
          </w:p>
        </w:tc>
      </w:tr>
      <w:tr w:rsidR="007C483D" w:rsidRPr="008C147B" w14:paraId="6C917737" w14:textId="77777777" w:rsidTr="007C483D">
        <w:trPr>
          <w:trHeight w:val="340"/>
          <w:tblCellSpacing w:w="0" w:type="dxa"/>
        </w:trPr>
        <w:tc>
          <w:tcPr>
            <w:tcW w:w="1159" w:type="pct"/>
            <w:tcBorders>
              <w:top w:val="nil"/>
              <w:left w:val="nil"/>
              <w:bottom w:val="nil"/>
              <w:right w:val="nil"/>
            </w:tcBorders>
            <w:tcMar>
              <w:top w:w="0" w:type="dxa"/>
              <w:left w:w="0" w:type="dxa"/>
              <w:bottom w:w="0" w:type="dxa"/>
              <w:right w:w="0" w:type="dxa"/>
            </w:tcMar>
            <w:vAlign w:val="center"/>
            <w:hideMark/>
          </w:tcPr>
          <w:p w14:paraId="5DCF8554" w14:textId="1236C930" w:rsidR="007C483D" w:rsidRPr="008C147B" w:rsidRDefault="007C483D" w:rsidP="007C483D">
            <w:pPr>
              <w:pStyle w:val="NormalWeb"/>
              <w:spacing w:before="0" w:beforeAutospacing="0" w:after="0"/>
              <w:rPr>
                <w:rFonts w:ascii="Arial" w:hAnsi="Arial" w:cs="Arial"/>
                <w:i/>
                <w:sz w:val="16"/>
                <w:szCs w:val="16"/>
              </w:rPr>
            </w:pPr>
            <w:r>
              <w:rPr>
                <w:rFonts w:ascii="Arial" w:hAnsi="Arial" w:cs="Arial"/>
                <w:i/>
                <w:sz w:val="16"/>
                <w:szCs w:val="16"/>
              </w:rPr>
              <w:t xml:space="preserve">    </w:t>
            </w:r>
            <w:r w:rsidRPr="00813F9E">
              <w:rPr>
                <w:rFonts w:ascii="Arial" w:hAnsi="Arial" w:cs="Arial"/>
                <w:i/>
                <w:sz w:val="16"/>
                <w:szCs w:val="16"/>
              </w:rPr>
              <w:t>Fresh</w:t>
            </w:r>
          </w:p>
        </w:tc>
        <w:tc>
          <w:tcPr>
            <w:tcW w:w="640" w:type="pct"/>
            <w:tcBorders>
              <w:top w:val="nil"/>
              <w:left w:val="nil"/>
              <w:bottom w:val="nil"/>
              <w:right w:val="nil"/>
            </w:tcBorders>
            <w:tcMar>
              <w:top w:w="0" w:type="dxa"/>
              <w:left w:w="0" w:type="dxa"/>
              <w:bottom w:w="0" w:type="dxa"/>
              <w:right w:w="0" w:type="dxa"/>
            </w:tcMar>
            <w:vAlign w:val="center"/>
          </w:tcPr>
          <w:p w14:paraId="7D3AC420" w14:textId="76F0074A" w:rsidR="007C483D" w:rsidRPr="006C5B92" w:rsidRDefault="007C483D" w:rsidP="007C483D">
            <w:pPr>
              <w:pStyle w:val="NormalWeb"/>
              <w:spacing w:before="0" w:beforeAutospacing="0" w:after="0"/>
              <w:jc w:val="right"/>
              <w:rPr>
                <w:rFonts w:ascii="Arial" w:hAnsi="Arial" w:cs="Arial"/>
                <w:i/>
                <w:iCs/>
                <w:sz w:val="16"/>
                <w:szCs w:val="16"/>
              </w:rPr>
            </w:pPr>
            <w:r>
              <w:rPr>
                <w:rFonts w:ascii="Arial" w:hAnsi="Arial" w:cs="Arial"/>
                <w:i/>
                <w:iCs/>
                <w:color w:val="000000"/>
                <w:sz w:val="16"/>
                <w:szCs w:val="16"/>
              </w:rPr>
              <w:t>4,219</w:t>
            </w:r>
          </w:p>
        </w:tc>
        <w:tc>
          <w:tcPr>
            <w:tcW w:w="640" w:type="pct"/>
            <w:tcBorders>
              <w:top w:val="nil"/>
              <w:left w:val="nil"/>
              <w:bottom w:val="nil"/>
              <w:right w:val="nil"/>
            </w:tcBorders>
            <w:tcMar>
              <w:top w:w="0" w:type="dxa"/>
              <w:left w:w="0" w:type="dxa"/>
              <w:bottom w:w="0" w:type="dxa"/>
              <w:right w:w="0" w:type="dxa"/>
            </w:tcMar>
            <w:vAlign w:val="center"/>
          </w:tcPr>
          <w:p w14:paraId="5282ECF2" w14:textId="57C6AD22" w:rsidR="007C483D" w:rsidRPr="00BA46AF" w:rsidRDefault="007C483D" w:rsidP="007C483D">
            <w:pPr>
              <w:pStyle w:val="NormalWeb"/>
              <w:spacing w:before="0" w:beforeAutospacing="0" w:after="0"/>
              <w:jc w:val="right"/>
              <w:rPr>
                <w:rFonts w:ascii="Arial" w:hAnsi="Arial" w:cs="Arial"/>
                <w:i/>
                <w:iCs/>
                <w:sz w:val="16"/>
                <w:szCs w:val="16"/>
              </w:rPr>
            </w:pPr>
            <w:r>
              <w:rPr>
                <w:rFonts w:ascii="Arial" w:hAnsi="Arial" w:cs="Arial"/>
                <w:i/>
                <w:iCs/>
                <w:sz w:val="16"/>
                <w:szCs w:val="16"/>
              </w:rPr>
              <w:t>47.6</w:t>
            </w:r>
          </w:p>
        </w:tc>
        <w:tc>
          <w:tcPr>
            <w:tcW w:w="646" w:type="pct"/>
            <w:tcBorders>
              <w:top w:val="nil"/>
              <w:left w:val="nil"/>
              <w:bottom w:val="nil"/>
              <w:right w:val="nil"/>
            </w:tcBorders>
            <w:tcMar>
              <w:top w:w="0" w:type="dxa"/>
              <w:left w:w="0" w:type="dxa"/>
              <w:bottom w:w="0" w:type="dxa"/>
              <w:right w:w="0" w:type="dxa"/>
            </w:tcMar>
            <w:vAlign w:val="center"/>
          </w:tcPr>
          <w:p w14:paraId="03C8DA5B" w14:textId="4852906B" w:rsidR="007C483D" w:rsidRPr="006C5B92" w:rsidRDefault="007C483D" w:rsidP="007C483D">
            <w:pPr>
              <w:pStyle w:val="NormalWeb"/>
              <w:spacing w:before="0" w:beforeAutospacing="0" w:after="0"/>
              <w:jc w:val="right"/>
              <w:rPr>
                <w:rFonts w:ascii="Arial" w:hAnsi="Arial" w:cs="Arial"/>
                <w:i/>
                <w:iCs/>
                <w:sz w:val="16"/>
                <w:szCs w:val="16"/>
              </w:rPr>
            </w:pPr>
            <w:r>
              <w:rPr>
                <w:rFonts w:ascii="Arial" w:hAnsi="Arial" w:cs="Arial"/>
                <w:i/>
                <w:iCs/>
                <w:color w:val="000000"/>
                <w:sz w:val="16"/>
                <w:szCs w:val="16"/>
              </w:rPr>
              <w:t>602</w:t>
            </w:r>
          </w:p>
        </w:tc>
        <w:tc>
          <w:tcPr>
            <w:tcW w:w="644" w:type="pct"/>
            <w:tcBorders>
              <w:top w:val="nil"/>
              <w:left w:val="nil"/>
              <w:bottom w:val="nil"/>
              <w:right w:val="nil"/>
            </w:tcBorders>
            <w:tcMar>
              <w:top w:w="0" w:type="dxa"/>
              <w:left w:w="0" w:type="dxa"/>
              <w:bottom w:w="0" w:type="dxa"/>
              <w:right w:w="0" w:type="dxa"/>
            </w:tcMar>
            <w:vAlign w:val="center"/>
          </w:tcPr>
          <w:p w14:paraId="4B6D91C0" w14:textId="6B60C145" w:rsidR="007C483D" w:rsidRPr="006C5B92" w:rsidRDefault="007C483D" w:rsidP="007C483D">
            <w:pPr>
              <w:pStyle w:val="NormalWeb"/>
              <w:spacing w:before="0" w:beforeAutospacing="0" w:after="0"/>
              <w:jc w:val="right"/>
              <w:rPr>
                <w:rFonts w:ascii="Arial" w:hAnsi="Arial" w:cs="Arial"/>
                <w:i/>
                <w:iCs/>
                <w:sz w:val="16"/>
                <w:szCs w:val="16"/>
              </w:rPr>
            </w:pPr>
            <w:r>
              <w:rPr>
                <w:rFonts w:ascii="Arial" w:hAnsi="Arial" w:cs="Arial"/>
                <w:i/>
                <w:iCs/>
                <w:color w:val="000000"/>
                <w:sz w:val="16"/>
                <w:szCs w:val="16"/>
              </w:rPr>
              <w:t>476</w:t>
            </w:r>
          </w:p>
        </w:tc>
        <w:tc>
          <w:tcPr>
            <w:tcW w:w="640" w:type="pct"/>
            <w:tcBorders>
              <w:top w:val="nil"/>
              <w:left w:val="nil"/>
              <w:bottom w:val="nil"/>
              <w:right w:val="nil"/>
            </w:tcBorders>
            <w:tcMar>
              <w:top w:w="0" w:type="dxa"/>
              <w:left w:w="0" w:type="dxa"/>
              <w:bottom w:w="0" w:type="dxa"/>
              <w:right w:w="0" w:type="dxa"/>
            </w:tcMar>
            <w:vAlign w:val="center"/>
          </w:tcPr>
          <w:p w14:paraId="457D5189" w14:textId="692E138B" w:rsidR="007C483D" w:rsidRPr="006C5B92" w:rsidRDefault="007C483D" w:rsidP="007C483D">
            <w:pPr>
              <w:pStyle w:val="NormalWeb"/>
              <w:spacing w:before="0" w:beforeAutospacing="0" w:after="0"/>
              <w:jc w:val="right"/>
              <w:rPr>
                <w:rFonts w:ascii="Arial" w:hAnsi="Arial" w:cs="Arial"/>
                <w:i/>
                <w:iCs/>
                <w:sz w:val="16"/>
                <w:szCs w:val="16"/>
              </w:rPr>
            </w:pPr>
            <w:r>
              <w:rPr>
                <w:rFonts w:ascii="Arial" w:hAnsi="Arial" w:cs="Arial"/>
                <w:i/>
                <w:iCs/>
                <w:color w:val="000000"/>
                <w:sz w:val="16"/>
                <w:szCs w:val="16"/>
              </w:rPr>
              <w:t>47</w:t>
            </w:r>
            <w:r w:rsidR="00BC631B">
              <w:rPr>
                <w:rFonts w:ascii="Arial" w:hAnsi="Arial" w:cs="Arial"/>
                <w:i/>
                <w:iCs/>
                <w:color w:val="000000"/>
                <w:sz w:val="16"/>
                <w:szCs w:val="16"/>
              </w:rPr>
              <w:t>7</w:t>
            </w:r>
          </w:p>
        </w:tc>
        <w:tc>
          <w:tcPr>
            <w:tcW w:w="631" w:type="pct"/>
            <w:tcBorders>
              <w:top w:val="nil"/>
              <w:left w:val="nil"/>
              <w:bottom w:val="nil"/>
              <w:right w:val="nil"/>
            </w:tcBorders>
            <w:tcMar>
              <w:top w:w="0" w:type="dxa"/>
              <w:left w:w="0" w:type="dxa"/>
              <w:bottom w:w="0" w:type="dxa"/>
              <w:right w:w="0" w:type="dxa"/>
            </w:tcMar>
            <w:vAlign w:val="center"/>
          </w:tcPr>
          <w:p w14:paraId="73ADC5FD" w14:textId="003DE4E3" w:rsidR="007C483D" w:rsidRPr="006C5B92" w:rsidRDefault="007C483D" w:rsidP="007C483D">
            <w:pPr>
              <w:pStyle w:val="NormalWeb"/>
              <w:spacing w:before="0" w:beforeAutospacing="0" w:after="0"/>
              <w:jc w:val="right"/>
              <w:rPr>
                <w:rFonts w:ascii="Arial" w:hAnsi="Arial" w:cs="Arial"/>
                <w:i/>
                <w:iCs/>
                <w:sz w:val="16"/>
                <w:szCs w:val="16"/>
              </w:rPr>
            </w:pPr>
            <w:r>
              <w:rPr>
                <w:rFonts w:ascii="Arial" w:hAnsi="Arial" w:cs="Arial"/>
                <w:i/>
                <w:iCs/>
                <w:color w:val="000000"/>
                <w:sz w:val="16"/>
                <w:szCs w:val="16"/>
              </w:rPr>
              <w:t>392</w:t>
            </w:r>
          </w:p>
        </w:tc>
      </w:tr>
      <w:tr w:rsidR="007C483D" w:rsidRPr="008C147B" w14:paraId="53068057" w14:textId="77777777" w:rsidTr="007C483D">
        <w:trPr>
          <w:trHeight w:val="340"/>
          <w:tblCellSpacing w:w="0" w:type="dxa"/>
        </w:trPr>
        <w:tc>
          <w:tcPr>
            <w:tcW w:w="1159" w:type="pct"/>
            <w:tcBorders>
              <w:top w:val="nil"/>
              <w:left w:val="nil"/>
              <w:bottom w:val="nil"/>
              <w:right w:val="nil"/>
            </w:tcBorders>
            <w:tcMar>
              <w:top w:w="0" w:type="dxa"/>
              <w:left w:w="0" w:type="dxa"/>
              <w:bottom w:w="0" w:type="dxa"/>
              <w:right w:w="0" w:type="dxa"/>
            </w:tcMar>
            <w:vAlign w:val="center"/>
            <w:hideMark/>
          </w:tcPr>
          <w:p w14:paraId="23976002" w14:textId="1B00FAD0" w:rsidR="007C483D" w:rsidRPr="008C147B" w:rsidRDefault="007C483D" w:rsidP="007C483D">
            <w:pPr>
              <w:pStyle w:val="NormalWeb"/>
              <w:spacing w:before="0" w:beforeAutospacing="0" w:after="0"/>
              <w:rPr>
                <w:rFonts w:ascii="Arial" w:hAnsi="Arial" w:cs="Arial"/>
                <w:i/>
                <w:sz w:val="16"/>
                <w:szCs w:val="16"/>
              </w:rPr>
            </w:pPr>
            <w:r>
              <w:rPr>
                <w:rFonts w:ascii="Arial" w:hAnsi="Arial" w:cs="Arial"/>
                <w:i/>
                <w:sz w:val="16"/>
                <w:szCs w:val="16"/>
              </w:rPr>
              <w:t xml:space="preserve">    </w:t>
            </w:r>
            <w:r w:rsidRPr="00813F9E">
              <w:rPr>
                <w:rFonts w:ascii="Arial" w:hAnsi="Arial" w:cs="Arial"/>
                <w:i/>
                <w:sz w:val="16"/>
                <w:szCs w:val="16"/>
              </w:rPr>
              <w:t>Thaw</w:t>
            </w:r>
          </w:p>
        </w:tc>
        <w:tc>
          <w:tcPr>
            <w:tcW w:w="640" w:type="pct"/>
            <w:tcBorders>
              <w:top w:val="nil"/>
              <w:left w:val="nil"/>
              <w:bottom w:val="nil"/>
              <w:right w:val="nil"/>
            </w:tcBorders>
            <w:tcMar>
              <w:top w:w="0" w:type="dxa"/>
              <w:left w:w="0" w:type="dxa"/>
              <w:bottom w:w="0" w:type="dxa"/>
              <w:right w:w="0" w:type="dxa"/>
            </w:tcMar>
            <w:vAlign w:val="center"/>
          </w:tcPr>
          <w:p w14:paraId="014AFD47" w14:textId="69DD5B99" w:rsidR="007C483D" w:rsidRPr="006C5B92" w:rsidRDefault="007C483D" w:rsidP="007C483D">
            <w:pPr>
              <w:pStyle w:val="NormalWeb"/>
              <w:spacing w:before="0" w:beforeAutospacing="0" w:after="0"/>
              <w:jc w:val="right"/>
              <w:rPr>
                <w:rFonts w:ascii="Arial" w:hAnsi="Arial" w:cs="Arial"/>
                <w:i/>
                <w:iCs/>
                <w:sz w:val="16"/>
                <w:szCs w:val="16"/>
              </w:rPr>
            </w:pPr>
            <w:r>
              <w:rPr>
                <w:rFonts w:ascii="Arial" w:hAnsi="Arial" w:cs="Arial"/>
                <w:i/>
                <w:iCs/>
                <w:color w:val="000000"/>
                <w:sz w:val="16"/>
                <w:szCs w:val="16"/>
              </w:rPr>
              <w:t>4,028</w:t>
            </w:r>
          </w:p>
        </w:tc>
        <w:tc>
          <w:tcPr>
            <w:tcW w:w="640" w:type="pct"/>
            <w:tcBorders>
              <w:top w:val="nil"/>
              <w:left w:val="nil"/>
              <w:bottom w:val="nil"/>
              <w:right w:val="nil"/>
            </w:tcBorders>
            <w:tcMar>
              <w:top w:w="0" w:type="dxa"/>
              <w:left w:w="0" w:type="dxa"/>
              <w:bottom w:w="0" w:type="dxa"/>
              <w:right w:w="0" w:type="dxa"/>
            </w:tcMar>
            <w:vAlign w:val="center"/>
          </w:tcPr>
          <w:p w14:paraId="34E34A63" w14:textId="3BC643AD" w:rsidR="007C483D" w:rsidRPr="006C5B92" w:rsidRDefault="007C483D" w:rsidP="007C483D">
            <w:pPr>
              <w:pStyle w:val="NormalWeb"/>
              <w:spacing w:before="0" w:beforeAutospacing="0" w:after="0"/>
              <w:jc w:val="right"/>
              <w:rPr>
                <w:rFonts w:ascii="Arial" w:hAnsi="Arial" w:cs="Arial"/>
                <w:i/>
                <w:iCs/>
                <w:sz w:val="16"/>
                <w:szCs w:val="16"/>
              </w:rPr>
            </w:pPr>
            <w:r>
              <w:rPr>
                <w:rFonts w:ascii="Arial" w:hAnsi="Arial" w:cs="Arial"/>
                <w:i/>
                <w:iCs/>
                <w:sz w:val="16"/>
                <w:szCs w:val="16"/>
              </w:rPr>
              <w:t>45.5</w:t>
            </w:r>
          </w:p>
        </w:tc>
        <w:tc>
          <w:tcPr>
            <w:tcW w:w="646" w:type="pct"/>
            <w:tcBorders>
              <w:top w:val="nil"/>
              <w:left w:val="nil"/>
              <w:bottom w:val="nil"/>
              <w:right w:val="nil"/>
            </w:tcBorders>
            <w:tcMar>
              <w:top w:w="0" w:type="dxa"/>
              <w:left w:w="0" w:type="dxa"/>
              <w:bottom w:w="0" w:type="dxa"/>
              <w:right w:w="0" w:type="dxa"/>
            </w:tcMar>
            <w:vAlign w:val="center"/>
          </w:tcPr>
          <w:p w14:paraId="0EA97749" w14:textId="038C4895" w:rsidR="007C483D" w:rsidRPr="006C5B92" w:rsidRDefault="007C483D" w:rsidP="007C483D">
            <w:pPr>
              <w:pStyle w:val="NormalWeb"/>
              <w:spacing w:before="0" w:beforeAutospacing="0" w:after="0"/>
              <w:jc w:val="right"/>
              <w:rPr>
                <w:rFonts w:ascii="Arial" w:hAnsi="Arial" w:cs="Arial"/>
                <w:i/>
                <w:iCs/>
                <w:sz w:val="16"/>
                <w:szCs w:val="16"/>
              </w:rPr>
            </w:pPr>
            <w:r>
              <w:rPr>
                <w:rFonts w:ascii="Arial" w:hAnsi="Arial" w:cs="Arial"/>
                <w:i/>
                <w:iCs/>
                <w:color w:val="000000"/>
                <w:sz w:val="16"/>
                <w:szCs w:val="16"/>
              </w:rPr>
              <w:t>1,771</w:t>
            </w:r>
          </w:p>
        </w:tc>
        <w:tc>
          <w:tcPr>
            <w:tcW w:w="644" w:type="pct"/>
            <w:tcBorders>
              <w:top w:val="nil"/>
              <w:left w:val="nil"/>
              <w:bottom w:val="nil"/>
              <w:right w:val="nil"/>
            </w:tcBorders>
            <w:tcMar>
              <w:top w:w="0" w:type="dxa"/>
              <w:left w:w="0" w:type="dxa"/>
              <w:bottom w:w="0" w:type="dxa"/>
              <w:right w:w="0" w:type="dxa"/>
            </w:tcMar>
            <w:vAlign w:val="center"/>
          </w:tcPr>
          <w:p w14:paraId="1651D6CB" w14:textId="39D87A24" w:rsidR="007C483D" w:rsidRPr="006C5B92" w:rsidRDefault="007C483D" w:rsidP="007C483D">
            <w:pPr>
              <w:pStyle w:val="NormalWeb"/>
              <w:spacing w:before="0" w:beforeAutospacing="0" w:after="0"/>
              <w:jc w:val="right"/>
              <w:rPr>
                <w:rFonts w:ascii="Arial" w:hAnsi="Arial" w:cs="Arial"/>
                <w:i/>
                <w:iCs/>
                <w:sz w:val="16"/>
                <w:szCs w:val="16"/>
              </w:rPr>
            </w:pPr>
            <w:r>
              <w:rPr>
                <w:rFonts w:ascii="Arial" w:hAnsi="Arial" w:cs="Arial"/>
                <w:i/>
                <w:iCs/>
                <w:color w:val="000000"/>
                <w:sz w:val="16"/>
                <w:szCs w:val="16"/>
              </w:rPr>
              <w:t>1,403</w:t>
            </w:r>
          </w:p>
        </w:tc>
        <w:tc>
          <w:tcPr>
            <w:tcW w:w="640" w:type="pct"/>
            <w:tcBorders>
              <w:top w:val="nil"/>
              <w:left w:val="nil"/>
              <w:bottom w:val="nil"/>
              <w:right w:val="nil"/>
            </w:tcBorders>
            <w:tcMar>
              <w:top w:w="0" w:type="dxa"/>
              <w:left w:w="0" w:type="dxa"/>
              <w:bottom w:w="0" w:type="dxa"/>
              <w:right w:w="0" w:type="dxa"/>
            </w:tcMar>
            <w:vAlign w:val="center"/>
          </w:tcPr>
          <w:p w14:paraId="5CA9EC78" w14:textId="405A4801" w:rsidR="007C483D" w:rsidRPr="006C5B92" w:rsidRDefault="007C483D" w:rsidP="007C483D">
            <w:pPr>
              <w:pStyle w:val="NormalWeb"/>
              <w:spacing w:before="0" w:beforeAutospacing="0" w:after="0"/>
              <w:jc w:val="right"/>
              <w:rPr>
                <w:rFonts w:ascii="Arial" w:hAnsi="Arial" w:cs="Arial"/>
                <w:i/>
                <w:iCs/>
                <w:sz w:val="16"/>
                <w:szCs w:val="16"/>
              </w:rPr>
            </w:pPr>
            <w:r>
              <w:rPr>
                <w:rFonts w:ascii="Arial" w:hAnsi="Arial" w:cs="Arial"/>
                <w:i/>
                <w:iCs/>
                <w:color w:val="000000"/>
                <w:sz w:val="16"/>
                <w:szCs w:val="16"/>
              </w:rPr>
              <w:t>1,43</w:t>
            </w:r>
            <w:r w:rsidR="00BC631B">
              <w:rPr>
                <w:rFonts w:ascii="Arial" w:hAnsi="Arial" w:cs="Arial"/>
                <w:i/>
                <w:iCs/>
                <w:color w:val="000000"/>
                <w:sz w:val="16"/>
                <w:szCs w:val="16"/>
              </w:rPr>
              <w:t>2</w:t>
            </w:r>
          </w:p>
        </w:tc>
        <w:tc>
          <w:tcPr>
            <w:tcW w:w="631" w:type="pct"/>
            <w:tcBorders>
              <w:top w:val="nil"/>
              <w:left w:val="nil"/>
              <w:bottom w:val="nil"/>
              <w:right w:val="nil"/>
            </w:tcBorders>
            <w:tcMar>
              <w:top w:w="0" w:type="dxa"/>
              <w:left w:w="0" w:type="dxa"/>
              <w:bottom w:w="0" w:type="dxa"/>
              <w:right w:w="0" w:type="dxa"/>
            </w:tcMar>
            <w:vAlign w:val="center"/>
          </w:tcPr>
          <w:p w14:paraId="7DE19B0F" w14:textId="1409F927" w:rsidR="007C483D" w:rsidRPr="006C5B92" w:rsidRDefault="007C483D" w:rsidP="007C483D">
            <w:pPr>
              <w:pStyle w:val="NormalWeb"/>
              <w:spacing w:before="0" w:beforeAutospacing="0" w:after="0"/>
              <w:jc w:val="right"/>
              <w:rPr>
                <w:rFonts w:ascii="Arial" w:hAnsi="Arial" w:cs="Arial"/>
                <w:i/>
                <w:iCs/>
                <w:sz w:val="16"/>
                <w:szCs w:val="16"/>
              </w:rPr>
            </w:pPr>
            <w:r>
              <w:rPr>
                <w:rFonts w:ascii="Arial" w:hAnsi="Arial" w:cs="Arial"/>
                <w:i/>
                <w:iCs/>
                <w:color w:val="000000"/>
                <w:sz w:val="16"/>
                <w:szCs w:val="16"/>
              </w:rPr>
              <w:t>1,235</w:t>
            </w:r>
          </w:p>
        </w:tc>
      </w:tr>
      <w:tr w:rsidR="007C483D" w:rsidRPr="008C147B" w14:paraId="5146F024" w14:textId="77777777" w:rsidTr="007C483D">
        <w:trPr>
          <w:trHeight w:val="340"/>
          <w:tblCellSpacing w:w="0" w:type="dxa"/>
        </w:trPr>
        <w:tc>
          <w:tcPr>
            <w:tcW w:w="1159" w:type="pct"/>
            <w:tcBorders>
              <w:top w:val="nil"/>
              <w:left w:val="nil"/>
              <w:bottom w:val="nil"/>
              <w:right w:val="nil"/>
            </w:tcBorders>
            <w:tcMar>
              <w:top w:w="0" w:type="dxa"/>
              <w:left w:w="0" w:type="dxa"/>
              <w:bottom w:w="0" w:type="dxa"/>
              <w:right w:w="0" w:type="dxa"/>
            </w:tcMar>
            <w:vAlign w:val="center"/>
            <w:hideMark/>
          </w:tcPr>
          <w:p w14:paraId="3B76670B" w14:textId="73820F5B" w:rsidR="007C483D" w:rsidRPr="008C147B" w:rsidRDefault="007C483D" w:rsidP="007C483D">
            <w:pPr>
              <w:pStyle w:val="NormalWeb"/>
              <w:spacing w:before="0" w:beforeAutospacing="0" w:after="0"/>
              <w:rPr>
                <w:rFonts w:ascii="Arial" w:hAnsi="Arial" w:cs="Arial"/>
                <w:sz w:val="16"/>
                <w:szCs w:val="16"/>
              </w:rPr>
            </w:pPr>
            <w:r w:rsidRPr="002C669F">
              <w:rPr>
                <w:rFonts w:ascii="Arial" w:hAnsi="Arial" w:cs="Arial"/>
                <w:sz w:val="16"/>
                <w:szCs w:val="16"/>
              </w:rPr>
              <w:t>Oocyte recipient</w:t>
            </w:r>
          </w:p>
        </w:tc>
        <w:tc>
          <w:tcPr>
            <w:tcW w:w="640" w:type="pct"/>
            <w:tcBorders>
              <w:top w:val="nil"/>
              <w:left w:val="nil"/>
              <w:bottom w:val="nil"/>
              <w:right w:val="nil"/>
            </w:tcBorders>
            <w:tcMar>
              <w:top w:w="0" w:type="dxa"/>
              <w:left w:w="0" w:type="dxa"/>
              <w:bottom w:w="0" w:type="dxa"/>
              <w:right w:w="0" w:type="dxa"/>
            </w:tcMar>
            <w:vAlign w:val="center"/>
          </w:tcPr>
          <w:p w14:paraId="485BD7E1" w14:textId="10C61046"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309</w:t>
            </w:r>
          </w:p>
        </w:tc>
        <w:tc>
          <w:tcPr>
            <w:tcW w:w="640" w:type="pct"/>
            <w:tcBorders>
              <w:top w:val="nil"/>
              <w:left w:val="nil"/>
              <w:bottom w:val="nil"/>
              <w:right w:val="nil"/>
            </w:tcBorders>
            <w:tcMar>
              <w:top w:w="0" w:type="dxa"/>
              <w:left w:w="0" w:type="dxa"/>
              <w:bottom w:w="0" w:type="dxa"/>
              <w:right w:w="0" w:type="dxa"/>
            </w:tcMar>
            <w:vAlign w:val="center"/>
          </w:tcPr>
          <w:p w14:paraId="0675A623" w14:textId="3839DF86"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sz w:val="16"/>
                <w:szCs w:val="16"/>
              </w:rPr>
              <w:t>3.5</w:t>
            </w:r>
          </w:p>
        </w:tc>
        <w:tc>
          <w:tcPr>
            <w:tcW w:w="646" w:type="pct"/>
            <w:tcBorders>
              <w:top w:val="nil"/>
              <w:left w:val="nil"/>
              <w:bottom w:val="nil"/>
              <w:right w:val="nil"/>
            </w:tcBorders>
            <w:tcMar>
              <w:top w:w="0" w:type="dxa"/>
              <w:left w:w="0" w:type="dxa"/>
              <w:bottom w:w="0" w:type="dxa"/>
              <w:right w:w="0" w:type="dxa"/>
            </w:tcMar>
            <w:vAlign w:val="center"/>
          </w:tcPr>
          <w:p w14:paraId="6A73468F" w14:textId="19225121"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124</w:t>
            </w:r>
          </w:p>
        </w:tc>
        <w:tc>
          <w:tcPr>
            <w:tcW w:w="644" w:type="pct"/>
            <w:tcBorders>
              <w:top w:val="nil"/>
              <w:left w:val="nil"/>
              <w:bottom w:val="nil"/>
              <w:right w:val="nil"/>
            </w:tcBorders>
            <w:tcMar>
              <w:top w:w="0" w:type="dxa"/>
              <w:left w:w="0" w:type="dxa"/>
              <w:bottom w:w="0" w:type="dxa"/>
              <w:right w:w="0" w:type="dxa"/>
            </w:tcMar>
            <w:vAlign w:val="center"/>
          </w:tcPr>
          <w:p w14:paraId="6366BE7A" w14:textId="1236D4B6"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95</w:t>
            </w:r>
          </w:p>
        </w:tc>
        <w:tc>
          <w:tcPr>
            <w:tcW w:w="640" w:type="pct"/>
            <w:tcBorders>
              <w:top w:val="nil"/>
              <w:left w:val="nil"/>
              <w:bottom w:val="nil"/>
              <w:right w:val="nil"/>
            </w:tcBorders>
            <w:tcMar>
              <w:top w:w="0" w:type="dxa"/>
              <w:left w:w="0" w:type="dxa"/>
              <w:bottom w:w="0" w:type="dxa"/>
              <w:right w:w="0" w:type="dxa"/>
            </w:tcMar>
            <w:vAlign w:val="center"/>
          </w:tcPr>
          <w:p w14:paraId="77A6490D" w14:textId="42008E43"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9</w:t>
            </w:r>
            <w:r w:rsidR="00BC631B">
              <w:rPr>
                <w:rFonts w:ascii="Arial" w:hAnsi="Arial" w:cs="Arial"/>
                <w:color w:val="000000"/>
                <w:sz w:val="16"/>
                <w:szCs w:val="16"/>
              </w:rPr>
              <w:t>8</w:t>
            </w:r>
          </w:p>
        </w:tc>
        <w:tc>
          <w:tcPr>
            <w:tcW w:w="631" w:type="pct"/>
            <w:tcBorders>
              <w:top w:val="nil"/>
              <w:left w:val="nil"/>
              <w:bottom w:val="nil"/>
              <w:right w:val="nil"/>
            </w:tcBorders>
            <w:tcMar>
              <w:top w:w="0" w:type="dxa"/>
              <w:left w:w="0" w:type="dxa"/>
              <w:bottom w:w="0" w:type="dxa"/>
              <w:right w:w="0" w:type="dxa"/>
            </w:tcMar>
            <w:vAlign w:val="center"/>
          </w:tcPr>
          <w:p w14:paraId="414D65CB" w14:textId="22566AC7"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85</w:t>
            </w:r>
          </w:p>
        </w:tc>
      </w:tr>
      <w:tr w:rsidR="007C483D" w:rsidRPr="008C147B" w14:paraId="20AB3626" w14:textId="77777777" w:rsidTr="007C483D">
        <w:trPr>
          <w:trHeight w:val="340"/>
          <w:tblCellSpacing w:w="0" w:type="dxa"/>
        </w:trPr>
        <w:tc>
          <w:tcPr>
            <w:tcW w:w="1159" w:type="pct"/>
            <w:tcBorders>
              <w:top w:val="nil"/>
              <w:left w:val="nil"/>
              <w:bottom w:val="nil"/>
              <w:right w:val="nil"/>
            </w:tcBorders>
            <w:tcMar>
              <w:top w:w="0" w:type="dxa"/>
              <w:left w:w="0" w:type="dxa"/>
              <w:bottom w:w="0" w:type="dxa"/>
              <w:right w:w="0" w:type="dxa"/>
            </w:tcMar>
            <w:vAlign w:val="center"/>
            <w:hideMark/>
          </w:tcPr>
          <w:p w14:paraId="2977754A" w14:textId="4F1E3A66" w:rsidR="007C483D" w:rsidRPr="008C147B" w:rsidRDefault="007C483D" w:rsidP="007C483D">
            <w:pPr>
              <w:pStyle w:val="NormalWeb"/>
              <w:spacing w:before="0" w:beforeAutospacing="0" w:after="0"/>
              <w:rPr>
                <w:rFonts w:ascii="Arial" w:hAnsi="Arial" w:cs="Arial"/>
                <w:sz w:val="16"/>
                <w:szCs w:val="16"/>
              </w:rPr>
            </w:pPr>
            <w:r w:rsidRPr="009C6F66">
              <w:rPr>
                <w:rFonts w:ascii="Arial" w:hAnsi="Arial" w:cs="Arial"/>
                <w:sz w:val="16"/>
                <w:szCs w:val="16"/>
              </w:rPr>
              <w:t>Embryo recipient</w:t>
            </w:r>
          </w:p>
        </w:tc>
        <w:tc>
          <w:tcPr>
            <w:tcW w:w="640" w:type="pct"/>
            <w:tcBorders>
              <w:top w:val="nil"/>
              <w:left w:val="nil"/>
              <w:bottom w:val="nil"/>
              <w:right w:val="nil"/>
            </w:tcBorders>
            <w:tcMar>
              <w:top w:w="0" w:type="dxa"/>
              <w:left w:w="0" w:type="dxa"/>
              <w:bottom w:w="0" w:type="dxa"/>
              <w:right w:w="0" w:type="dxa"/>
            </w:tcMar>
            <w:vAlign w:val="center"/>
          </w:tcPr>
          <w:p w14:paraId="66DB540C" w14:textId="2638AB68"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80</w:t>
            </w:r>
          </w:p>
        </w:tc>
        <w:tc>
          <w:tcPr>
            <w:tcW w:w="640" w:type="pct"/>
            <w:tcBorders>
              <w:top w:val="nil"/>
              <w:left w:val="nil"/>
              <w:bottom w:val="nil"/>
              <w:right w:val="nil"/>
            </w:tcBorders>
            <w:tcMar>
              <w:top w:w="0" w:type="dxa"/>
              <w:left w:w="0" w:type="dxa"/>
              <w:bottom w:w="0" w:type="dxa"/>
              <w:right w:w="0" w:type="dxa"/>
            </w:tcMar>
            <w:vAlign w:val="center"/>
          </w:tcPr>
          <w:p w14:paraId="07344B19" w14:textId="177A206C"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sz w:val="16"/>
                <w:szCs w:val="16"/>
              </w:rPr>
              <w:t>0.9</w:t>
            </w:r>
          </w:p>
        </w:tc>
        <w:tc>
          <w:tcPr>
            <w:tcW w:w="646" w:type="pct"/>
            <w:tcBorders>
              <w:top w:val="nil"/>
              <w:left w:val="nil"/>
              <w:bottom w:val="nil"/>
              <w:right w:val="nil"/>
            </w:tcBorders>
            <w:tcMar>
              <w:top w:w="0" w:type="dxa"/>
              <w:left w:w="0" w:type="dxa"/>
              <w:bottom w:w="0" w:type="dxa"/>
              <w:right w:w="0" w:type="dxa"/>
            </w:tcMar>
            <w:vAlign w:val="center"/>
          </w:tcPr>
          <w:p w14:paraId="7C319F6C" w14:textId="3ACBA2B7"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33</w:t>
            </w:r>
          </w:p>
        </w:tc>
        <w:tc>
          <w:tcPr>
            <w:tcW w:w="644" w:type="pct"/>
            <w:tcBorders>
              <w:top w:val="nil"/>
              <w:left w:val="nil"/>
              <w:bottom w:val="nil"/>
              <w:right w:val="nil"/>
            </w:tcBorders>
            <w:tcMar>
              <w:top w:w="0" w:type="dxa"/>
              <w:left w:w="0" w:type="dxa"/>
              <w:bottom w:w="0" w:type="dxa"/>
              <w:right w:w="0" w:type="dxa"/>
            </w:tcMar>
            <w:vAlign w:val="center"/>
          </w:tcPr>
          <w:p w14:paraId="16BDEBEC" w14:textId="50F402F6"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26</w:t>
            </w:r>
          </w:p>
        </w:tc>
        <w:tc>
          <w:tcPr>
            <w:tcW w:w="640" w:type="pct"/>
            <w:tcBorders>
              <w:top w:val="nil"/>
              <w:left w:val="nil"/>
              <w:bottom w:val="nil"/>
              <w:right w:val="nil"/>
            </w:tcBorders>
            <w:tcMar>
              <w:top w:w="0" w:type="dxa"/>
              <w:left w:w="0" w:type="dxa"/>
              <w:bottom w:w="0" w:type="dxa"/>
              <w:right w:w="0" w:type="dxa"/>
            </w:tcMar>
            <w:vAlign w:val="center"/>
          </w:tcPr>
          <w:p w14:paraId="0F106F9D" w14:textId="119FC172"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27</w:t>
            </w:r>
          </w:p>
        </w:tc>
        <w:tc>
          <w:tcPr>
            <w:tcW w:w="631" w:type="pct"/>
            <w:tcBorders>
              <w:top w:val="nil"/>
              <w:left w:val="nil"/>
              <w:bottom w:val="nil"/>
              <w:right w:val="nil"/>
            </w:tcBorders>
            <w:tcMar>
              <w:top w:w="0" w:type="dxa"/>
              <w:left w:w="0" w:type="dxa"/>
              <w:bottom w:w="0" w:type="dxa"/>
              <w:right w:w="0" w:type="dxa"/>
            </w:tcMar>
            <w:vAlign w:val="center"/>
          </w:tcPr>
          <w:p w14:paraId="04969A54" w14:textId="275CF059"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23</w:t>
            </w:r>
          </w:p>
        </w:tc>
      </w:tr>
      <w:tr w:rsidR="007C483D" w:rsidRPr="008C147B" w14:paraId="2559CAF0" w14:textId="77777777" w:rsidTr="007C483D">
        <w:trPr>
          <w:trHeight w:val="340"/>
          <w:tblCellSpacing w:w="0" w:type="dxa"/>
        </w:trPr>
        <w:tc>
          <w:tcPr>
            <w:tcW w:w="1159" w:type="pct"/>
            <w:tcBorders>
              <w:top w:val="nil"/>
              <w:left w:val="nil"/>
              <w:bottom w:val="nil"/>
              <w:right w:val="nil"/>
            </w:tcBorders>
            <w:tcMar>
              <w:top w:w="0" w:type="dxa"/>
              <w:left w:w="0" w:type="dxa"/>
              <w:bottom w:w="0" w:type="dxa"/>
              <w:right w:w="0" w:type="dxa"/>
            </w:tcMar>
            <w:vAlign w:val="center"/>
            <w:hideMark/>
          </w:tcPr>
          <w:p w14:paraId="63491B08" w14:textId="58CA124D" w:rsidR="007C483D" w:rsidRPr="008C147B" w:rsidRDefault="007C483D" w:rsidP="007C483D">
            <w:pPr>
              <w:pStyle w:val="NormalWeb"/>
              <w:spacing w:before="0" w:beforeAutospacing="0" w:after="0"/>
              <w:rPr>
                <w:rFonts w:ascii="Arial" w:hAnsi="Arial" w:cs="Arial"/>
                <w:sz w:val="16"/>
                <w:szCs w:val="16"/>
              </w:rPr>
            </w:pPr>
            <w:r w:rsidRPr="009C6F66">
              <w:rPr>
                <w:rFonts w:ascii="Arial" w:hAnsi="Arial" w:cs="Arial"/>
                <w:sz w:val="16"/>
                <w:szCs w:val="16"/>
              </w:rPr>
              <w:t>Oocyte donation</w:t>
            </w:r>
          </w:p>
        </w:tc>
        <w:tc>
          <w:tcPr>
            <w:tcW w:w="640" w:type="pct"/>
            <w:tcBorders>
              <w:top w:val="nil"/>
              <w:left w:val="nil"/>
              <w:bottom w:val="nil"/>
              <w:right w:val="nil"/>
            </w:tcBorders>
            <w:tcMar>
              <w:top w:w="0" w:type="dxa"/>
              <w:left w:w="0" w:type="dxa"/>
              <w:bottom w:w="0" w:type="dxa"/>
              <w:right w:w="0" w:type="dxa"/>
            </w:tcMar>
            <w:vAlign w:val="center"/>
          </w:tcPr>
          <w:p w14:paraId="069EE9D6" w14:textId="583912A4"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127</w:t>
            </w:r>
          </w:p>
        </w:tc>
        <w:tc>
          <w:tcPr>
            <w:tcW w:w="640" w:type="pct"/>
            <w:tcBorders>
              <w:top w:val="nil"/>
              <w:left w:val="nil"/>
              <w:bottom w:val="nil"/>
              <w:right w:val="nil"/>
            </w:tcBorders>
            <w:tcMar>
              <w:top w:w="0" w:type="dxa"/>
              <w:left w:w="0" w:type="dxa"/>
              <w:bottom w:w="0" w:type="dxa"/>
              <w:right w:w="0" w:type="dxa"/>
            </w:tcMar>
            <w:vAlign w:val="center"/>
          </w:tcPr>
          <w:p w14:paraId="197D67BF" w14:textId="5AA3798D"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sz w:val="16"/>
                <w:szCs w:val="16"/>
              </w:rPr>
              <w:t>1.4</w:t>
            </w:r>
          </w:p>
        </w:tc>
        <w:tc>
          <w:tcPr>
            <w:tcW w:w="646" w:type="pct"/>
            <w:tcBorders>
              <w:top w:val="nil"/>
              <w:left w:val="nil"/>
              <w:bottom w:val="nil"/>
              <w:right w:val="nil"/>
            </w:tcBorders>
            <w:tcMar>
              <w:top w:w="0" w:type="dxa"/>
              <w:left w:w="0" w:type="dxa"/>
              <w:bottom w:w="0" w:type="dxa"/>
              <w:right w:w="0" w:type="dxa"/>
            </w:tcMar>
            <w:vAlign w:val="center"/>
          </w:tcPr>
          <w:p w14:paraId="7B01DC48" w14:textId="09A3B355"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w:t>
            </w:r>
          </w:p>
        </w:tc>
        <w:tc>
          <w:tcPr>
            <w:tcW w:w="644" w:type="pct"/>
            <w:tcBorders>
              <w:top w:val="nil"/>
              <w:left w:val="nil"/>
              <w:bottom w:val="nil"/>
              <w:right w:val="nil"/>
            </w:tcBorders>
            <w:tcMar>
              <w:top w:w="0" w:type="dxa"/>
              <w:left w:w="0" w:type="dxa"/>
              <w:bottom w:w="0" w:type="dxa"/>
              <w:right w:w="0" w:type="dxa"/>
            </w:tcMar>
            <w:vAlign w:val="center"/>
          </w:tcPr>
          <w:p w14:paraId="116CA474" w14:textId="6823709C"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w:t>
            </w:r>
          </w:p>
        </w:tc>
        <w:tc>
          <w:tcPr>
            <w:tcW w:w="640" w:type="pct"/>
            <w:tcBorders>
              <w:top w:val="nil"/>
              <w:left w:val="nil"/>
              <w:bottom w:val="nil"/>
              <w:right w:val="nil"/>
            </w:tcBorders>
            <w:tcMar>
              <w:top w:w="0" w:type="dxa"/>
              <w:left w:w="0" w:type="dxa"/>
              <w:bottom w:w="0" w:type="dxa"/>
              <w:right w:w="0" w:type="dxa"/>
            </w:tcMar>
            <w:vAlign w:val="center"/>
          </w:tcPr>
          <w:p w14:paraId="0FEDB801" w14:textId="32A3FB5F"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w:t>
            </w:r>
          </w:p>
        </w:tc>
        <w:tc>
          <w:tcPr>
            <w:tcW w:w="631" w:type="pct"/>
            <w:tcBorders>
              <w:top w:val="nil"/>
              <w:left w:val="nil"/>
              <w:bottom w:val="nil"/>
              <w:right w:val="nil"/>
            </w:tcBorders>
            <w:tcMar>
              <w:top w:w="0" w:type="dxa"/>
              <w:left w:w="0" w:type="dxa"/>
              <w:bottom w:w="0" w:type="dxa"/>
              <w:right w:w="0" w:type="dxa"/>
            </w:tcMar>
            <w:vAlign w:val="center"/>
          </w:tcPr>
          <w:p w14:paraId="2DB8CB3E" w14:textId="57EF382A" w:rsidR="007C483D" w:rsidRPr="008C147B"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w:t>
            </w:r>
          </w:p>
        </w:tc>
      </w:tr>
      <w:tr w:rsidR="007C483D" w:rsidRPr="008C147B" w14:paraId="53660A01" w14:textId="77777777" w:rsidTr="007C483D">
        <w:trPr>
          <w:trHeight w:val="397"/>
          <w:tblCellSpacing w:w="0" w:type="dxa"/>
        </w:trPr>
        <w:tc>
          <w:tcPr>
            <w:tcW w:w="1159" w:type="pct"/>
            <w:tcBorders>
              <w:top w:val="nil"/>
              <w:left w:val="nil"/>
              <w:bottom w:val="nil"/>
              <w:right w:val="nil"/>
            </w:tcBorders>
            <w:tcMar>
              <w:top w:w="0" w:type="dxa"/>
              <w:left w:w="0" w:type="dxa"/>
              <w:bottom w:w="0" w:type="dxa"/>
              <w:right w:w="0" w:type="dxa"/>
            </w:tcMar>
            <w:vAlign w:val="center"/>
          </w:tcPr>
          <w:p w14:paraId="42D99F75" w14:textId="5BBCA771" w:rsidR="007C483D" w:rsidRPr="009C6F66" w:rsidRDefault="007C483D" w:rsidP="007C483D">
            <w:pPr>
              <w:pStyle w:val="NormalWeb"/>
              <w:spacing w:before="0" w:beforeAutospacing="0" w:after="0"/>
              <w:rPr>
                <w:rFonts w:ascii="Arial" w:hAnsi="Arial" w:cs="Arial"/>
                <w:sz w:val="16"/>
                <w:szCs w:val="16"/>
              </w:rPr>
            </w:pPr>
            <w:r>
              <w:rPr>
                <w:rFonts w:ascii="Arial" w:hAnsi="Arial" w:cs="Arial"/>
                <w:sz w:val="16"/>
                <w:szCs w:val="16"/>
              </w:rPr>
              <w:t>Embryo donation</w:t>
            </w:r>
          </w:p>
        </w:tc>
        <w:tc>
          <w:tcPr>
            <w:tcW w:w="640" w:type="pct"/>
            <w:tcBorders>
              <w:top w:val="nil"/>
              <w:left w:val="nil"/>
              <w:bottom w:val="nil"/>
              <w:right w:val="nil"/>
            </w:tcBorders>
            <w:tcMar>
              <w:top w:w="0" w:type="dxa"/>
              <w:left w:w="0" w:type="dxa"/>
              <w:bottom w:w="0" w:type="dxa"/>
              <w:right w:w="0" w:type="dxa"/>
            </w:tcMar>
            <w:vAlign w:val="center"/>
          </w:tcPr>
          <w:p w14:paraId="31C7238C" w14:textId="252CF268" w:rsidR="007C483D"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19</w:t>
            </w:r>
          </w:p>
        </w:tc>
        <w:tc>
          <w:tcPr>
            <w:tcW w:w="640" w:type="pct"/>
            <w:tcBorders>
              <w:top w:val="nil"/>
              <w:left w:val="nil"/>
              <w:bottom w:val="nil"/>
              <w:right w:val="nil"/>
            </w:tcBorders>
            <w:tcMar>
              <w:top w:w="0" w:type="dxa"/>
              <w:left w:w="0" w:type="dxa"/>
              <w:bottom w:w="0" w:type="dxa"/>
              <w:right w:w="0" w:type="dxa"/>
            </w:tcMar>
            <w:vAlign w:val="center"/>
          </w:tcPr>
          <w:p w14:paraId="3FAB75BF" w14:textId="16E77CF7" w:rsidR="007C483D" w:rsidRDefault="007C483D" w:rsidP="007C483D">
            <w:pPr>
              <w:pStyle w:val="NormalWeb"/>
              <w:spacing w:before="0" w:beforeAutospacing="0" w:after="0"/>
              <w:jc w:val="right"/>
              <w:rPr>
                <w:rFonts w:ascii="Arial" w:hAnsi="Arial" w:cs="Arial"/>
                <w:sz w:val="16"/>
                <w:szCs w:val="16"/>
              </w:rPr>
            </w:pPr>
            <w:r>
              <w:rPr>
                <w:rFonts w:ascii="Arial" w:hAnsi="Arial" w:cs="Arial"/>
                <w:sz w:val="16"/>
                <w:szCs w:val="16"/>
              </w:rPr>
              <w:t>0.2</w:t>
            </w:r>
          </w:p>
        </w:tc>
        <w:tc>
          <w:tcPr>
            <w:tcW w:w="646" w:type="pct"/>
            <w:tcBorders>
              <w:top w:val="nil"/>
              <w:left w:val="nil"/>
              <w:bottom w:val="nil"/>
              <w:right w:val="nil"/>
            </w:tcBorders>
            <w:tcMar>
              <w:top w:w="0" w:type="dxa"/>
              <w:left w:w="0" w:type="dxa"/>
              <w:bottom w:w="0" w:type="dxa"/>
              <w:right w:w="0" w:type="dxa"/>
            </w:tcMar>
            <w:vAlign w:val="center"/>
          </w:tcPr>
          <w:p w14:paraId="2FD0E998" w14:textId="79E83A51" w:rsidR="007C483D"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w:t>
            </w:r>
          </w:p>
        </w:tc>
        <w:tc>
          <w:tcPr>
            <w:tcW w:w="644" w:type="pct"/>
            <w:tcBorders>
              <w:top w:val="nil"/>
              <w:left w:val="nil"/>
              <w:bottom w:val="nil"/>
              <w:right w:val="nil"/>
            </w:tcBorders>
            <w:tcMar>
              <w:top w:w="0" w:type="dxa"/>
              <w:left w:w="0" w:type="dxa"/>
              <w:bottom w:w="0" w:type="dxa"/>
              <w:right w:w="0" w:type="dxa"/>
            </w:tcMar>
            <w:vAlign w:val="center"/>
          </w:tcPr>
          <w:p w14:paraId="7C9E3173" w14:textId="5D123CAB" w:rsidR="007C483D"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w:t>
            </w:r>
          </w:p>
        </w:tc>
        <w:tc>
          <w:tcPr>
            <w:tcW w:w="640" w:type="pct"/>
            <w:tcBorders>
              <w:top w:val="nil"/>
              <w:left w:val="nil"/>
              <w:bottom w:val="nil"/>
              <w:right w:val="nil"/>
            </w:tcBorders>
            <w:tcMar>
              <w:top w:w="0" w:type="dxa"/>
              <w:left w:w="0" w:type="dxa"/>
              <w:bottom w:w="0" w:type="dxa"/>
              <w:right w:w="0" w:type="dxa"/>
            </w:tcMar>
            <w:vAlign w:val="center"/>
          </w:tcPr>
          <w:p w14:paraId="5BDC02AF" w14:textId="1FAE6715" w:rsidR="007C483D"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w:t>
            </w:r>
          </w:p>
        </w:tc>
        <w:tc>
          <w:tcPr>
            <w:tcW w:w="631" w:type="pct"/>
            <w:tcBorders>
              <w:top w:val="nil"/>
              <w:left w:val="nil"/>
              <w:bottom w:val="nil"/>
              <w:right w:val="nil"/>
            </w:tcBorders>
            <w:tcMar>
              <w:top w:w="0" w:type="dxa"/>
              <w:left w:w="0" w:type="dxa"/>
              <w:bottom w:w="0" w:type="dxa"/>
              <w:right w:w="0" w:type="dxa"/>
            </w:tcMar>
            <w:vAlign w:val="center"/>
          </w:tcPr>
          <w:p w14:paraId="225FE1CC" w14:textId="00B546E2" w:rsidR="007C483D" w:rsidRDefault="007C483D" w:rsidP="007C483D">
            <w:pPr>
              <w:pStyle w:val="NormalWeb"/>
              <w:spacing w:before="0" w:beforeAutospacing="0" w:after="0"/>
              <w:jc w:val="right"/>
              <w:rPr>
                <w:rFonts w:ascii="Arial" w:hAnsi="Arial" w:cs="Arial"/>
                <w:sz w:val="16"/>
                <w:szCs w:val="16"/>
              </w:rPr>
            </w:pPr>
            <w:r>
              <w:rPr>
                <w:rFonts w:ascii="Arial" w:hAnsi="Arial" w:cs="Arial"/>
                <w:color w:val="000000"/>
                <w:sz w:val="16"/>
                <w:szCs w:val="16"/>
              </w:rPr>
              <w:t>..</w:t>
            </w:r>
          </w:p>
        </w:tc>
      </w:tr>
      <w:tr w:rsidR="007C483D" w:rsidRPr="008C147B" w14:paraId="4CB7F965" w14:textId="77777777" w:rsidTr="007C483D">
        <w:trPr>
          <w:trHeight w:val="397"/>
          <w:tblCellSpacing w:w="0" w:type="dxa"/>
        </w:trPr>
        <w:tc>
          <w:tcPr>
            <w:tcW w:w="1159" w:type="pct"/>
            <w:tcBorders>
              <w:top w:val="nil"/>
              <w:left w:val="nil"/>
              <w:bottom w:val="nil"/>
              <w:right w:val="nil"/>
            </w:tcBorders>
            <w:tcMar>
              <w:top w:w="0" w:type="dxa"/>
              <w:left w:w="0" w:type="dxa"/>
              <w:bottom w:w="0" w:type="dxa"/>
              <w:right w:w="0" w:type="dxa"/>
            </w:tcMar>
            <w:vAlign w:val="center"/>
            <w:hideMark/>
          </w:tcPr>
          <w:p w14:paraId="0C8177AC" w14:textId="6524FC50" w:rsidR="007C483D" w:rsidRPr="008C147B" w:rsidRDefault="007C483D" w:rsidP="007C483D">
            <w:pPr>
              <w:pStyle w:val="NormalWeb"/>
              <w:spacing w:before="0" w:beforeAutospacing="0" w:after="0"/>
              <w:rPr>
                <w:rFonts w:ascii="Arial" w:hAnsi="Arial" w:cs="Arial"/>
                <w:i/>
                <w:sz w:val="16"/>
                <w:szCs w:val="16"/>
              </w:rPr>
            </w:pPr>
            <w:r w:rsidRPr="009C6F66">
              <w:rPr>
                <w:rFonts w:ascii="Arial" w:hAnsi="Arial" w:cs="Arial"/>
                <w:sz w:val="16"/>
                <w:szCs w:val="16"/>
              </w:rPr>
              <w:t>Surrogacy arrangement cycles</w:t>
            </w:r>
          </w:p>
        </w:tc>
        <w:tc>
          <w:tcPr>
            <w:tcW w:w="640" w:type="pct"/>
            <w:tcBorders>
              <w:top w:val="nil"/>
              <w:left w:val="nil"/>
              <w:bottom w:val="nil"/>
              <w:right w:val="nil"/>
            </w:tcBorders>
            <w:tcMar>
              <w:top w:w="0" w:type="dxa"/>
              <w:left w:w="0" w:type="dxa"/>
              <w:bottom w:w="0" w:type="dxa"/>
              <w:right w:w="0" w:type="dxa"/>
            </w:tcMar>
            <w:vAlign w:val="center"/>
          </w:tcPr>
          <w:p w14:paraId="5DD8A7EC" w14:textId="47748D91" w:rsidR="007C483D" w:rsidRPr="008C147B" w:rsidRDefault="007C483D" w:rsidP="007C483D">
            <w:pPr>
              <w:pStyle w:val="NormalWeb"/>
              <w:spacing w:before="0" w:beforeAutospacing="0" w:after="0"/>
              <w:jc w:val="right"/>
              <w:rPr>
                <w:rFonts w:ascii="Arial" w:hAnsi="Arial" w:cs="Arial"/>
                <w:i/>
                <w:sz w:val="16"/>
                <w:szCs w:val="16"/>
              </w:rPr>
            </w:pPr>
            <w:r>
              <w:rPr>
                <w:rFonts w:ascii="Arial" w:hAnsi="Arial" w:cs="Arial"/>
                <w:sz w:val="16"/>
                <w:szCs w:val="16"/>
              </w:rPr>
              <w:t>79</w:t>
            </w:r>
          </w:p>
        </w:tc>
        <w:tc>
          <w:tcPr>
            <w:tcW w:w="640" w:type="pct"/>
            <w:tcBorders>
              <w:top w:val="nil"/>
              <w:left w:val="nil"/>
              <w:bottom w:val="nil"/>
              <w:right w:val="nil"/>
            </w:tcBorders>
            <w:tcMar>
              <w:top w:w="0" w:type="dxa"/>
              <w:left w:w="0" w:type="dxa"/>
              <w:bottom w:w="0" w:type="dxa"/>
              <w:right w:w="0" w:type="dxa"/>
            </w:tcMar>
            <w:vAlign w:val="center"/>
          </w:tcPr>
          <w:p w14:paraId="5BAEE98A" w14:textId="7315E92E" w:rsidR="007C483D" w:rsidRPr="008C147B" w:rsidRDefault="007C483D" w:rsidP="007C483D">
            <w:pPr>
              <w:pStyle w:val="NormalWeb"/>
              <w:spacing w:before="0" w:beforeAutospacing="0" w:after="0"/>
              <w:jc w:val="right"/>
              <w:rPr>
                <w:rFonts w:ascii="Arial" w:hAnsi="Arial" w:cs="Arial"/>
                <w:i/>
                <w:sz w:val="16"/>
                <w:szCs w:val="16"/>
              </w:rPr>
            </w:pPr>
            <w:r>
              <w:rPr>
                <w:rFonts w:ascii="Arial" w:hAnsi="Arial" w:cs="Arial"/>
                <w:sz w:val="16"/>
                <w:szCs w:val="16"/>
              </w:rPr>
              <w:t>0.9</w:t>
            </w:r>
          </w:p>
        </w:tc>
        <w:tc>
          <w:tcPr>
            <w:tcW w:w="646" w:type="pct"/>
            <w:tcBorders>
              <w:top w:val="nil"/>
              <w:left w:val="nil"/>
              <w:bottom w:val="nil"/>
              <w:right w:val="nil"/>
            </w:tcBorders>
            <w:tcMar>
              <w:top w:w="0" w:type="dxa"/>
              <w:left w:w="0" w:type="dxa"/>
              <w:bottom w:w="0" w:type="dxa"/>
              <w:right w:w="0" w:type="dxa"/>
            </w:tcMar>
            <w:vAlign w:val="center"/>
          </w:tcPr>
          <w:p w14:paraId="6042470C" w14:textId="124CBC35" w:rsidR="007C483D" w:rsidRPr="008C147B" w:rsidRDefault="007C483D" w:rsidP="007C483D">
            <w:pPr>
              <w:pStyle w:val="NormalWeb"/>
              <w:spacing w:before="0" w:beforeAutospacing="0" w:after="0"/>
              <w:jc w:val="right"/>
              <w:rPr>
                <w:rFonts w:ascii="Arial" w:hAnsi="Arial" w:cs="Arial"/>
                <w:i/>
                <w:sz w:val="16"/>
                <w:szCs w:val="16"/>
              </w:rPr>
            </w:pPr>
            <w:r>
              <w:rPr>
                <w:rFonts w:ascii="Arial" w:hAnsi="Arial" w:cs="Arial"/>
                <w:sz w:val="16"/>
                <w:szCs w:val="16"/>
              </w:rPr>
              <w:t>23</w:t>
            </w:r>
          </w:p>
        </w:tc>
        <w:tc>
          <w:tcPr>
            <w:tcW w:w="644" w:type="pct"/>
            <w:tcBorders>
              <w:top w:val="nil"/>
              <w:left w:val="nil"/>
              <w:bottom w:val="nil"/>
              <w:right w:val="nil"/>
            </w:tcBorders>
            <w:tcMar>
              <w:top w:w="0" w:type="dxa"/>
              <w:left w:w="0" w:type="dxa"/>
              <w:bottom w:w="0" w:type="dxa"/>
              <w:right w:w="0" w:type="dxa"/>
            </w:tcMar>
            <w:vAlign w:val="center"/>
          </w:tcPr>
          <w:p w14:paraId="69AC711F" w14:textId="4B652399" w:rsidR="007C483D" w:rsidRPr="008C147B" w:rsidRDefault="007C483D" w:rsidP="007C483D">
            <w:pPr>
              <w:pStyle w:val="NormalWeb"/>
              <w:spacing w:before="0" w:beforeAutospacing="0" w:after="0"/>
              <w:jc w:val="right"/>
              <w:rPr>
                <w:rFonts w:ascii="Arial" w:hAnsi="Arial" w:cs="Arial"/>
                <w:i/>
                <w:sz w:val="16"/>
                <w:szCs w:val="16"/>
              </w:rPr>
            </w:pPr>
            <w:r>
              <w:rPr>
                <w:rFonts w:ascii="Arial" w:hAnsi="Arial" w:cs="Arial"/>
                <w:sz w:val="16"/>
                <w:szCs w:val="16"/>
              </w:rPr>
              <w:t>21</w:t>
            </w:r>
          </w:p>
        </w:tc>
        <w:tc>
          <w:tcPr>
            <w:tcW w:w="640" w:type="pct"/>
            <w:tcBorders>
              <w:top w:val="nil"/>
              <w:left w:val="nil"/>
              <w:bottom w:val="nil"/>
              <w:right w:val="nil"/>
            </w:tcBorders>
            <w:tcMar>
              <w:top w:w="0" w:type="dxa"/>
              <w:left w:w="0" w:type="dxa"/>
              <w:bottom w:w="0" w:type="dxa"/>
              <w:right w:w="0" w:type="dxa"/>
            </w:tcMar>
            <w:vAlign w:val="center"/>
          </w:tcPr>
          <w:p w14:paraId="177CA355" w14:textId="3EEEBD8A" w:rsidR="007C483D" w:rsidRPr="008C147B" w:rsidRDefault="007C483D" w:rsidP="007C483D">
            <w:pPr>
              <w:pStyle w:val="NormalWeb"/>
              <w:spacing w:before="0" w:beforeAutospacing="0" w:after="0"/>
              <w:jc w:val="right"/>
              <w:rPr>
                <w:rFonts w:ascii="Arial" w:hAnsi="Arial" w:cs="Arial"/>
                <w:i/>
                <w:sz w:val="16"/>
                <w:szCs w:val="16"/>
              </w:rPr>
            </w:pPr>
            <w:r>
              <w:rPr>
                <w:rFonts w:ascii="Arial" w:hAnsi="Arial" w:cs="Arial"/>
                <w:sz w:val="16"/>
                <w:szCs w:val="16"/>
              </w:rPr>
              <w:t>21</w:t>
            </w:r>
          </w:p>
        </w:tc>
        <w:tc>
          <w:tcPr>
            <w:tcW w:w="631" w:type="pct"/>
            <w:tcBorders>
              <w:top w:val="nil"/>
              <w:left w:val="nil"/>
              <w:bottom w:val="nil"/>
              <w:right w:val="nil"/>
            </w:tcBorders>
            <w:tcMar>
              <w:top w:w="0" w:type="dxa"/>
              <w:left w:w="0" w:type="dxa"/>
              <w:bottom w:w="0" w:type="dxa"/>
              <w:right w:w="0" w:type="dxa"/>
            </w:tcMar>
            <w:vAlign w:val="center"/>
          </w:tcPr>
          <w:p w14:paraId="2392AB07" w14:textId="1D2C573B" w:rsidR="007C483D" w:rsidRPr="008C147B" w:rsidRDefault="007C483D" w:rsidP="007C483D">
            <w:pPr>
              <w:pStyle w:val="NormalWeb"/>
              <w:spacing w:before="0" w:beforeAutospacing="0" w:after="0"/>
              <w:jc w:val="right"/>
              <w:rPr>
                <w:rFonts w:ascii="Arial" w:hAnsi="Arial" w:cs="Arial"/>
                <w:i/>
                <w:sz w:val="16"/>
                <w:szCs w:val="16"/>
              </w:rPr>
            </w:pPr>
            <w:r>
              <w:rPr>
                <w:rFonts w:ascii="Arial" w:hAnsi="Arial" w:cs="Arial"/>
                <w:sz w:val="16"/>
                <w:szCs w:val="16"/>
              </w:rPr>
              <w:t>21</w:t>
            </w:r>
          </w:p>
        </w:tc>
      </w:tr>
      <w:tr w:rsidR="007C483D" w:rsidRPr="008C147B" w14:paraId="75533767" w14:textId="77777777" w:rsidTr="007C483D">
        <w:trPr>
          <w:trHeight w:val="397"/>
          <w:tblCellSpacing w:w="0" w:type="dxa"/>
        </w:trPr>
        <w:tc>
          <w:tcPr>
            <w:tcW w:w="1159" w:type="pct"/>
            <w:tcBorders>
              <w:top w:val="nil"/>
              <w:left w:val="nil"/>
              <w:bottom w:val="nil"/>
              <w:right w:val="nil"/>
            </w:tcBorders>
            <w:tcMar>
              <w:top w:w="0" w:type="dxa"/>
              <w:left w:w="0" w:type="dxa"/>
              <w:bottom w:w="0" w:type="dxa"/>
              <w:right w:w="0" w:type="dxa"/>
            </w:tcMar>
            <w:vAlign w:val="center"/>
            <w:hideMark/>
          </w:tcPr>
          <w:p w14:paraId="48E766F7" w14:textId="5408B2CD" w:rsidR="007C483D" w:rsidRPr="008C147B" w:rsidRDefault="007C483D" w:rsidP="007C483D">
            <w:pPr>
              <w:pStyle w:val="NormalWeb"/>
              <w:spacing w:before="0" w:beforeAutospacing="0" w:after="0"/>
              <w:rPr>
                <w:rFonts w:ascii="Arial" w:hAnsi="Arial" w:cs="Arial"/>
                <w:i/>
                <w:sz w:val="16"/>
                <w:szCs w:val="16"/>
              </w:rPr>
            </w:pPr>
            <w:r>
              <w:rPr>
                <w:rFonts w:ascii="Arial" w:hAnsi="Arial" w:cs="Arial"/>
                <w:i/>
                <w:sz w:val="16"/>
                <w:szCs w:val="16"/>
              </w:rPr>
              <w:t xml:space="preserve">    </w:t>
            </w:r>
            <w:r w:rsidRPr="00813F9E">
              <w:rPr>
                <w:rFonts w:ascii="Arial" w:hAnsi="Arial" w:cs="Arial"/>
                <w:i/>
                <w:sz w:val="16"/>
                <w:szCs w:val="16"/>
              </w:rPr>
              <w:t>Commissioning cycles</w:t>
            </w:r>
            <w:r w:rsidRPr="00BA46AF">
              <w:rPr>
                <w:rFonts w:ascii="Arial" w:hAnsi="Arial" w:cs="Arial"/>
                <w:i/>
                <w:sz w:val="16"/>
                <w:szCs w:val="16"/>
                <w:vertAlign w:val="superscript"/>
              </w:rPr>
              <w:t>(a)</w:t>
            </w:r>
          </w:p>
        </w:tc>
        <w:tc>
          <w:tcPr>
            <w:tcW w:w="640" w:type="pct"/>
            <w:tcBorders>
              <w:top w:val="nil"/>
              <w:left w:val="nil"/>
              <w:bottom w:val="nil"/>
              <w:right w:val="nil"/>
            </w:tcBorders>
            <w:tcMar>
              <w:top w:w="0" w:type="dxa"/>
              <w:left w:w="0" w:type="dxa"/>
              <w:bottom w:w="0" w:type="dxa"/>
              <w:right w:w="0" w:type="dxa"/>
            </w:tcMar>
            <w:vAlign w:val="center"/>
          </w:tcPr>
          <w:p w14:paraId="7065F24F" w14:textId="46523E21" w:rsidR="007C483D" w:rsidRPr="008C147B" w:rsidRDefault="007C483D" w:rsidP="007C483D">
            <w:pPr>
              <w:pStyle w:val="NormalWeb"/>
              <w:spacing w:before="0" w:beforeAutospacing="0" w:after="0"/>
              <w:jc w:val="right"/>
              <w:rPr>
                <w:rFonts w:ascii="Arial" w:hAnsi="Arial" w:cs="Arial"/>
                <w:i/>
                <w:sz w:val="16"/>
                <w:szCs w:val="16"/>
              </w:rPr>
            </w:pPr>
            <w:r>
              <w:rPr>
                <w:rFonts w:ascii="Arial" w:hAnsi="Arial" w:cs="Arial"/>
                <w:i/>
                <w:iCs/>
                <w:color w:val="000000"/>
                <w:sz w:val="16"/>
                <w:szCs w:val="16"/>
              </w:rPr>
              <w:t>37</w:t>
            </w:r>
          </w:p>
        </w:tc>
        <w:tc>
          <w:tcPr>
            <w:tcW w:w="640" w:type="pct"/>
            <w:tcBorders>
              <w:top w:val="nil"/>
              <w:left w:val="nil"/>
              <w:bottom w:val="nil"/>
              <w:right w:val="nil"/>
            </w:tcBorders>
            <w:tcMar>
              <w:top w:w="0" w:type="dxa"/>
              <w:left w:w="0" w:type="dxa"/>
              <w:bottom w:w="0" w:type="dxa"/>
              <w:right w:w="0" w:type="dxa"/>
            </w:tcMar>
            <w:vAlign w:val="center"/>
          </w:tcPr>
          <w:p w14:paraId="120DC613" w14:textId="46D01029" w:rsidR="007C483D" w:rsidRPr="008C147B" w:rsidRDefault="007C483D" w:rsidP="007C483D">
            <w:pPr>
              <w:pStyle w:val="NormalWeb"/>
              <w:spacing w:before="0" w:beforeAutospacing="0" w:after="0"/>
              <w:jc w:val="right"/>
              <w:rPr>
                <w:rFonts w:ascii="Arial" w:hAnsi="Arial" w:cs="Arial"/>
                <w:i/>
                <w:sz w:val="16"/>
                <w:szCs w:val="16"/>
              </w:rPr>
            </w:pPr>
            <w:r>
              <w:rPr>
                <w:rFonts w:ascii="Arial" w:hAnsi="Arial" w:cs="Arial"/>
                <w:i/>
                <w:iCs/>
                <w:sz w:val="16"/>
                <w:szCs w:val="16"/>
              </w:rPr>
              <w:t>0.4</w:t>
            </w:r>
          </w:p>
        </w:tc>
        <w:tc>
          <w:tcPr>
            <w:tcW w:w="646" w:type="pct"/>
            <w:tcBorders>
              <w:top w:val="nil"/>
              <w:left w:val="nil"/>
              <w:bottom w:val="nil"/>
              <w:right w:val="nil"/>
            </w:tcBorders>
            <w:tcMar>
              <w:top w:w="0" w:type="dxa"/>
              <w:left w:w="0" w:type="dxa"/>
              <w:bottom w:w="0" w:type="dxa"/>
              <w:right w:w="0" w:type="dxa"/>
            </w:tcMar>
            <w:vAlign w:val="center"/>
          </w:tcPr>
          <w:p w14:paraId="357486AB" w14:textId="1CBDF9AC" w:rsidR="007C483D" w:rsidRPr="008C147B" w:rsidRDefault="007C483D" w:rsidP="007C483D">
            <w:pPr>
              <w:pStyle w:val="NormalWeb"/>
              <w:spacing w:before="0" w:beforeAutospacing="0" w:after="0"/>
              <w:jc w:val="right"/>
              <w:rPr>
                <w:rFonts w:ascii="Arial" w:hAnsi="Arial" w:cs="Arial"/>
                <w:i/>
                <w:sz w:val="16"/>
                <w:szCs w:val="16"/>
              </w:rPr>
            </w:pPr>
            <w:r>
              <w:rPr>
                <w:rFonts w:ascii="Arial" w:hAnsi="Arial" w:cs="Arial"/>
                <w:i/>
                <w:iCs/>
                <w:color w:val="000000"/>
                <w:sz w:val="16"/>
                <w:szCs w:val="16"/>
              </w:rPr>
              <w:t>..</w:t>
            </w:r>
          </w:p>
        </w:tc>
        <w:tc>
          <w:tcPr>
            <w:tcW w:w="644" w:type="pct"/>
            <w:tcBorders>
              <w:top w:val="nil"/>
              <w:left w:val="nil"/>
              <w:bottom w:val="nil"/>
              <w:right w:val="nil"/>
            </w:tcBorders>
            <w:tcMar>
              <w:top w:w="0" w:type="dxa"/>
              <w:left w:w="0" w:type="dxa"/>
              <w:bottom w:w="0" w:type="dxa"/>
              <w:right w:w="0" w:type="dxa"/>
            </w:tcMar>
            <w:vAlign w:val="center"/>
          </w:tcPr>
          <w:p w14:paraId="525F17B3" w14:textId="3F1FFF85" w:rsidR="007C483D" w:rsidRPr="008C147B" w:rsidRDefault="007C483D" w:rsidP="007C483D">
            <w:pPr>
              <w:pStyle w:val="NormalWeb"/>
              <w:spacing w:before="0" w:beforeAutospacing="0" w:after="0"/>
              <w:jc w:val="right"/>
              <w:rPr>
                <w:rFonts w:ascii="Arial" w:hAnsi="Arial" w:cs="Arial"/>
                <w:i/>
                <w:sz w:val="16"/>
                <w:szCs w:val="16"/>
              </w:rPr>
            </w:pPr>
            <w:r>
              <w:rPr>
                <w:rFonts w:ascii="Arial" w:hAnsi="Arial" w:cs="Arial"/>
                <w:i/>
                <w:iCs/>
                <w:color w:val="000000"/>
                <w:sz w:val="16"/>
                <w:szCs w:val="16"/>
              </w:rPr>
              <w:t>..</w:t>
            </w:r>
          </w:p>
        </w:tc>
        <w:tc>
          <w:tcPr>
            <w:tcW w:w="640" w:type="pct"/>
            <w:tcBorders>
              <w:top w:val="nil"/>
              <w:left w:val="nil"/>
              <w:bottom w:val="nil"/>
              <w:right w:val="nil"/>
            </w:tcBorders>
            <w:tcMar>
              <w:top w:w="0" w:type="dxa"/>
              <w:left w:w="0" w:type="dxa"/>
              <w:bottom w:w="0" w:type="dxa"/>
              <w:right w:w="0" w:type="dxa"/>
            </w:tcMar>
            <w:vAlign w:val="center"/>
          </w:tcPr>
          <w:p w14:paraId="251D161B" w14:textId="499A6875" w:rsidR="007C483D" w:rsidRPr="008C147B" w:rsidRDefault="007C483D" w:rsidP="007C483D">
            <w:pPr>
              <w:pStyle w:val="NormalWeb"/>
              <w:spacing w:before="0" w:beforeAutospacing="0" w:after="0"/>
              <w:jc w:val="right"/>
              <w:rPr>
                <w:rFonts w:ascii="Arial" w:hAnsi="Arial" w:cs="Arial"/>
                <w:i/>
                <w:sz w:val="16"/>
                <w:szCs w:val="16"/>
              </w:rPr>
            </w:pPr>
            <w:r>
              <w:rPr>
                <w:rFonts w:ascii="Arial" w:hAnsi="Arial" w:cs="Arial"/>
                <w:i/>
                <w:iCs/>
                <w:color w:val="000000"/>
                <w:sz w:val="16"/>
                <w:szCs w:val="16"/>
              </w:rPr>
              <w:t>..</w:t>
            </w:r>
          </w:p>
        </w:tc>
        <w:tc>
          <w:tcPr>
            <w:tcW w:w="631" w:type="pct"/>
            <w:tcBorders>
              <w:top w:val="nil"/>
              <w:left w:val="nil"/>
              <w:bottom w:val="nil"/>
              <w:right w:val="nil"/>
            </w:tcBorders>
            <w:tcMar>
              <w:top w:w="0" w:type="dxa"/>
              <w:left w:w="0" w:type="dxa"/>
              <w:bottom w:w="0" w:type="dxa"/>
              <w:right w:w="0" w:type="dxa"/>
            </w:tcMar>
            <w:vAlign w:val="center"/>
          </w:tcPr>
          <w:p w14:paraId="67E5C8BF" w14:textId="43A633DC" w:rsidR="007C483D" w:rsidRPr="008C147B" w:rsidRDefault="007C483D" w:rsidP="007C483D">
            <w:pPr>
              <w:pStyle w:val="NormalWeb"/>
              <w:spacing w:before="0" w:beforeAutospacing="0" w:after="0"/>
              <w:jc w:val="right"/>
              <w:rPr>
                <w:rFonts w:ascii="Arial" w:hAnsi="Arial" w:cs="Arial"/>
                <w:i/>
                <w:sz w:val="16"/>
                <w:szCs w:val="16"/>
              </w:rPr>
            </w:pPr>
            <w:r>
              <w:rPr>
                <w:rFonts w:ascii="Arial" w:hAnsi="Arial" w:cs="Arial"/>
                <w:i/>
                <w:iCs/>
                <w:color w:val="000000"/>
                <w:sz w:val="16"/>
                <w:szCs w:val="16"/>
              </w:rPr>
              <w:t>..</w:t>
            </w:r>
          </w:p>
        </w:tc>
      </w:tr>
      <w:tr w:rsidR="007C483D" w:rsidRPr="008C147B" w14:paraId="13651E93" w14:textId="77777777" w:rsidTr="007C483D">
        <w:trPr>
          <w:trHeight w:val="340"/>
          <w:tblCellSpacing w:w="0" w:type="dxa"/>
        </w:trPr>
        <w:tc>
          <w:tcPr>
            <w:tcW w:w="1159" w:type="pct"/>
            <w:tcBorders>
              <w:top w:val="nil"/>
              <w:left w:val="nil"/>
              <w:bottom w:val="nil"/>
              <w:right w:val="nil"/>
            </w:tcBorders>
            <w:tcMar>
              <w:top w:w="0" w:type="dxa"/>
              <w:left w:w="0" w:type="dxa"/>
              <w:bottom w:w="28" w:type="dxa"/>
              <w:right w:w="0" w:type="dxa"/>
            </w:tcMar>
            <w:hideMark/>
          </w:tcPr>
          <w:p w14:paraId="14815977" w14:textId="14561177" w:rsidR="007C483D" w:rsidRPr="008C147B" w:rsidRDefault="007C483D" w:rsidP="007C483D">
            <w:pPr>
              <w:pStyle w:val="NormalWeb"/>
              <w:spacing w:before="0" w:beforeAutospacing="0" w:after="0"/>
              <w:rPr>
                <w:rFonts w:ascii="Arial" w:hAnsi="Arial" w:cs="Arial"/>
                <w:b/>
                <w:i/>
                <w:sz w:val="16"/>
                <w:szCs w:val="16"/>
              </w:rPr>
            </w:pPr>
            <w:r>
              <w:rPr>
                <w:rFonts w:ascii="Arial" w:hAnsi="Arial" w:cs="Arial"/>
                <w:i/>
                <w:sz w:val="16"/>
                <w:szCs w:val="16"/>
              </w:rPr>
              <w:t xml:space="preserve">    </w:t>
            </w:r>
            <w:r w:rsidRPr="00813F9E">
              <w:rPr>
                <w:rFonts w:ascii="Arial" w:hAnsi="Arial" w:cs="Arial"/>
                <w:i/>
                <w:sz w:val="16"/>
                <w:szCs w:val="16"/>
              </w:rPr>
              <w:t>Gestational carrier cycles</w:t>
            </w:r>
            <w:r w:rsidRPr="00BA46AF">
              <w:rPr>
                <w:rFonts w:ascii="Arial" w:hAnsi="Arial" w:cs="Arial"/>
                <w:i/>
                <w:sz w:val="16"/>
                <w:szCs w:val="16"/>
                <w:vertAlign w:val="superscript"/>
              </w:rPr>
              <w:t>(</w:t>
            </w:r>
            <w:r>
              <w:rPr>
                <w:rFonts w:ascii="Arial" w:hAnsi="Arial" w:cs="Arial"/>
                <w:i/>
                <w:sz w:val="16"/>
                <w:szCs w:val="16"/>
                <w:vertAlign w:val="superscript"/>
              </w:rPr>
              <w:t>b</w:t>
            </w:r>
            <w:r w:rsidRPr="00BA46AF">
              <w:rPr>
                <w:rFonts w:ascii="Arial" w:hAnsi="Arial" w:cs="Arial"/>
                <w:i/>
                <w:sz w:val="16"/>
                <w:szCs w:val="16"/>
                <w:vertAlign w:val="superscript"/>
              </w:rPr>
              <w:t>)</w:t>
            </w:r>
          </w:p>
        </w:tc>
        <w:tc>
          <w:tcPr>
            <w:tcW w:w="640" w:type="pct"/>
            <w:tcBorders>
              <w:top w:val="nil"/>
              <w:left w:val="nil"/>
              <w:bottom w:val="nil"/>
              <w:right w:val="nil"/>
            </w:tcBorders>
            <w:tcMar>
              <w:top w:w="0" w:type="dxa"/>
              <w:left w:w="0" w:type="dxa"/>
              <w:bottom w:w="28" w:type="dxa"/>
              <w:right w:w="0" w:type="dxa"/>
            </w:tcMar>
            <w:vAlign w:val="center"/>
          </w:tcPr>
          <w:p w14:paraId="4151E533" w14:textId="6699C35B" w:rsidR="007C483D" w:rsidRPr="008C147B" w:rsidRDefault="007C483D" w:rsidP="007C483D">
            <w:pPr>
              <w:pStyle w:val="NormalWeb"/>
              <w:spacing w:before="0" w:beforeAutospacing="0" w:after="0"/>
              <w:jc w:val="right"/>
              <w:rPr>
                <w:rFonts w:ascii="Arial" w:hAnsi="Arial" w:cs="Arial"/>
                <w:b/>
                <w:i/>
                <w:sz w:val="16"/>
                <w:szCs w:val="16"/>
              </w:rPr>
            </w:pPr>
            <w:r>
              <w:rPr>
                <w:rFonts w:ascii="Arial" w:hAnsi="Arial" w:cs="Arial"/>
                <w:i/>
                <w:iCs/>
                <w:color w:val="000000"/>
                <w:sz w:val="16"/>
                <w:szCs w:val="16"/>
              </w:rPr>
              <w:t>42</w:t>
            </w:r>
          </w:p>
        </w:tc>
        <w:tc>
          <w:tcPr>
            <w:tcW w:w="640" w:type="pct"/>
            <w:tcBorders>
              <w:top w:val="nil"/>
              <w:left w:val="nil"/>
              <w:bottom w:val="nil"/>
              <w:right w:val="nil"/>
            </w:tcBorders>
            <w:tcMar>
              <w:top w:w="0" w:type="dxa"/>
              <w:left w:w="0" w:type="dxa"/>
              <w:bottom w:w="28" w:type="dxa"/>
              <w:right w:w="0" w:type="dxa"/>
            </w:tcMar>
            <w:vAlign w:val="center"/>
          </w:tcPr>
          <w:p w14:paraId="7DD2AD7D" w14:textId="7756DD24" w:rsidR="007C483D" w:rsidRPr="008C147B" w:rsidRDefault="007C483D" w:rsidP="007C483D">
            <w:pPr>
              <w:pStyle w:val="NormalWeb"/>
              <w:spacing w:before="0" w:beforeAutospacing="0" w:after="0"/>
              <w:jc w:val="right"/>
              <w:rPr>
                <w:rFonts w:ascii="Arial" w:hAnsi="Arial" w:cs="Arial"/>
                <w:b/>
                <w:i/>
                <w:sz w:val="16"/>
                <w:szCs w:val="16"/>
              </w:rPr>
            </w:pPr>
            <w:r>
              <w:rPr>
                <w:rFonts w:ascii="Arial" w:hAnsi="Arial" w:cs="Arial"/>
                <w:i/>
                <w:iCs/>
                <w:sz w:val="16"/>
                <w:szCs w:val="16"/>
              </w:rPr>
              <w:t>0.5</w:t>
            </w:r>
          </w:p>
        </w:tc>
        <w:tc>
          <w:tcPr>
            <w:tcW w:w="646" w:type="pct"/>
            <w:tcBorders>
              <w:top w:val="nil"/>
              <w:left w:val="nil"/>
              <w:bottom w:val="nil"/>
              <w:right w:val="nil"/>
            </w:tcBorders>
            <w:tcMar>
              <w:top w:w="0" w:type="dxa"/>
              <w:left w:w="0" w:type="dxa"/>
              <w:bottom w:w="28" w:type="dxa"/>
              <w:right w:w="0" w:type="dxa"/>
            </w:tcMar>
            <w:vAlign w:val="center"/>
          </w:tcPr>
          <w:p w14:paraId="16569E0E" w14:textId="33C84CDF" w:rsidR="007C483D" w:rsidRPr="008C147B" w:rsidRDefault="007C483D" w:rsidP="007C483D">
            <w:pPr>
              <w:pStyle w:val="NormalWeb"/>
              <w:spacing w:before="0" w:beforeAutospacing="0" w:after="0"/>
              <w:jc w:val="right"/>
              <w:rPr>
                <w:rFonts w:ascii="Arial" w:hAnsi="Arial" w:cs="Arial"/>
                <w:b/>
                <w:i/>
                <w:sz w:val="16"/>
                <w:szCs w:val="16"/>
              </w:rPr>
            </w:pPr>
            <w:r>
              <w:rPr>
                <w:rFonts w:ascii="Arial" w:hAnsi="Arial" w:cs="Arial"/>
                <w:i/>
                <w:iCs/>
                <w:color w:val="000000"/>
                <w:sz w:val="16"/>
                <w:szCs w:val="16"/>
              </w:rPr>
              <w:t>23</w:t>
            </w:r>
          </w:p>
        </w:tc>
        <w:tc>
          <w:tcPr>
            <w:tcW w:w="644" w:type="pct"/>
            <w:tcBorders>
              <w:top w:val="nil"/>
              <w:left w:val="nil"/>
              <w:bottom w:val="nil"/>
              <w:right w:val="nil"/>
            </w:tcBorders>
            <w:tcMar>
              <w:top w:w="0" w:type="dxa"/>
              <w:left w:w="0" w:type="dxa"/>
              <w:bottom w:w="28" w:type="dxa"/>
              <w:right w:w="0" w:type="dxa"/>
            </w:tcMar>
            <w:vAlign w:val="center"/>
          </w:tcPr>
          <w:p w14:paraId="13FA4C7D" w14:textId="15823C39" w:rsidR="007C483D" w:rsidRPr="008C147B" w:rsidRDefault="007C483D" w:rsidP="007C483D">
            <w:pPr>
              <w:pStyle w:val="NormalWeb"/>
              <w:spacing w:before="0" w:beforeAutospacing="0" w:after="0"/>
              <w:jc w:val="right"/>
              <w:rPr>
                <w:rFonts w:ascii="Arial" w:hAnsi="Arial" w:cs="Arial"/>
                <w:b/>
                <w:i/>
                <w:sz w:val="16"/>
                <w:szCs w:val="16"/>
              </w:rPr>
            </w:pPr>
            <w:r>
              <w:rPr>
                <w:rFonts w:ascii="Arial" w:hAnsi="Arial" w:cs="Arial"/>
                <w:i/>
                <w:iCs/>
                <w:color w:val="000000"/>
                <w:sz w:val="16"/>
                <w:szCs w:val="16"/>
              </w:rPr>
              <w:t>21</w:t>
            </w:r>
          </w:p>
        </w:tc>
        <w:tc>
          <w:tcPr>
            <w:tcW w:w="640" w:type="pct"/>
            <w:tcBorders>
              <w:top w:val="nil"/>
              <w:left w:val="nil"/>
              <w:bottom w:val="nil"/>
              <w:right w:val="nil"/>
            </w:tcBorders>
            <w:tcMar>
              <w:top w:w="0" w:type="dxa"/>
              <w:left w:w="0" w:type="dxa"/>
              <w:bottom w:w="28" w:type="dxa"/>
              <w:right w:w="0" w:type="dxa"/>
            </w:tcMar>
            <w:vAlign w:val="center"/>
          </w:tcPr>
          <w:p w14:paraId="0455233E" w14:textId="692480DF" w:rsidR="007C483D" w:rsidRPr="008C147B" w:rsidRDefault="007C483D" w:rsidP="007C483D">
            <w:pPr>
              <w:pStyle w:val="NormalWeb"/>
              <w:spacing w:before="0" w:beforeAutospacing="0" w:after="0"/>
              <w:jc w:val="right"/>
              <w:rPr>
                <w:rFonts w:ascii="Arial" w:hAnsi="Arial" w:cs="Arial"/>
                <w:b/>
                <w:i/>
                <w:sz w:val="16"/>
                <w:szCs w:val="16"/>
              </w:rPr>
            </w:pPr>
            <w:r>
              <w:rPr>
                <w:rFonts w:ascii="Arial" w:hAnsi="Arial" w:cs="Arial"/>
                <w:i/>
                <w:iCs/>
                <w:color w:val="000000"/>
                <w:sz w:val="16"/>
                <w:szCs w:val="16"/>
              </w:rPr>
              <w:t>21</w:t>
            </w:r>
          </w:p>
        </w:tc>
        <w:tc>
          <w:tcPr>
            <w:tcW w:w="631" w:type="pct"/>
            <w:tcBorders>
              <w:top w:val="nil"/>
              <w:left w:val="nil"/>
              <w:bottom w:val="nil"/>
              <w:right w:val="nil"/>
            </w:tcBorders>
            <w:tcMar>
              <w:top w:w="0" w:type="dxa"/>
              <w:left w:w="0" w:type="dxa"/>
              <w:bottom w:w="28" w:type="dxa"/>
              <w:right w:w="0" w:type="dxa"/>
            </w:tcMar>
            <w:vAlign w:val="center"/>
          </w:tcPr>
          <w:p w14:paraId="5135AE1B" w14:textId="5A3C855B" w:rsidR="007C483D" w:rsidRPr="008C147B" w:rsidRDefault="007C483D" w:rsidP="007C483D">
            <w:pPr>
              <w:pStyle w:val="NormalWeb"/>
              <w:spacing w:before="0" w:beforeAutospacing="0" w:after="0"/>
              <w:jc w:val="right"/>
              <w:rPr>
                <w:rFonts w:ascii="Arial" w:hAnsi="Arial" w:cs="Arial"/>
                <w:b/>
                <w:i/>
                <w:sz w:val="16"/>
                <w:szCs w:val="16"/>
              </w:rPr>
            </w:pPr>
            <w:r>
              <w:rPr>
                <w:rFonts w:ascii="Arial" w:hAnsi="Arial" w:cs="Arial"/>
                <w:i/>
                <w:iCs/>
                <w:color w:val="000000"/>
                <w:sz w:val="16"/>
                <w:szCs w:val="16"/>
              </w:rPr>
              <w:t>21</w:t>
            </w:r>
          </w:p>
        </w:tc>
      </w:tr>
      <w:tr w:rsidR="007C483D" w:rsidRPr="008C147B" w14:paraId="77747637" w14:textId="77777777" w:rsidTr="007C483D">
        <w:trPr>
          <w:trHeight w:val="340"/>
          <w:tblCellSpacing w:w="0" w:type="dxa"/>
        </w:trPr>
        <w:tc>
          <w:tcPr>
            <w:tcW w:w="1159" w:type="pct"/>
            <w:tcBorders>
              <w:top w:val="nil"/>
              <w:left w:val="nil"/>
              <w:bottom w:val="single" w:sz="12" w:space="0" w:color="000000"/>
              <w:right w:val="nil"/>
            </w:tcBorders>
            <w:tcMar>
              <w:top w:w="0" w:type="dxa"/>
              <w:left w:w="0" w:type="dxa"/>
              <w:bottom w:w="28" w:type="dxa"/>
              <w:right w:w="0" w:type="dxa"/>
            </w:tcMar>
            <w:vAlign w:val="center"/>
          </w:tcPr>
          <w:p w14:paraId="0A29E9EF" w14:textId="49D32277" w:rsidR="007C483D" w:rsidRPr="001305CE" w:rsidRDefault="007C483D" w:rsidP="007C483D">
            <w:pPr>
              <w:pStyle w:val="NormalWeb"/>
              <w:spacing w:before="0" w:beforeAutospacing="0" w:after="0"/>
              <w:rPr>
                <w:rFonts w:ascii="Arial" w:hAnsi="Arial" w:cs="Arial"/>
                <w:b/>
                <w:bCs/>
                <w:sz w:val="16"/>
                <w:szCs w:val="16"/>
              </w:rPr>
            </w:pPr>
            <w:r w:rsidRPr="00952173">
              <w:rPr>
                <w:rFonts w:ascii="Arial" w:hAnsi="Arial" w:cs="Arial"/>
                <w:b/>
                <w:bCs/>
                <w:sz w:val="16"/>
                <w:szCs w:val="16"/>
              </w:rPr>
              <w:t>Total</w:t>
            </w:r>
          </w:p>
        </w:tc>
        <w:tc>
          <w:tcPr>
            <w:tcW w:w="640" w:type="pct"/>
            <w:tcBorders>
              <w:top w:val="nil"/>
              <w:left w:val="nil"/>
              <w:bottom w:val="single" w:sz="12" w:space="0" w:color="000000"/>
              <w:right w:val="nil"/>
            </w:tcBorders>
            <w:tcMar>
              <w:top w:w="0" w:type="dxa"/>
              <w:left w:w="0" w:type="dxa"/>
              <w:bottom w:w="28" w:type="dxa"/>
              <w:right w:w="0" w:type="dxa"/>
            </w:tcMar>
            <w:vAlign w:val="center"/>
          </w:tcPr>
          <w:p w14:paraId="05002BDA" w14:textId="60944F2F" w:rsidR="007C483D" w:rsidRPr="001305CE" w:rsidRDefault="007C483D" w:rsidP="007C483D">
            <w:pPr>
              <w:pStyle w:val="NormalWeb"/>
              <w:spacing w:before="0" w:beforeAutospacing="0" w:after="0"/>
              <w:jc w:val="right"/>
              <w:rPr>
                <w:rFonts w:ascii="Arial" w:hAnsi="Arial" w:cs="Arial"/>
                <w:b/>
                <w:bCs/>
                <w:sz w:val="16"/>
                <w:szCs w:val="16"/>
              </w:rPr>
            </w:pPr>
            <w:r>
              <w:rPr>
                <w:rFonts w:ascii="Arial" w:hAnsi="Arial" w:cs="Arial"/>
                <w:b/>
                <w:bCs/>
                <w:sz w:val="16"/>
                <w:szCs w:val="16"/>
              </w:rPr>
              <w:t>8,861</w:t>
            </w:r>
          </w:p>
        </w:tc>
        <w:tc>
          <w:tcPr>
            <w:tcW w:w="640" w:type="pct"/>
            <w:tcBorders>
              <w:top w:val="nil"/>
              <w:left w:val="nil"/>
              <w:bottom w:val="single" w:sz="12" w:space="0" w:color="000000"/>
              <w:right w:val="nil"/>
            </w:tcBorders>
            <w:tcMar>
              <w:top w:w="0" w:type="dxa"/>
              <w:left w:w="0" w:type="dxa"/>
              <w:bottom w:w="28" w:type="dxa"/>
              <w:right w:w="0" w:type="dxa"/>
            </w:tcMar>
            <w:vAlign w:val="center"/>
          </w:tcPr>
          <w:p w14:paraId="729EFC3F" w14:textId="2B2BC4FB" w:rsidR="007C483D" w:rsidRPr="001305CE" w:rsidRDefault="007C483D" w:rsidP="007C483D">
            <w:pPr>
              <w:pStyle w:val="NormalWeb"/>
              <w:spacing w:before="0" w:beforeAutospacing="0" w:after="0"/>
              <w:jc w:val="right"/>
              <w:rPr>
                <w:rFonts w:ascii="Arial" w:hAnsi="Arial" w:cs="Arial"/>
                <w:b/>
                <w:bCs/>
                <w:sz w:val="16"/>
                <w:szCs w:val="16"/>
              </w:rPr>
            </w:pPr>
            <w:r>
              <w:rPr>
                <w:rFonts w:ascii="Arial" w:hAnsi="Arial" w:cs="Arial"/>
                <w:b/>
                <w:bCs/>
                <w:sz w:val="16"/>
                <w:szCs w:val="16"/>
              </w:rPr>
              <w:t>100.0</w:t>
            </w:r>
          </w:p>
        </w:tc>
        <w:tc>
          <w:tcPr>
            <w:tcW w:w="646" w:type="pct"/>
            <w:tcBorders>
              <w:top w:val="nil"/>
              <w:left w:val="nil"/>
              <w:bottom w:val="single" w:sz="12" w:space="0" w:color="000000"/>
              <w:right w:val="nil"/>
            </w:tcBorders>
            <w:tcMar>
              <w:top w:w="0" w:type="dxa"/>
              <w:left w:w="0" w:type="dxa"/>
              <w:bottom w:w="28" w:type="dxa"/>
              <w:right w:w="0" w:type="dxa"/>
            </w:tcMar>
            <w:vAlign w:val="center"/>
          </w:tcPr>
          <w:p w14:paraId="583FE39D" w14:textId="276145E8" w:rsidR="007C483D" w:rsidRPr="001305CE" w:rsidRDefault="007C483D" w:rsidP="007C483D">
            <w:pPr>
              <w:pStyle w:val="NormalWeb"/>
              <w:spacing w:before="0" w:beforeAutospacing="0" w:after="0"/>
              <w:jc w:val="right"/>
              <w:rPr>
                <w:rFonts w:ascii="Arial" w:hAnsi="Arial" w:cs="Arial"/>
                <w:b/>
                <w:bCs/>
                <w:sz w:val="16"/>
                <w:szCs w:val="16"/>
              </w:rPr>
            </w:pPr>
            <w:r>
              <w:rPr>
                <w:rFonts w:ascii="Arial" w:hAnsi="Arial" w:cs="Arial"/>
                <w:b/>
                <w:bCs/>
                <w:sz w:val="16"/>
                <w:szCs w:val="16"/>
              </w:rPr>
              <w:t>2,553</w:t>
            </w:r>
          </w:p>
        </w:tc>
        <w:tc>
          <w:tcPr>
            <w:tcW w:w="644" w:type="pct"/>
            <w:tcBorders>
              <w:top w:val="nil"/>
              <w:left w:val="nil"/>
              <w:bottom w:val="single" w:sz="12" w:space="0" w:color="000000"/>
              <w:right w:val="nil"/>
            </w:tcBorders>
            <w:tcMar>
              <w:top w:w="0" w:type="dxa"/>
              <w:left w:w="0" w:type="dxa"/>
              <w:bottom w:w="28" w:type="dxa"/>
              <w:right w:w="0" w:type="dxa"/>
            </w:tcMar>
            <w:vAlign w:val="center"/>
          </w:tcPr>
          <w:p w14:paraId="260BD913" w14:textId="400B8D80" w:rsidR="007C483D" w:rsidRPr="001305CE" w:rsidRDefault="007C483D" w:rsidP="007C483D">
            <w:pPr>
              <w:pStyle w:val="NormalWeb"/>
              <w:spacing w:before="0" w:beforeAutospacing="0" w:after="0"/>
              <w:jc w:val="right"/>
              <w:rPr>
                <w:rFonts w:ascii="Arial" w:hAnsi="Arial" w:cs="Arial"/>
                <w:b/>
                <w:bCs/>
                <w:sz w:val="16"/>
                <w:szCs w:val="16"/>
              </w:rPr>
            </w:pPr>
            <w:r>
              <w:rPr>
                <w:rFonts w:ascii="Arial" w:hAnsi="Arial" w:cs="Arial"/>
                <w:b/>
                <w:bCs/>
                <w:sz w:val="16"/>
                <w:szCs w:val="16"/>
              </w:rPr>
              <w:t>2,021</w:t>
            </w:r>
          </w:p>
        </w:tc>
        <w:tc>
          <w:tcPr>
            <w:tcW w:w="640" w:type="pct"/>
            <w:tcBorders>
              <w:top w:val="nil"/>
              <w:left w:val="nil"/>
              <w:bottom w:val="single" w:sz="12" w:space="0" w:color="000000"/>
              <w:right w:val="nil"/>
            </w:tcBorders>
            <w:tcMar>
              <w:top w:w="0" w:type="dxa"/>
              <w:left w:w="0" w:type="dxa"/>
              <w:bottom w:w="28" w:type="dxa"/>
              <w:right w:w="0" w:type="dxa"/>
            </w:tcMar>
            <w:vAlign w:val="center"/>
          </w:tcPr>
          <w:p w14:paraId="2F937BFB" w14:textId="5E281C5F" w:rsidR="007C483D" w:rsidRPr="001305CE" w:rsidRDefault="007C483D" w:rsidP="007C483D">
            <w:pPr>
              <w:pStyle w:val="NormalWeb"/>
              <w:spacing w:before="0" w:beforeAutospacing="0" w:after="0"/>
              <w:jc w:val="right"/>
              <w:rPr>
                <w:rFonts w:ascii="Arial" w:hAnsi="Arial" w:cs="Arial"/>
                <w:b/>
                <w:bCs/>
                <w:sz w:val="16"/>
                <w:szCs w:val="16"/>
              </w:rPr>
            </w:pPr>
            <w:r>
              <w:rPr>
                <w:rFonts w:ascii="Arial" w:hAnsi="Arial" w:cs="Arial"/>
                <w:b/>
                <w:bCs/>
                <w:sz w:val="16"/>
                <w:szCs w:val="16"/>
              </w:rPr>
              <w:t>2,0</w:t>
            </w:r>
            <w:r w:rsidR="00BC631B">
              <w:rPr>
                <w:rFonts w:ascii="Arial" w:hAnsi="Arial" w:cs="Arial"/>
                <w:b/>
                <w:bCs/>
                <w:sz w:val="16"/>
                <w:szCs w:val="16"/>
              </w:rPr>
              <w:t>55</w:t>
            </w:r>
          </w:p>
        </w:tc>
        <w:tc>
          <w:tcPr>
            <w:tcW w:w="631" w:type="pct"/>
            <w:tcBorders>
              <w:top w:val="nil"/>
              <w:left w:val="nil"/>
              <w:bottom w:val="single" w:sz="12" w:space="0" w:color="000000"/>
              <w:right w:val="nil"/>
            </w:tcBorders>
            <w:tcMar>
              <w:top w:w="0" w:type="dxa"/>
              <w:left w:w="0" w:type="dxa"/>
              <w:bottom w:w="28" w:type="dxa"/>
              <w:right w:w="0" w:type="dxa"/>
            </w:tcMar>
            <w:vAlign w:val="center"/>
          </w:tcPr>
          <w:p w14:paraId="48080A00" w14:textId="4C57F96F" w:rsidR="007C483D" w:rsidRPr="001305CE" w:rsidRDefault="007C483D" w:rsidP="007C483D">
            <w:pPr>
              <w:pStyle w:val="NormalWeb"/>
              <w:spacing w:before="0" w:beforeAutospacing="0" w:after="0"/>
              <w:jc w:val="right"/>
              <w:rPr>
                <w:rFonts w:ascii="Arial" w:hAnsi="Arial" w:cs="Arial"/>
                <w:b/>
                <w:bCs/>
                <w:sz w:val="16"/>
                <w:szCs w:val="16"/>
              </w:rPr>
            </w:pPr>
            <w:r>
              <w:rPr>
                <w:rFonts w:ascii="Arial" w:hAnsi="Arial" w:cs="Arial"/>
                <w:b/>
                <w:bCs/>
                <w:sz w:val="16"/>
                <w:szCs w:val="16"/>
              </w:rPr>
              <w:t>1,756</w:t>
            </w:r>
          </w:p>
        </w:tc>
      </w:tr>
    </w:tbl>
    <w:p w14:paraId="29529BEF" w14:textId="388EE75A" w:rsidR="009303CD" w:rsidRPr="00617599" w:rsidRDefault="009303CD" w:rsidP="00FB40FC">
      <w:pPr>
        <w:pStyle w:val="TableSourcefootnotes"/>
        <w:tabs>
          <w:tab w:val="left" w:pos="284"/>
        </w:tabs>
        <w:spacing w:before="0" w:after="0" w:line="240" w:lineRule="auto"/>
        <w:ind w:left="284" w:hanging="284"/>
        <w:rPr>
          <w:rFonts w:cs="Arial"/>
        </w:rPr>
      </w:pPr>
      <w:r w:rsidRPr="00617599">
        <w:rPr>
          <w:rFonts w:cs="Arial"/>
        </w:rPr>
        <w:t>(a)</w:t>
      </w:r>
      <w:r w:rsidRPr="00617599">
        <w:rPr>
          <w:rFonts w:cs="Arial"/>
        </w:rPr>
        <w:tab/>
        <w:t>A variety of cycle types undertaken as part of surrogacy arrangements, e.g. cycles undertaken by intend</w:t>
      </w:r>
      <w:r w:rsidR="001267A1">
        <w:rPr>
          <w:rFonts w:cs="Arial"/>
        </w:rPr>
        <w:t>ing</w:t>
      </w:r>
      <w:r w:rsidRPr="00617599">
        <w:rPr>
          <w:rFonts w:cs="Arial"/>
        </w:rPr>
        <w:t xml:space="preserve"> parent</w:t>
      </w:r>
      <w:r w:rsidR="001267A1">
        <w:rPr>
          <w:rFonts w:cs="Arial"/>
        </w:rPr>
        <w:t>(</w:t>
      </w:r>
      <w:r w:rsidRPr="00617599">
        <w:rPr>
          <w:rFonts w:cs="Arial"/>
        </w:rPr>
        <w:t>s</w:t>
      </w:r>
      <w:r w:rsidR="001267A1">
        <w:rPr>
          <w:rFonts w:cs="Arial"/>
        </w:rPr>
        <w:t>)</w:t>
      </w:r>
      <w:r w:rsidRPr="00617599">
        <w:rPr>
          <w:rFonts w:cs="Arial"/>
        </w:rPr>
        <w:t xml:space="preserve"> </w:t>
      </w:r>
      <w:r w:rsidR="001267A1">
        <w:rPr>
          <w:rFonts w:cs="Arial"/>
        </w:rPr>
        <w:t>providi</w:t>
      </w:r>
      <w:r w:rsidRPr="00617599">
        <w:rPr>
          <w:rFonts w:cs="Arial"/>
        </w:rPr>
        <w:t xml:space="preserve">ng their oocytes or embryos for use by the </w:t>
      </w:r>
      <w:r w:rsidR="001267A1">
        <w:rPr>
          <w:rFonts w:cs="Arial"/>
        </w:rPr>
        <w:t xml:space="preserve">surrogate </w:t>
      </w:r>
      <w:r w:rsidRPr="00617599">
        <w:rPr>
          <w:rFonts w:cs="Arial"/>
        </w:rPr>
        <w:t xml:space="preserve">gestational carrier. </w:t>
      </w:r>
    </w:p>
    <w:p w14:paraId="6134F1F2" w14:textId="3218D355" w:rsidR="009303CD" w:rsidRDefault="009303CD" w:rsidP="00FB40FC">
      <w:pPr>
        <w:pStyle w:val="TableSourcefootnotes"/>
        <w:tabs>
          <w:tab w:val="left" w:pos="284"/>
        </w:tabs>
        <w:spacing w:before="0" w:after="0" w:line="240" w:lineRule="auto"/>
        <w:ind w:left="284" w:hanging="284"/>
        <w:rPr>
          <w:rFonts w:cs="Arial"/>
        </w:rPr>
      </w:pPr>
      <w:r w:rsidRPr="00617599">
        <w:rPr>
          <w:rFonts w:cs="Arial"/>
        </w:rPr>
        <w:t>(b)</w:t>
      </w:r>
      <w:r w:rsidRPr="00617599">
        <w:rPr>
          <w:rFonts w:cs="Arial"/>
        </w:rPr>
        <w:tab/>
        <w:t xml:space="preserve">A cycle undertaken by a </w:t>
      </w:r>
      <w:r w:rsidR="001267A1">
        <w:rPr>
          <w:rFonts w:cs="Arial"/>
        </w:rPr>
        <w:t xml:space="preserve">female patient </w:t>
      </w:r>
      <w:r w:rsidRPr="00617599">
        <w:rPr>
          <w:rFonts w:cs="Arial"/>
        </w:rPr>
        <w:t xml:space="preserve">who carries, or intends to carry, a </w:t>
      </w:r>
      <w:r w:rsidR="001267A1">
        <w:rPr>
          <w:rFonts w:cs="Arial"/>
        </w:rPr>
        <w:t>child</w:t>
      </w:r>
      <w:r w:rsidR="001267A1" w:rsidRPr="00617599">
        <w:rPr>
          <w:rFonts w:cs="Arial"/>
        </w:rPr>
        <w:t xml:space="preserve"> </w:t>
      </w:r>
      <w:r w:rsidRPr="00617599">
        <w:rPr>
          <w:rFonts w:cs="Arial"/>
        </w:rPr>
        <w:t>on behalf of the intend</w:t>
      </w:r>
      <w:r w:rsidR="001267A1">
        <w:rPr>
          <w:rFonts w:cs="Arial"/>
        </w:rPr>
        <w:t>ing</w:t>
      </w:r>
      <w:r w:rsidRPr="00617599">
        <w:rPr>
          <w:rFonts w:cs="Arial"/>
        </w:rPr>
        <w:t xml:space="preserve"> parent</w:t>
      </w:r>
      <w:r w:rsidR="001267A1">
        <w:rPr>
          <w:rFonts w:cs="Arial"/>
        </w:rPr>
        <w:t>(</w:t>
      </w:r>
      <w:r w:rsidRPr="00617599">
        <w:rPr>
          <w:rFonts w:cs="Arial"/>
        </w:rPr>
        <w:t>s</w:t>
      </w:r>
      <w:r w:rsidR="001267A1">
        <w:rPr>
          <w:rFonts w:cs="Arial"/>
        </w:rPr>
        <w:t>)</w:t>
      </w:r>
      <w:r w:rsidRPr="00617599">
        <w:rPr>
          <w:rFonts w:cs="Arial"/>
        </w:rPr>
        <w:t xml:space="preserve"> with an agreement that the child will be raised by the intend</w:t>
      </w:r>
      <w:r w:rsidR="001267A1">
        <w:rPr>
          <w:rFonts w:cs="Arial"/>
        </w:rPr>
        <w:t>ing</w:t>
      </w:r>
      <w:r w:rsidRPr="00617599">
        <w:rPr>
          <w:rFonts w:cs="Arial"/>
        </w:rPr>
        <w:t xml:space="preserve"> parent(s).</w:t>
      </w:r>
    </w:p>
    <w:p w14:paraId="287EC2E1" w14:textId="20623875" w:rsidR="00641FEC" w:rsidRPr="00655FE3" w:rsidRDefault="00641FEC" w:rsidP="00641FEC">
      <w:pPr>
        <w:pStyle w:val="TableSourcefootnotes"/>
        <w:tabs>
          <w:tab w:val="left" w:pos="284"/>
        </w:tabs>
        <w:spacing w:before="0" w:after="0" w:line="240" w:lineRule="auto"/>
        <w:rPr>
          <w:rFonts w:cs="Arial"/>
          <w:i/>
          <w:iCs/>
        </w:rPr>
      </w:pPr>
      <w:r w:rsidRPr="00655FE3">
        <w:rPr>
          <w:rFonts w:cs="Arial"/>
          <w:i/>
          <w:iCs/>
        </w:rPr>
        <w:t xml:space="preserve">Note: ‘not applicable’ is denoted by .. </w:t>
      </w:r>
    </w:p>
    <w:p w14:paraId="7DAB0CDA" w14:textId="77777777" w:rsidR="00641FEC" w:rsidRPr="00641FEC" w:rsidRDefault="00641FEC" w:rsidP="00655FE3">
      <w:pPr>
        <w:pStyle w:val="NPESUbodytext"/>
      </w:pPr>
    </w:p>
    <w:p w14:paraId="4EB0CACD" w14:textId="3D684A1D" w:rsidR="002F507F" w:rsidRDefault="002F507F" w:rsidP="002F507F">
      <w:pPr>
        <w:pStyle w:val="NPESUbodytext"/>
      </w:pPr>
    </w:p>
    <w:p w14:paraId="02E4113C" w14:textId="77777777" w:rsidR="002F507F" w:rsidRDefault="002F507F">
      <w:pPr>
        <w:spacing w:after="160" w:line="259" w:lineRule="auto"/>
        <w:rPr>
          <w:rFonts w:ascii="Arial" w:eastAsia="Times New Roman" w:hAnsi="Arial" w:cs="Arial"/>
          <w:b/>
          <w:bCs/>
          <w:sz w:val="28"/>
        </w:rPr>
      </w:pPr>
      <w:r>
        <w:rPr>
          <w:rFonts w:eastAsia="Times New Roman" w:cs="Arial"/>
        </w:rPr>
        <w:br w:type="page"/>
      </w:r>
    </w:p>
    <w:p w14:paraId="55473A34" w14:textId="00757CEC" w:rsidR="002F507F" w:rsidRDefault="00992BF1" w:rsidP="002F507F">
      <w:pPr>
        <w:pStyle w:val="Heading3"/>
      </w:pPr>
      <w:r>
        <w:rPr>
          <w:rFonts w:eastAsia="Times New Roman" w:cs="Arial"/>
        </w:rPr>
        <w:lastRenderedPageBreak/>
        <w:t>2.1 E</w:t>
      </w:r>
      <w:r w:rsidR="002F507F" w:rsidRPr="00511708">
        <w:rPr>
          <w:rFonts w:eastAsia="Times New Roman" w:cs="Arial"/>
        </w:rPr>
        <w:t>thnicity</w:t>
      </w:r>
    </w:p>
    <w:p w14:paraId="4ED025DB" w14:textId="1808A31F" w:rsidR="008555B5" w:rsidRDefault="00460753" w:rsidP="002F507F">
      <w:pPr>
        <w:pStyle w:val="NPESUbodytext"/>
        <w:spacing w:before="0"/>
        <w:rPr>
          <w:rFonts w:cs="Arial"/>
          <w:lang w:eastAsia="en-AU"/>
        </w:rPr>
      </w:pPr>
      <w:r>
        <w:rPr>
          <w:rFonts w:cs="Arial"/>
          <w:lang w:eastAsia="en-AU"/>
        </w:rPr>
        <w:t>In 20</w:t>
      </w:r>
      <w:r w:rsidR="00485622">
        <w:rPr>
          <w:rFonts w:cs="Arial"/>
          <w:lang w:eastAsia="en-AU"/>
        </w:rPr>
        <w:t>2</w:t>
      </w:r>
      <w:r w:rsidR="00491669">
        <w:rPr>
          <w:rFonts w:cs="Arial"/>
          <w:lang w:eastAsia="en-AU"/>
        </w:rPr>
        <w:t>1</w:t>
      </w:r>
      <w:r>
        <w:rPr>
          <w:rFonts w:cs="Arial"/>
          <w:lang w:eastAsia="en-AU"/>
        </w:rPr>
        <w:t>,</w:t>
      </w:r>
      <w:r w:rsidR="003849F5">
        <w:rPr>
          <w:rFonts w:cs="Arial"/>
          <w:lang w:eastAsia="en-AU"/>
        </w:rPr>
        <w:t xml:space="preserve"> </w:t>
      </w:r>
      <w:r w:rsidR="00204391">
        <w:rPr>
          <w:rFonts w:cs="Arial"/>
          <w:lang w:eastAsia="en-AU"/>
        </w:rPr>
        <w:t>there were</w:t>
      </w:r>
      <w:r w:rsidR="00BF0EBA">
        <w:rPr>
          <w:rFonts w:cs="Arial"/>
          <w:lang w:eastAsia="en-AU"/>
        </w:rPr>
        <w:t xml:space="preserve"> </w:t>
      </w:r>
      <w:r w:rsidR="00336AF9">
        <w:rPr>
          <w:rFonts w:cs="Arial"/>
          <w:lang w:eastAsia="en-AU"/>
        </w:rPr>
        <w:t>5,192</w:t>
      </w:r>
      <w:r w:rsidR="00FE176A">
        <w:rPr>
          <w:rFonts w:cs="Arial"/>
          <w:lang w:eastAsia="en-AU"/>
        </w:rPr>
        <w:t xml:space="preserve"> </w:t>
      </w:r>
      <w:r w:rsidR="00BF0EBA">
        <w:rPr>
          <w:rFonts w:cs="Arial"/>
          <w:lang w:eastAsia="en-AU"/>
        </w:rPr>
        <w:t>women that undertook</w:t>
      </w:r>
      <w:r w:rsidR="007202E2">
        <w:rPr>
          <w:rFonts w:cs="Arial"/>
          <w:lang w:eastAsia="en-AU"/>
        </w:rPr>
        <w:t xml:space="preserve"> </w:t>
      </w:r>
      <w:r w:rsidR="00485622">
        <w:rPr>
          <w:rFonts w:cs="Arial"/>
          <w:lang w:eastAsia="en-AU"/>
        </w:rPr>
        <w:t>8,</w:t>
      </w:r>
      <w:r w:rsidR="00491669">
        <w:rPr>
          <w:rFonts w:cs="Arial"/>
          <w:lang w:eastAsia="en-AU"/>
        </w:rPr>
        <w:t>782</w:t>
      </w:r>
      <w:r w:rsidR="007202E2">
        <w:rPr>
          <w:rFonts w:cs="Arial"/>
          <w:lang w:eastAsia="en-AU"/>
        </w:rPr>
        <w:t xml:space="preserve"> </w:t>
      </w:r>
      <w:r w:rsidR="0054794C">
        <w:rPr>
          <w:rFonts w:cs="Arial"/>
          <w:lang w:eastAsia="en-AU"/>
        </w:rPr>
        <w:t xml:space="preserve">initiated </w:t>
      </w:r>
      <w:r w:rsidR="007202E2">
        <w:rPr>
          <w:rFonts w:cs="Arial"/>
          <w:lang w:eastAsia="en-AU"/>
        </w:rPr>
        <w:t>ART treatment cycles (excluding surrogacy cycles)</w:t>
      </w:r>
      <w:r w:rsidR="00BF0EBA">
        <w:rPr>
          <w:rFonts w:cs="Arial"/>
          <w:lang w:eastAsia="en-AU"/>
        </w:rPr>
        <w:t xml:space="preserve"> (Table 2 and Table 3)</w:t>
      </w:r>
      <w:r w:rsidR="007202E2">
        <w:rPr>
          <w:rFonts w:cs="Arial"/>
          <w:lang w:eastAsia="en-AU"/>
        </w:rPr>
        <w:t>. The</w:t>
      </w:r>
      <w:r w:rsidR="005971CA">
        <w:rPr>
          <w:rFonts w:cs="Arial"/>
          <w:lang w:eastAsia="en-AU"/>
        </w:rPr>
        <w:t xml:space="preserve"> largest proportion of </w:t>
      </w:r>
      <w:r w:rsidR="007202E2">
        <w:rPr>
          <w:rFonts w:cs="Arial"/>
          <w:lang w:eastAsia="en-AU"/>
        </w:rPr>
        <w:t xml:space="preserve">these </w:t>
      </w:r>
      <w:r w:rsidR="005971CA">
        <w:rPr>
          <w:rFonts w:cs="Arial"/>
          <w:lang w:eastAsia="en-AU"/>
        </w:rPr>
        <w:t xml:space="preserve">cycles was undertaken by women </w:t>
      </w:r>
      <w:r w:rsidR="0054794C">
        <w:rPr>
          <w:rFonts w:cs="Arial"/>
          <w:lang w:eastAsia="en-AU"/>
        </w:rPr>
        <w:t>of</w:t>
      </w:r>
      <w:r w:rsidR="005971CA">
        <w:rPr>
          <w:rFonts w:cs="Arial"/>
          <w:lang w:eastAsia="en-AU"/>
        </w:rPr>
        <w:t xml:space="preserve"> European ethnicity (</w:t>
      </w:r>
      <w:r w:rsidR="00C30529">
        <w:rPr>
          <w:rFonts w:cs="Arial"/>
          <w:lang w:eastAsia="en-AU"/>
        </w:rPr>
        <w:t>55.8</w:t>
      </w:r>
      <w:r>
        <w:rPr>
          <w:rFonts w:cs="Arial"/>
          <w:lang w:eastAsia="en-AU"/>
        </w:rPr>
        <w:t>%</w:t>
      </w:r>
      <w:r w:rsidR="005971CA">
        <w:rPr>
          <w:rFonts w:cs="Arial"/>
          <w:lang w:eastAsia="en-AU"/>
        </w:rPr>
        <w:t>)</w:t>
      </w:r>
      <w:r w:rsidR="00A84E8F">
        <w:rPr>
          <w:rFonts w:cs="Arial"/>
          <w:lang w:eastAsia="en-AU"/>
        </w:rPr>
        <w:t xml:space="preserve">, followed by women </w:t>
      </w:r>
      <w:r w:rsidR="0054794C">
        <w:rPr>
          <w:rFonts w:cs="Arial"/>
          <w:lang w:eastAsia="en-AU"/>
        </w:rPr>
        <w:t>of</w:t>
      </w:r>
      <w:r w:rsidR="002F507F">
        <w:rPr>
          <w:rFonts w:cs="Arial"/>
          <w:lang w:eastAsia="en-AU"/>
        </w:rPr>
        <w:t xml:space="preserve"> Asian</w:t>
      </w:r>
      <w:r w:rsidR="00A84E8F">
        <w:rPr>
          <w:rFonts w:cs="Arial"/>
          <w:lang w:eastAsia="en-AU"/>
        </w:rPr>
        <w:t xml:space="preserve"> ethnicity (</w:t>
      </w:r>
      <w:r w:rsidR="00EB47B8">
        <w:rPr>
          <w:rFonts w:cs="Arial"/>
          <w:lang w:eastAsia="en-AU"/>
        </w:rPr>
        <w:t>2</w:t>
      </w:r>
      <w:r w:rsidR="00C30529">
        <w:rPr>
          <w:rFonts w:cs="Arial"/>
          <w:lang w:eastAsia="en-AU"/>
        </w:rPr>
        <w:t>3</w:t>
      </w:r>
      <w:r w:rsidR="00A84E8F">
        <w:rPr>
          <w:rFonts w:cs="Arial"/>
          <w:lang w:eastAsia="en-AU"/>
        </w:rPr>
        <w:t>%)</w:t>
      </w:r>
      <w:r w:rsidR="00C82101">
        <w:rPr>
          <w:rFonts w:cs="Arial"/>
          <w:lang w:eastAsia="en-AU"/>
        </w:rPr>
        <w:t xml:space="preserve"> </w:t>
      </w:r>
      <w:r w:rsidR="00990F49">
        <w:rPr>
          <w:rFonts w:cs="Arial"/>
          <w:lang w:eastAsia="en-AU"/>
        </w:rPr>
        <w:t>(Table 2).</w:t>
      </w:r>
      <w:r w:rsidR="00771B9F">
        <w:rPr>
          <w:rFonts w:cs="Arial"/>
          <w:lang w:eastAsia="en-AU"/>
        </w:rPr>
        <w:t xml:space="preserve"> </w:t>
      </w:r>
    </w:p>
    <w:p w14:paraId="24AC02FD" w14:textId="770A9381" w:rsidR="00C82101" w:rsidRPr="00C82101" w:rsidRDefault="00C82101" w:rsidP="00C82101">
      <w:pPr>
        <w:rPr>
          <w:rFonts w:ascii="Arial" w:eastAsia="Times New Roman" w:hAnsi="Arial" w:cs="Arial"/>
          <w:sz w:val="22"/>
          <w:szCs w:val="20"/>
          <w:lang w:eastAsia="en-AU"/>
        </w:rPr>
      </w:pPr>
      <w:r w:rsidRPr="00C82101">
        <w:rPr>
          <w:rFonts w:ascii="Arial" w:eastAsia="Times New Roman" w:hAnsi="Arial" w:cs="Arial"/>
          <w:sz w:val="22"/>
          <w:szCs w:val="20"/>
          <w:lang w:eastAsia="en-AU"/>
        </w:rPr>
        <w:t>In 202</w:t>
      </w:r>
      <w:r w:rsidR="00C30529">
        <w:rPr>
          <w:rFonts w:ascii="Arial" w:eastAsia="Times New Roman" w:hAnsi="Arial" w:cs="Arial"/>
          <w:sz w:val="22"/>
          <w:szCs w:val="20"/>
          <w:lang w:eastAsia="en-AU"/>
        </w:rPr>
        <w:t>1</w:t>
      </w:r>
      <w:r w:rsidRPr="00C82101">
        <w:rPr>
          <w:rFonts w:ascii="Arial" w:eastAsia="Times New Roman" w:hAnsi="Arial" w:cs="Arial"/>
          <w:sz w:val="22"/>
          <w:szCs w:val="20"/>
          <w:lang w:eastAsia="en-AU"/>
        </w:rPr>
        <w:t xml:space="preserve">, there were </w:t>
      </w:r>
      <w:r w:rsidR="00C30529">
        <w:rPr>
          <w:rFonts w:ascii="Arial" w:eastAsia="Times New Roman" w:hAnsi="Arial" w:cs="Arial"/>
          <w:sz w:val="22"/>
          <w:szCs w:val="20"/>
          <w:lang w:eastAsia="en-AU"/>
        </w:rPr>
        <w:t>146</w:t>
      </w:r>
      <w:r w:rsidR="00C30529" w:rsidRPr="00C82101">
        <w:rPr>
          <w:rFonts w:ascii="Arial" w:eastAsia="Times New Roman" w:hAnsi="Arial" w:cs="Arial"/>
          <w:sz w:val="22"/>
          <w:szCs w:val="20"/>
          <w:lang w:eastAsia="en-AU"/>
        </w:rPr>
        <w:t xml:space="preserve"> </w:t>
      </w:r>
      <w:r w:rsidRPr="00C82101">
        <w:rPr>
          <w:rFonts w:ascii="Arial" w:eastAsia="Times New Roman" w:hAnsi="Arial" w:cs="Arial"/>
          <w:sz w:val="22"/>
          <w:szCs w:val="20"/>
          <w:lang w:eastAsia="en-AU"/>
        </w:rPr>
        <w:t>oocyte/embryo donation cycles and 3</w:t>
      </w:r>
      <w:r w:rsidR="00C30529">
        <w:rPr>
          <w:rFonts w:ascii="Arial" w:eastAsia="Times New Roman" w:hAnsi="Arial" w:cs="Arial"/>
          <w:sz w:val="22"/>
          <w:szCs w:val="20"/>
          <w:lang w:eastAsia="en-AU"/>
        </w:rPr>
        <w:t>89</w:t>
      </w:r>
      <w:r w:rsidRPr="00C82101">
        <w:rPr>
          <w:rFonts w:ascii="Arial" w:eastAsia="Times New Roman" w:hAnsi="Arial" w:cs="Arial"/>
          <w:sz w:val="22"/>
          <w:szCs w:val="20"/>
          <w:lang w:eastAsia="en-AU"/>
        </w:rPr>
        <w:t xml:space="preserve"> oocyte/embryo recipient cycles. Noting that, oocytes/embryos in a recipient cycle may be from a donation cycle that occurred in 202</w:t>
      </w:r>
      <w:r w:rsidR="00C30529">
        <w:rPr>
          <w:rFonts w:ascii="Arial" w:eastAsia="Times New Roman" w:hAnsi="Arial" w:cs="Arial"/>
          <w:sz w:val="22"/>
          <w:szCs w:val="20"/>
          <w:lang w:eastAsia="en-AU"/>
        </w:rPr>
        <w:t>1</w:t>
      </w:r>
      <w:r w:rsidRPr="00C82101">
        <w:rPr>
          <w:rFonts w:ascii="Arial" w:eastAsia="Times New Roman" w:hAnsi="Arial" w:cs="Arial"/>
          <w:sz w:val="22"/>
          <w:szCs w:val="20"/>
          <w:lang w:eastAsia="en-AU"/>
        </w:rPr>
        <w:t xml:space="preserve">, or a previous treatment year or may have been received from overseas. </w:t>
      </w:r>
    </w:p>
    <w:tbl>
      <w:tblPr>
        <w:tblW w:w="509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142"/>
        <w:gridCol w:w="1132"/>
        <w:gridCol w:w="992"/>
        <w:gridCol w:w="851"/>
        <w:gridCol w:w="141"/>
        <w:gridCol w:w="851"/>
        <w:gridCol w:w="1134"/>
        <w:gridCol w:w="851"/>
        <w:gridCol w:w="849"/>
        <w:gridCol w:w="141"/>
        <w:gridCol w:w="860"/>
        <w:gridCol w:w="140"/>
        <w:gridCol w:w="1104"/>
      </w:tblGrid>
      <w:tr w:rsidR="00792E8E" w:rsidRPr="00617599" w14:paraId="5F8D0596" w14:textId="77777777" w:rsidTr="000D75B4">
        <w:trPr>
          <w:trHeight w:val="247"/>
          <w:tblHeader/>
          <w:tblCellSpacing w:w="0" w:type="dxa"/>
        </w:trPr>
        <w:tc>
          <w:tcPr>
            <w:tcW w:w="77" w:type="pct"/>
            <w:tcBorders>
              <w:top w:val="nil"/>
              <w:left w:val="nil"/>
              <w:bottom w:val="single" w:sz="12" w:space="0" w:color="auto"/>
              <w:right w:val="nil"/>
            </w:tcBorders>
          </w:tcPr>
          <w:p w14:paraId="5EF7381B" w14:textId="77777777" w:rsidR="00792E8E" w:rsidRPr="00F50268" w:rsidRDefault="00792E8E" w:rsidP="00C03A13">
            <w:pPr>
              <w:pStyle w:val="Caption"/>
              <w:spacing w:before="60" w:line="260" w:lineRule="atLeast"/>
              <w:rPr>
                <w:rFonts w:eastAsia="Times New Roman"/>
                <w:lang w:eastAsia="en-AU"/>
              </w:rPr>
            </w:pPr>
          </w:p>
        </w:tc>
        <w:tc>
          <w:tcPr>
            <w:tcW w:w="4923" w:type="pct"/>
            <w:gridSpan w:val="12"/>
            <w:tcBorders>
              <w:top w:val="nil"/>
              <w:left w:val="nil"/>
              <w:bottom w:val="single" w:sz="12" w:space="0" w:color="auto"/>
              <w:right w:val="nil"/>
            </w:tcBorders>
          </w:tcPr>
          <w:p w14:paraId="5209DDC1" w14:textId="2BFF9A29" w:rsidR="00792E8E" w:rsidRPr="00617599" w:rsidRDefault="00792E8E" w:rsidP="00C03A13">
            <w:pPr>
              <w:pStyle w:val="Caption"/>
              <w:spacing w:before="60" w:line="260" w:lineRule="atLeast"/>
              <w:rPr>
                <w:rFonts w:eastAsia="Times New Roman"/>
                <w:lang w:eastAsia="en-AU"/>
              </w:rPr>
            </w:pPr>
            <w:bookmarkStart w:id="206" w:name="_Toc158026551"/>
            <w:r w:rsidRPr="00F50268">
              <w:rPr>
                <w:rFonts w:eastAsia="Times New Roman"/>
                <w:lang w:eastAsia="en-AU"/>
              </w:rPr>
              <w:t>Table 2: Number of initiated ART treatment cycles</w:t>
            </w:r>
            <w:r>
              <w:rPr>
                <w:rFonts w:eastAsia="Times New Roman"/>
                <w:lang w:eastAsia="en-AU"/>
              </w:rPr>
              <w:t xml:space="preserve"> (excluding surrogacy)</w:t>
            </w:r>
            <w:r w:rsidRPr="00F50268">
              <w:rPr>
                <w:rFonts w:eastAsia="Times New Roman"/>
                <w:lang w:eastAsia="en-AU"/>
              </w:rPr>
              <w:t xml:space="preserve"> by ethnicity, New Zealand, 20</w:t>
            </w:r>
            <w:r>
              <w:rPr>
                <w:rFonts w:eastAsia="Times New Roman"/>
                <w:lang w:eastAsia="en-AU"/>
              </w:rPr>
              <w:t>2</w:t>
            </w:r>
            <w:r w:rsidR="006F301C">
              <w:rPr>
                <w:rFonts w:eastAsia="Times New Roman"/>
                <w:lang w:eastAsia="en-AU"/>
              </w:rPr>
              <w:t>1</w:t>
            </w:r>
            <w:bookmarkEnd w:id="206"/>
          </w:p>
        </w:tc>
      </w:tr>
      <w:tr w:rsidR="00792E8E" w:rsidRPr="00617599" w14:paraId="4408AA64" w14:textId="77777777" w:rsidTr="000D75B4">
        <w:trPr>
          <w:trHeight w:val="227"/>
          <w:tblHeader/>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401C287B" w14:textId="77777777" w:rsidR="00792E8E" w:rsidRPr="00617599" w:rsidRDefault="00792E8E" w:rsidP="00C03A13">
            <w:pPr>
              <w:spacing w:after="0" w:line="276" w:lineRule="auto"/>
              <w:rPr>
                <w:rFonts w:ascii="Arial" w:eastAsia="Times New Roman" w:hAnsi="Arial" w:cs="Arial"/>
                <w:b/>
                <w:bCs/>
                <w:sz w:val="16"/>
                <w:szCs w:val="16"/>
                <w:lang w:eastAsia="en-AU"/>
              </w:rPr>
            </w:pPr>
          </w:p>
        </w:tc>
        <w:tc>
          <w:tcPr>
            <w:tcW w:w="1003" w:type="pct"/>
            <w:gridSpan w:val="2"/>
            <w:tcBorders>
              <w:top w:val="nil"/>
              <w:left w:val="nil"/>
              <w:bottom w:val="single" w:sz="6" w:space="0" w:color="000000"/>
              <w:right w:val="nil"/>
            </w:tcBorders>
            <w:tcMar>
              <w:top w:w="0" w:type="dxa"/>
              <w:left w:w="0" w:type="dxa"/>
              <w:bottom w:w="28" w:type="dxa"/>
              <w:right w:w="0" w:type="dxa"/>
            </w:tcMar>
            <w:vAlign w:val="center"/>
          </w:tcPr>
          <w:p w14:paraId="1349BA1F" w14:textId="77777777" w:rsidR="00792E8E" w:rsidRPr="00617599" w:rsidRDefault="00792E8E" w:rsidP="00F63BA9">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Autologous</w:t>
            </w:r>
          </w:p>
        </w:tc>
        <w:tc>
          <w:tcPr>
            <w:tcW w:w="77" w:type="pct"/>
            <w:tcBorders>
              <w:top w:val="nil"/>
              <w:left w:val="nil"/>
              <w:bottom w:val="nil"/>
              <w:right w:val="nil"/>
            </w:tcBorders>
            <w:tcMar>
              <w:top w:w="0" w:type="dxa"/>
              <w:left w:w="0" w:type="dxa"/>
              <w:bottom w:w="0" w:type="dxa"/>
              <w:right w:w="0" w:type="dxa"/>
            </w:tcMar>
            <w:vAlign w:val="center"/>
          </w:tcPr>
          <w:p w14:paraId="0E75FD06" w14:textId="77777777" w:rsidR="00792E8E" w:rsidRPr="00617599" w:rsidRDefault="00792E8E" w:rsidP="00C03A13">
            <w:pPr>
              <w:spacing w:after="0" w:line="276" w:lineRule="auto"/>
              <w:jc w:val="center"/>
              <w:rPr>
                <w:rFonts w:ascii="Arial" w:eastAsia="Times New Roman" w:hAnsi="Arial" w:cs="Arial"/>
                <w:b/>
                <w:bCs/>
                <w:sz w:val="16"/>
                <w:szCs w:val="16"/>
                <w:lang w:eastAsia="en-AU"/>
              </w:rPr>
            </w:pPr>
          </w:p>
        </w:tc>
        <w:tc>
          <w:tcPr>
            <w:tcW w:w="1543" w:type="pct"/>
            <w:gridSpan w:val="3"/>
            <w:tcBorders>
              <w:top w:val="nil"/>
              <w:left w:val="nil"/>
              <w:bottom w:val="single" w:sz="6" w:space="0" w:color="000000"/>
              <w:right w:val="nil"/>
            </w:tcBorders>
            <w:tcMar>
              <w:top w:w="0" w:type="dxa"/>
              <w:left w:w="0" w:type="dxa"/>
              <w:bottom w:w="28" w:type="dxa"/>
              <w:right w:w="0" w:type="dxa"/>
            </w:tcMar>
            <w:vAlign w:val="center"/>
          </w:tcPr>
          <w:p w14:paraId="5F7886C6" w14:textId="77777777" w:rsidR="00792E8E" w:rsidRPr="00617599" w:rsidRDefault="00792E8E" w:rsidP="00C03A13">
            <w:pPr>
              <w:spacing w:after="0" w:line="276" w:lineRule="auto"/>
              <w:jc w:val="center"/>
              <w:rPr>
                <w:rFonts w:ascii="Arial" w:eastAsia="Times New Roman" w:hAnsi="Arial" w:cs="Arial"/>
                <w:b/>
                <w:bCs/>
                <w:sz w:val="16"/>
                <w:szCs w:val="16"/>
                <w:lang w:eastAsia="en-AU"/>
              </w:rPr>
            </w:pPr>
          </w:p>
        </w:tc>
        <w:tc>
          <w:tcPr>
            <w:tcW w:w="462" w:type="pct"/>
            <w:tcBorders>
              <w:top w:val="nil"/>
              <w:left w:val="nil"/>
              <w:bottom w:val="nil"/>
              <w:right w:val="nil"/>
            </w:tcBorders>
          </w:tcPr>
          <w:p w14:paraId="4FE7AD66" w14:textId="77777777" w:rsidR="00792E8E" w:rsidRPr="00617599" w:rsidRDefault="00792E8E" w:rsidP="00C03A13">
            <w:pPr>
              <w:spacing w:after="0" w:line="276" w:lineRule="auto"/>
              <w:jc w:val="center"/>
              <w:rPr>
                <w:rFonts w:ascii="Arial" w:eastAsia="Times New Roman" w:hAnsi="Arial" w:cs="Arial"/>
                <w:b/>
                <w:bCs/>
                <w:sz w:val="16"/>
                <w:szCs w:val="16"/>
                <w:lang w:eastAsia="en-AU"/>
              </w:rPr>
            </w:pPr>
          </w:p>
        </w:tc>
        <w:tc>
          <w:tcPr>
            <w:tcW w:w="77" w:type="pct"/>
            <w:tcBorders>
              <w:top w:val="nil"/>
              <w:left w:val="nil"/>
              <w:bottom w:val="nil"/>
              <w:right w:val="nil"/>
            </w:tcBorders>
            <w:tcMar>
              <w:top w:w="0" w:type="dxa"/>
              <w:left w:w="0" w:type="dxa"/>
              <w:bottom w:w="0" w:type="dxa"/>
              <w:right w:w="0" w:type="dxa"/>
            </w:tcMar>
            <w:vAlign w:val="center"/>
          </w:tcPr>
          <w:p w14:paraId="2DD75197" w14:textId="4D304584" w:rsidR="00792E8E" w:rsidRPr="00617599" w:rsidRDefault="00792E8E" w:rsidP="00C03A13">
            <w:pPr>
              <w:spacing w:after="0" w:line="276" w:lineRule="auto"/>
              <w:jc w:val="center"/>
              <w:rPr>
                <w:rFonts w:ascii="Arial" w:eastAsia="Times New Roman" w:hAnsi="Arial" w:cs="Arial"/>
                <w:b/>
                <w:bCs/>
                <w:sz w:val="16"/>
                <w:szCs w:val="16"/>
                <w:lang w:eastAsia="en-AU"/>
              </w:rPr>
            </w:pPr>
          </w:p>
        </w:tc>
        <w:tc>
          <w:tcPr>
            <w:tcW w:w="468" w:type="pct"/>
            <w:tcBorders>
              <w:top w:val="nil"/>
              <w:left w:val="nil"/>
              <w:right w:val="nil"/>
            </w:tcBorders>
          </w:tcPr>
          <w:p w14:paraId="3861EAC4" w14:textId="77777777" w:rsidR="00792E8E" w:rsidRPr="00617599" w:rsidRDefault="00792E8E" w:rsidP="00C03A13">
            <w:pPr>
              <w:spacing w:after="0" w:line="276" w:lineRule="auto"/>
              <w:jc w:val="center"/>
              <w:rPr>
                <w:rFonts w:ascii="Arial" w:eastAsia="Times New Roman" w:hAnsi="Arial" w:cs="Arial"/>
                <w:b/>
                <w:bCs/>
                <w:sz w:val="16"/>
                <w:szCs w:val="16"/>
                <w:lang w:eastAsia="en-AU"/>
              </w:rPr>
            </w:pPr>
          </w:p>
        </w:tc>
        <w:tc>
          <w:tcPr>
            <w:tcW w:w="76" w:type="pct"/>
            <w:tcBorders>
              <w:top w:val="nil"/>
              <w:left w:val="nil"/>
              <w:right w:val="nil"/>
            </w:tcBorders>
            <w:tcMar>
              <w:top w:w="0" w:type="dxa"/>
              <w:left w:w="0" w:type="dxa"/>
              <w:bottom w:w="28" w:type="dxa"/>
              <w:right w:w="0" w:type="dxa"/>
            </w:tcMar>
            <w:vAlign w:val="center"/>
          </w:tcPr>
          <w:p w14:paraId="1F784409" w14:textId="77777777" w:rsidR="00792E8E" w:rsidRPr="00617599" w:rsidRDefault="00792E8E" w:rsidP="00C03A13">
            <w:pPr>
              <w:spacing w:after="0" w:line="276" w:lineRule="auto"/>
              <w:jc w:val="center"/>
              <w:rPr>
                <w:rFonts w:ascii="Arial" w:eastAsia="Times New Roman" w:hAnsi="Arial" w:cs="Arial"/>
                <w:b/>
                <w:bCs/>
                <w:sz w:val="16"/>
                <w:szCs w:val="16"/>
                <w:lang w:eastAsia="en-AU"/>
              </w:rPr>
            </w:pPr>
          </w:p>
        </w:tc>
        <w:tc>
          <w:tcPr>
            <w:tcW w:w="601" w:type="pct"/>
            <w:tcBorders>
              <w:top w:val="nil"/>
              <w:left w:val="nil"/>
              <w:right w:val="nil"/>
            </w:tcBorders>
            <w:vAlign w:val="center"/>
          </w:tcPr>
          <w:p w14:paraId="63D6D726" w14:textId="77777777" w:rsidR="00792E8E" w:rsidRPr="00617599" w:rsidRDefault="00792E8E" w:rsidP="00C03A13">
            <w:pPr>
              <w:spacing w:after="0" w:line="276" w:lineRule="auto"/>
              <w:jc w:val="center"/>
              <w:rPr>
                <w:rFonts w:ascii="Arial" w:eastAsia="Times New Roman" w:hAnsi="Arial" w:cs="Arial"/>
                <w:b/>
                <w:bCs/>
                <w:sz w:val="16"/>
                <w:szCs w:val="16"/>
                <w:lang w:eastAsia="en-AU"/>
              </w:rPr>
            </w:pPr>
          </w:p>
        </w:tc>
      </w:tr>
      <w:tr w:rsidR="00792E8E" w:rsidRPr="00617599" w14:paraId="4E85D591" w14:textId="77777777" w:rsidTr="000D75B4">
        <w:trPr>
          <w:trHeight w:val="227"/>
          <w:tblHeader/>
          <w:tblCellSpacing w:w="0" w:type="dxa"/>
        </w:trPr>
        <w:tc>
          <w:tcPr>
            <w:tcW w:w="693" w:type="pct"/>
            <w:gridSpan w:val="2"/>
            <w:tcBorders>
              <w:top w:val="nil"/>
              <w:left w:val="nil"/>
              <w:bottom w:val="single" w:sz="6" w:space="0" w:color="000000"/>
              <w:right w:val="nil"/>
            </w:tcBorders>
            <w:tcMar>
              <w:top w:w="0" w:type="dxa"/>
              <w:left w:w="0" w:type="dxa"/>
              <w:bottom w:w="28" w:type="dxa"/>
              <w:right w:w="0" w:type="dxa"/>
            </w:tcMar>
            <w:vAlign w:val="center"/>
          </w:tcPr>
          <w:p w14:paraId="1B7D9326" w14:textId="52177111" w:rsidR="00792E8E" w:rsidRPr="00617599" w:rsidRDefault="00792E8E" w:rsidP="00C03A13">
            <w:pPr>
              <w:spacing w:after="0" w:line="276" w:lineRule="auto"/>
              <w:rPr>
                <w:rFonts w:ascii="Arial" w:eastAsia="Times New Roman" w:hAnsi="Arial" w:cs="Arial"/>
                <w:b/>
                <w:bCs/>
                <w:sz w:val="16"/>
                <w:szCs w:val="16"/>
                <w:lang w:eastAsia="en-AU"/>
              </w:rPr>
            </w:pPr>
            <w:r w:rsidRPr="00ED412B">
              <w:rPr>
                <w:rFonts w:ascii="Arial" w:eastAsia="Times New Roman" w:hAnsi="Arial" w:cs="Arial"/>
                <w:b/>
                <w:bCs/>
                <w:sz w:val="16"/>
                <w:szCs w:val="16"/>
                <w:lang w:eastAsia="en-AU"/>
              </w:rPr>
              <w:t>Ethnicity</w:t>
            </w:r>
            <w:r w:rsidRPr="00CA5EE3">
              <w:rPr>
                <w:rFonts w:ascii="Arial" w:eastAsia="Times New Roman" w:hAnsi="Arial" w:cs="Arial"/>
                <w:b/>
                <w:bCs/>
                <w:sz w:val="16"/>
                <w:szCs w:val="16"/>
                <w:vertAlign w:val="superscript"/>
                <w:lang w:eastAsia="en-AU"/>
              </w:rPr>
              <w:t>(a)</w:t>
            </w:r>
          </w:p>
        </w:tc>
        <w:tc>
          <w:tcPr>
            <w:tcW w:w="540" w:type="pct"/>
            <w:tcBorders>
              <w:top w:val="nil"/>
              <w:left w:val="nil"/>
              <w:bottom w:val="single" w:sz="6" w:space="0" w:color="000000"/>
              <w:right w:val="nil"/>
            </w:tcBorders>
            <w:tcMar>
              <w:top w:w="0" w:type="dxa"/>
              <w:left w:w="0" w:type="dxa"/>
              <w:bottom w:w="28" w:type="dxa"/>
              <w:right w:w="0" w:type="dxa"/>
            </w:tcMar>
            <w:vAlign w:val="center"/>
          </w:tcPr>
          <w:p w14:paraId="3B82E3F5" w14:textId="77777777" w:rsidR="00792E8E" w:rsidRPr="00617599" w:rsidRDefault="00792E8E" w:rsidP="00F63BA9">
            <w:pPr>
              <w:spacing w:after="0" w:line="276" w:lineRule="auto"/>
              <w:jc w:val="center"/>
              <w:rPr>
                <w:rFonts w:ascii="Arial" w:eastAsia="Times New Roman" w:hAnsi="Arial" w:cs="Arial"/>
                <w:b/>
                <w:bCs/>
                <w:sz w:val="16"/>
                <w:szCs w:val="16"/>
                <w:lang w:eastAsia="en-AU"/>
              </w:rPr>
            </w:pPr>
            <w:r>
              <w:rPr>
                <w:rFonts w:ascii="Arial" w:eastAsia="Times New Roman" w:hAnsi="Arial" w:cs="Arial"/>
                <w:b/>
                <w:bCs/>
                <w:sz w:val="16"/>
                <w:szCs w:val="16"/>
                <w:lang w:eastAsia="en-AU"/>
              </w:rPr>
              <w:t>Fresh</w:t>
            </w:r>
          </w:p>
        </w:tc>
        <w:tc>
          <w:tcPr>
            <w:tcW w:w="463" w:type="pct"/>
            <w:tcBorders>
              <w:top w:val="nil"/>
              <w:left w:val="nil"/>
              <w:bottom w:val="single" w:sz="6" w:space="0" w:color="000000"/>
              <w:right w:val="nil"/>
            </w:tcBorders>
            <w:tcMar>
              <w:top w:w="0" w:type="dxa"/>
              <w:left w:w="0" w:type="dxa"/>
              <w:bottom w:w="28" w:type="dxa"/>
              <w:right w:w="0" w:type="dxa"/>
            </w:tcMar>
            <w:vAlign w:val="center"/>
          </w:tcPr>
          <w:p w14:paraId="27700EF7" w14:textId="77777777" w:rsidR="00792E8E" w:rsidRPr="00617599" w:rsidRDefault="00792E8E" w:rsidP="00F63BA9">
            <w:pPr>
              <w:spacing w:after="0" w:line="276" w:lineRule="auto"/>
              <w:jc w:val="center"/>
              <w:rPr>
                <w:rFonts w:ascii="Arial" w:eastAsia="Times New Roman" w:hAnsi="Arial" w:cs="Arial"/>
                <w:b/>
                <w:bCs/>
                <w:sz w:val="16"/>
                <w:szCs w:val="16"/>
                <w:lang w:eastAsia="en-AU"/>
              </w:rPr>
            </w:pPr>
            <w:r>
              <w:rPr>
                <w:rFonts w:ascii="Arial" w:eastAsia="Times New Roman" w:hAnsi="Arial" w:cs="Arial"/>
                <w:b/>
                <w:bCs/>
                <w:sz w:val="16"/>
                <w:szCs w:val="16"/>
                <w:lang w:eastAsia="en-AU"/>
              </w:rPr>
              <w:t>Thaw</w:t>
            </w:r>
          </w:p>
        </w:tc>
        <w:tc>
          <w:tcPr>
            <w:tcW w:w="77" w:type="pct"/>
            <w:tcBorders>
              <w:top w:val="nil"/>
              <w:left w:val="nil"/>
              <w:bottom w:val="single" w:sz="6" w:space="0" w:color="000000"/>
              <w:right w:val="nil"/>
            </w:tcBorders>
            <w:tcMar>
              <w:top w:w="0" w:type="dxa"/>
              <w:left w:w="0" w:type="dxa"/>
              <w:bottom w:w="28" w:type="dxa"/>
              <w:right w:w="0" w:type="dxa"/>
            </w:tcMar>
            <w:vAlign w:val="center"/>
          </w:tcPr>
          <w:p w14:paraId="10FACEDC" w14:textId="77777777" w:rsidR="00792E8E" w:rsidRPr="00617599" w:rsidRDefault="00792E8E" w:rsidP="00C03A13">
            <w:pPr>
              <w:spacing w:after="0" w:line="276" w:lineRule="auto"/>
              <w:jc w:val="center"/>
              <w:rPr>
                <w:rFonts w:ascii="Arial" w:eastAsia="Times New Roman" w:hAnsi="Arial" w:cs="Arial"/>
                <w:b/>
                <w:bCs/>
                <w:sz w:val="16"/>
                <w:szCs w:val="16"/>
                <w:lang w:eastAsia="en-AU"/>
              </w:rPr>
            </w:pPr>
          </w:p>
        </w:tc>
        <w:tc>
          <w:tcPr>
            <w:tcW w:w="463" w:type="pct"/>
            <w:tcBorders>
              <w:top w:val="nil"/>
              <w:left w:val="nil"/>
              <w:bottom w:val="single" w:sz="6" w:space="0" w:color="000000"/>
              <w:right w:val="nil"/>
            </w:tcBorders>
            <w:tcMar>
              <w:top w:w="0" w:type="dxa"/>
              <w:left w:w="0" w:type="dxa"/>
              <w:bottom w:w="28" w:type="dxa"/>
              <w:right w:w="0" w:type="dxa"/>
            </w:tcMar>
            <w:vAlign w:val="center"/>
          </w:tcPr>
          <w:p w14:paraId="00DE7916" w14:textId="77777777" w:rsidR="00792E8E" w:rsidRPr="00617599" w:rsidRDefault="00792E8E" w:rsidP="00F63BA9">
            <w:pPr>
              <w:spacing w:after="0" w:line="276" w:lineRule="auto"/>
              <w:jc w:val="center"/>
              <w:rPr>
                <w:rFonts w:ascii="Arial" w:eastAsia="Times New Roman" w:hAnsi="Arial" w:cs="Arial"/>
                <w:b/>
                <w:bCs/>
                <w:sz w:val="16"/>
                <w:szCs w:val="16"/>
                <w:lang w:eastAsia="en-AU"/>
              </w:rPr>
            </w:pPr>
            <w:r>
              <w:rPr>
                <w:rFonts w:ascii="Arial" w:eastAsia="Times New Roman" w:hAnsi="Arial" w:cs="Arial"/>
                <w:b/>
                <w:bCs/>
                <w:sz w:val="16"/>
                <w:szCs w:val="16"/>
                <w:lang w:eastAsia="en-AU"/>
              </w:rPr>
              <w:t>Oocyte recipient</w:t>
            </w:r>
          </w:p>
        </w:tc>
        <w:tc>
          <w:tcPr>
            <w:tcW w:w="617" w:type="pct"/>
            <w:tcBorders>
              <w:top w:val="nil"/>
              <w:left w:val="nil"/>
              <w:bottom w:val="single" w:sz="6" w:space="0" w:color="000000"/>
              <w:right w:val="nil"/>
            </w:tcBorders>
            <w:tcMar>
              <w:top w:w="0" w:type="dxa"/>
              <w:left w:w="0" w:type="dxa"/>
              <w:bottom w:w="28" w:type="dxa"/>
              <w:right w:w="0" w:type="dxa"/>
            </w:tcMar>
            <w:vAlign w:val="center"/>
          </w:tcPr>
          <w:p w14:paraId="71D7E614" w14:textId="77777777" w:rsidR="00792E8E" w:rsidRPr="00617599" w:rsidRDefault="00792E8E" w:rsidP="00F63BA9">
            <w:pPr>
              <w:spacing w:after="0" w:line="276" w:lineRule="auto"/>
              <w:jc w:val="center"/>
              <w:rPr>
                <w:rFonts w:ascii="Arial" w:eastAsia="Times New Roman" w:hAnsi="Arial" w:cs="Arial"/>
                <w:b/>
                <w:bCs/>
                <w:sz w:val="16"/>
                <w:szCs w:val="16"/>
                <w:lang w:eastAsia="en-AU"/>
              </w:rPr>
            </w:pPr>
            <w:r>
              <w:rPr>
                <w:rFonts w:ascii="Arial" w:eastAsia="Times New Roman" w:hAnsi="Arial" w:cs="Arial"/>
                <w:b/>
                <w:bCs/>
                <w:sz w:val="16"/>
                <w:szCs w:val="16"/>
                <w:lang w:eastAsia="en-AU"/>
              </w:rPr>
              <w:t>Embryo recipient</w:t>
            </w:r>
          </w:p>
        </w:tc>
        <w:tc>
          <w:tcPr>
            <w:tcW w:w="463" w:type="pct"/>
            <w:tcBorders>
              <w:top w:val="nil"/>
              <w:left w:val="nil"/>
              <w:bottom w:val="single" w:sz="6" w:space="0" w:color="000000"/>
              <w:right w:val="nil"/>
            </w:tcBorders>
            <w:tcMar>
              <w:top w:w="0" w:type="dxa"/>
              <w:left w:w="0" w:type="dxa"/>
              <w:bottom w:w="28" w:type="dxa"/>
              <w:right w:w="0" w:type="dxa"/>
            </w:tcMar>
            <w:vAlign w:val="center"/>
          </w:tcPr>
          <w:p w14:paraId="02A28A1A" w14:textId="77777777" w:rsidR="00792E8E" w:rsidRPr="00617599" w:rsidRDefault="00792E8E" w:rsidP="00F63BA9">
            <w:pPr>
              <w:spacing w:after="0" w:line="276" w:lineRule="auto"/>
              <w:jc w:val="center"/>
              <w:rPr>
                <w:rFonts w:ascii="Arial" w:eastAsia="Times New Roman" w:hAnsi="Arial" w:cs="Arial"/>
                <w:b/>
                <w:bCs/>
                <w:sz w:val="16"/>
                <w:szCs w:val="16"/>
                <w:lang w:eastAsia="en-AU"/>
              </w:rPr>
            </w:pPr>
            <w:r>
              <w:rPr>
                <w:rFonts w:ascii="Arial" w:eastAsia="Times New Roman" w:hAnsi="Arial" w:cs="Arial"/>
                <w:b/>
                <w:bCs/>
                <w:sz w:val="16"/>
                <w:szCs w:val="16"/>
                <w:lang w:eastAsia="en-AU"/>
              </w:rPr>
              <w:t>Oocyte donation</w:t>
            </w:r>
          </w:p>
        </w:tc>
        <w:tc>
          <w:tcPr>
            <w:tcW w:w="462" w:type="pct"/>
            <w:tcBorders>
              <w:top w:val="nil"/>
              <w:left w:val="nil"/>
              <w:bottom w:val="single" w:sz="6" w:space="0" w:color="000000"/>
              <w:right w:val="nil"/>
            </w:tcBorders>
          </w:tcPr>
          <w:p w14:paraId="7A670521" w14:textId="31B033BD" w:rsidR="00792E8E" w:rsidRPr="00617599" w:rsidRDefault="00792E8E" w:rsidP="00C03A13">
            <w:pPr>
              <w:spacing w:after="0" w:line="276" w:lineRule="auto"/>
              <w:jc w:val="center"/>
              <w:rPr>
                <w:rFonts w:ascii="Arial" w:eastAsia="Times New Roman" w:hAnsi="Arial" w:cs="Arial"/>
                <w:b/>
                <w:bCs/>
                <w:sz w:val="16"/>
                <w:szCs w:val="16"/>
                <w:lang w:eastAsia="en-AU"/>
              </w:rPr>
            </w:pPr>
            <w:r>
              <w:rPr>
                <w:rFonts w:ascii="Arial" w:eastAsia="Times New Roman" w:hAnsi="Arial" w:cs="Arial"/>
                <w:b/>
                <w:bCs/>
                <w:sz w:val="16"/>
                <w:szCs w:val="16"/>
                <w:lang w:eastAsia="en-AU"/>
              </w:rPr>
              <w:t>Embryo donation</w:t>
            </w:r>
          </w:p>
        </w:tc>
        <w:tc>
          <w:tcPr>
            <w:tcW w:w="77" w:type="pct"/>
            <w:tcBorders>
              <w:top w:val="nil"/>
              <w:left w:val="nil"/>
              <w:bottom w:val="single" w:sz="6" w:space="0" w:color="000000"/>
              <w:right w:val="nil"/>
            </w:tcBorders>
            <w:tcMar>
              <w:top w:w="0" w:type="dxa"/>
              <w:left w:w="0" w:type="dxa"/>
              <w:bottom w:w="28" w:type="dxa"/>
              <w:right w:w="0" w:type="dxa"/>
            </w:tcMar>
            <w:vAlign w:val="center"/>
          </w:tcPr>
          <w:p w14:paraId="3098B7A0" w14:textId="05F3F0BC" w:rsidR="00792E8E" w:rsidRPr="00617599" w:rsidRDefault="00792E8E" w:rsidP="00C03A13">
            <w:pPr>
              <w:spacing w:after="0" w:line="276" w:lineRule="auto"/>
              <w:jc w:val="center"/>
              <w:rPr>
                <w:rFonts w:ascii="Arial" w:eastAsia="Times New Roman" w:hAnsi="Arial" w:cs="Arial"/>
                <w:b/>
                <w:bCs/>
                <w:sz w:val="16"/>
                <w:szCs w:val="16"/>
                <w:lang w:eastAsia="en-AU"/>
              </w:rPr>
            </w:pPr>
          </w:p>
        </w:tc>
        <w:tc>
          <w:tcPr>
            <w:tcW w:w="468" w:type="pct"/>
            <w:tcBorders>
              <w:left w:val="nil"/>
              <w:bottom w:val="single" w:sz="6" w:space="0" w:color="000000"/>
              <w:right w:val="nil"/>
            </w:tcBorders>
            <w:vAlign w:val="bottom"/>
          </w:tcPr>
          <w:p w14:paraId="6DC94719" w14:textId="77777777" w:rsidR="00792E8E" w:rsidRPr="00617599" w:rsidRDefault="00792E8E" w:rsidP="00792E8E">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Total</w:t>
            </w:r>
          </w:p>
        </w:tc>
        <w:tc>
          <w:tcPr>
            <w:tcW w:w="76" w:type="pct"/>
            <w:tcBorders>
              <w:top w:val="nil"/>
              <w:left w:val="nil"/>
              <w:right w:val="nil"/>
            </w:tcBorders>
            <w:tcMar>
              <w:top w:w="0" w:type="dxa"/>
              <w:left w:w="0" w:type="dxa"/>
              <w:bottom w:w="28" w:type="dxa"/>
              <w:right w:w="0" w:type="dxa"/>
            </w:tcMar>
            <w:vAlign w:val="center"/>
          </w:tcPr>
          <w:p w14:paraId="5DB96FFC" w14:textId="77777777" w:rsidR="00792E8E" w:rsidRPr="00617599" w:rsidRDefault="00792E8E" w:rsidP="00C03A13">
            <w:pPr>
              <w:spacing w:after="0" w:line="276" w:lineRule="auto"/>
              <w:jc w:val="right"/>
              <w:rPr>
                <w:rFonts w:ascii="Arial" w:eastAsia="Times New Roman" w:hAnsi="Arial" w:cs="Arial"/>
                <w:b/>
                <w:bCs/>
                <w:sz w:val="16"/>
                <w:szCs w:val="16"/>
                <w:lang w:eastAsia="en-AU"/>
              </w:rPr>
            </w:pPr>
          </w:p>
        </w:tc>
        <w:tc>
          <w:tcPr>
            <w:tcW w:w="601" w:type="pct"/>
            <w:tcBorders>
              <w:left w:val="nil"/>
              <w:bottom w:val="single" w:sz="6" w:space="0" w:color="000000"/>
              <w:right w:val="nil"/>
            </w:tcBorders>
            <w:tcMar>
              <w:top w:w="0" w:type="dxa"/>
              <w:left w:w="0" w:type="dxa"/>
              <w:bottom w:w="28" w:type="dxa"/>
              <w:right w:w="0" w:type="dxa"/>
            </w:tcMar>
            <w:vAlign w:val="center"/>
          </w:tcPr>
          <w:p w14:paraId="2E09F196" w14:textId="51A65FCA" w:rsidR="00792E8E" w:rsidRPr="00617599" w:rsidRDefault="00792E8E" w:rsidP="00C03A13">
            <w:pPr>
              <w:spacing w:after="0" w:line="276" w:lineRule="auto"/>
              <w:jc w:val="right"/>
              <w:rPr>
                <w:rFonts w:ascii="Arial" w:eastAsia="Times New Roman" w:hAnsi="Arial" w:cs="Arial"/>
                <w:b/>
                <w:bCs/>
                <w:sz w:val="16"/>
                <w:szCs w:val="16"/>
                <w:lang w:eastAsia="en-AU"/>
              </w:rPr>
            </w:pPr>
            <w:r w:rsidRPr="0076446A">
              <w:rPr>
                <w:rFonts w:ascii="Arial" w:eastAsia="Times New Roman" w:hAnsi="Arial" w:cs="Arial"/>
                <w:b/>
                <w:bCs/>
                <w:sz w:val="16"/>
                <w:szCs w:val="16"/>
                <w:lang w:eastAsia="en-AU"/>
              </w:rPr>
              <w:t>Mean age (years)</w:t>
            </w:r>
            <w:r w:rsidRPr="0076446A">
              <w:rPr>
                <w:rFonts w:ascii="Arial" w:eastAsia="Times New Roman" w:hAnsi="Arial" w:cs="Arial"/>
                <w:b/>
                <w:bCs/>
                <w:sz w:val="16"/>
                <w:szCs w:val="16"/>
                <w:vertAlign w:val="superscript"/>
                <w:lang w:eastAsia="en-AU"/>
              </w:rPr>
              <w:t xml:space="preserve"> (</w:t>
            </w:r>
            <w:r>
              <w:rPr>
                <w:rFonts w:ascii="Arial" w:eastAsia="Times New Roman" w:hAnsi="Arial" w:cs="Arial"/>
                <w:b/>
                <w:bCs/>
                <w:sz w:val="16"/>
                <w:szCs w:val="16"/>
                <w:vertAlign w:val="superscript"/>
                <w:lang w:eastAsia="en-AU"/>
              </w:rPr>
              <w:t>b)</w:t>
            </w:r>
          </w:p>
        </w:tc>
      </w:tr>
      <w:tr w:rsidR="00792E8E" w:rsidRPr="00617599" w14:paraId="7A8A48C6" w14:textId="77777777" w:rsidTr="000D75B4">
        <w:trPr>
          <w:trHeight w:val="227"/>
          <w:tblCellSpacing w:w="0" w:type="dxa"/>
        </w:trPr>
        <w:tc>
          <w:tcPr>
            <w:tcW w:w="77" w:type="pct"/>
            <w:tcBorders>
              <w:top w:val="nil"/>
              <w:left w:val="nil"/>
              <w:bottom w:val="nil"/>
              <w:right w:val="nil"/>
            </w:tcBorders>
          </w:tcPr>
          <w:p w14:paraId="7F1060DB" w14:textId="77777777" w:rsidR="00792E8E" w:rsidRPr="00511708" w:rsidRDefault="00792E8E" w:rsidP="00C03A13">
            <w:pPr>
              <w:spacing w:after="0" w:line="276" w:lineRule="auto"/>
              <w:jc w:val="center"/>
              <w:rPr>
                <w:rFonts w:ascii="Arial" w:eastAsia="Times New Roman" w:hAnsi="Arial" w:cs="Arial"/>
                <w:b/>
                <w:bCs/>
                <w:sz w:val="16"/>
                <w:szCs w:val="16"/>
                <w:lang w:eastAsia="en-AU"/>
              </w:rPr>
            </w:pPr>
          </w:p>
        </w:tc>
        <w:tc>
          <w:tcPr>
            <w:tcW w:w="4923" w:type="pct"/>
            <w:gridSpan w:val="12"/>
            <w:tcBorders>
              <w:top w:val="nil"/>
              <w:left w:val="nil"/>
              <w:bottom w:val="nil"/>
              <w:right w:val="nil"/>
            </w:tcBorders>
          </w:tcPr>
          <w:p w14:paraId="7F5EFFDA" w14:textId="5D3CC2F7" w:rsidR="00792E8E" w:rsidRPr="00511708" w:rsidRDefault="00792E8E" w:rsidP="00C03A13">
            <w:pPr>
              <w:spacing w:after="0" w:line="276" w:lineRule="auto"/>
              <w:jc w:val="center"/>
              <w:rPr>
                <w:rFonts w:ascii="Arial" w:eastAsia="Times New Roman" w:hAnsi="Arial" w:cs="Arial"/>
                <w:b/>
                <w:bCs/>
                <w:sz w:val="16"/>
                <w:szCs w:val="16"/>
                <w:lang w:eastAsia="en-AU"/>
              </w:rPr>
            </w:pPr>
            <w:r w:rsidRPr="00511708">
              <w:rPr>
                <w:rFonts w:ascii="Arial" w:eastAsia="Times New Roman" w:hAnsi="Arial" w:cs="Arial"/>
                <w:b/>
                <w:bCs/>
                <w:sz w:val="16"/>
                <w:szCs w:val="16"/>
                <w:lang w:eastAsia="en-AU"/>
              </w:rPr>
              <w:t>n</w:t>
            </w:r>
          </w:p>
        </w:tc>
      </w:tr>
      <w:tr w:rsidR="006C496A" w:rsidRPr="00617599" w14:paraId="7E1098A8"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2616DA6E" w14:textId="03118890" w:rsidR="006C496A" w:rsidRPr="00617599" w:rsidRDefault="006C496A" w:rsidP="006C496A">
            <w:pPr>
              <w:spacing w:after="0" w:line="276" w:lineRule="auto"/>
              <w:rPr>
                <w:rFonts w:ascii="Arial" w:eastAsia="Times New Roman" w:hAnsi="Arial" w:cs="Arial"/>
                <w:sz w:val="16"/>
                <w:szCs w:val="16"/>
                <w:lang w:eastAsia="en-AU"/>
              </w:rPr>
            </w:pPr>
            <w:r w:rsidRPr="00F50268">
              <w:rPr>
                <w:rFonts w:ascii="Arial" w:hAnsi="Arial" w:cs="Arial"/>
                <w:color w:val="000000"/>
                <w:sz w:val="16"/>
                <w:szCs w:val="16"/>
              </w:rPr>
              <w:t>European</w:t>
            </w:r>
          </w:p>
        </w:tc>
        <w:tc>
          <w:tcPr>
            <w:tcW w:w="540" w:type="pct"/>
            <w:tcBorders>
              <w:top w:val="nil"/>
              <w:left w:val="nil"/>
              <w:bottom w:val="nil"/>
              <w:right w:val="nil"/>
            </w:tcBorders>
            <w:tcMar>
              <w:top w:w="0" w:type="dxa"/>
              <w:left w:w="0" w:type="dxa"/>
              <w:bottom w:w="0" w:type="dxa"/>
              <w:right w:w="0" w:type="dxa"/>
            </w:tcMar>
            <w:vAlign w:val="bottom"/>
          </w:tcPr>
          <w:p w14:paraId="55C6633C" w14:textId="74C4E3BB"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2,299</w:t>
            </w:r>
          </w:p>
        </w:tc>
        <w:tc>
          <w:tcPr>
            <w:tcW w:w="463" w:type="pct"/>
            <w:tcBorders>
              <w:top w:val="nil"/>
              <w:left w:val="nil"/>
              <w:bottom w:val="nil"/>
              <w:right w:val="nil"/>
            </w:tcBorders>
            <w:tcMar>
              <w:top w:w="0" w:type="dxa"/>
              <w:left w:w="0" w:type="dxa"/>
              <w:bottom w:w="0" w:type="dxa"/>
              <w:right w:w="0" w:type="dxa"/>
            </w:tcMar>
            <w:vAlign w:val="bottom"/>
          </w:tcPr>
          <w:p w14:paraId="36D9D442" w14:textId="7552AD52"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2,280</w:t>
            </w:r>
          </w:p>
        </w:tc>
        <w:tc>
          <w:tcPr>
            <w:tcW w:w="77" w:type="pct"/>
            <w:tcBorders>
              <w:top w:val="nil"/>
              <w:left w:val="nil"/>
              <w:bottom w:val="nil"/>
              <w:right w:val="nil"/>
            </w:tcBorders>
            <w:tcMar>
              <w:top w:w="0" w:type="dxa"/>
              <w:left w:w="0" w:type="dxa"/>
              <w:bottom w:w="0" w:type="dxa"/>
              <w:right w:w="0" w:type="dxa"/>
            </w:tcMar>
            <w:vAlign w:val="center"/>
          </w:tcPr>
          <w:p w14:paraId="5DB0AB30" w14:textId="77777777" w:rsidR="006C496A" w:rsidRPr="00F00A63" w:rsidRDefault="006C496A" w:rsidP="006C496A">
            <w:pPr>
              <w:spacing w:after="0" w:line="276" w:lineRule="auto"/>
              <w:jc w:val="right"/>
              <w:rPr>
                <w:rFonts w:ascii="Arial" w:eastAsia="Times New Roman" w:hAnsi="Arial" w:cs="Arial"/>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5DA427A7" w14:textId="7863223A"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183</w:t>
            </w:r>
          </w:p>
        </w:tc>
        <w:tc>
          <w:tcPr>
            <w:tcW w:w="617" w:type="pct"/>
            <w:tcBorders>
              <w:top w:val="nil"/>
              <w:left w:val="nil"/>
              <w:bottom w:val="nil"/>
              <w:right w:val="nil"/>
            </w:tcBorders>
            <w:tcMar>
              <w:top w:w="0" w:type="dxa"/>
              <w:left w:w="0" w:type="dxa"/>
              <w:bottom w:w="0" w:type="dxa"/>
              <w:right w:w="0" w:type="dxa"/>
            </w:tcMar>
            <w:vAlign w:val="bottom"/>
          </w:tcPr>
          <w:p w14:paraId="7D921BFD" w14:textId="3C7C41A1"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46</w:t>
            </w:r>
          </w:p>
        </w:tc>
        <w:tc>
          <w:tcPr>
            <w:tcW w:w="463" w:type="pct"/>
            <w:tcBorders>
              <w:top w:val="nil"/>
              <w:left w:val="nil"/>
              <w:bottom w:val="nil"/>
              <w:right w:val="nil"/>
            </w:tcBorders>
            <w:tcMar>
              <w:top w:w="0" w:type="dxa"/>
              <w:left w:w="0" w:type="dxa"/>
              <w:bottom w:w="0" w:type="dxa"/>
              <w:right w:w="0" w:type="dxa"/>
            </w:tcMar>
            <w:vAlign w:val="bottom"/>
          </w:tcPr>
          <w:p w14:paraId="6948AF72" w14:textId="2E63D55A"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84</w:t>
            </w:r>
          </w:p>
        </w:tc>
        <w:tc>
          <w:tcPr>
            <w:tcW w:w="462" w:type="pct"/>
            <w:tcBorders>
              <w:top w:val="nil"/>
              <w:left w:val="nil"/>
              <w:bottom w:val="nil"/>
              <w:right w:val="nil"/>
            </w:tcBorders>
            <w:vAlign w:val="bottom"/>
          </w:tcPr>
          <w:p w14:paraId="44596319" w14:textId="70B31B60" w:rsidR="006C496A" w:rsidRPr="006F301C" w:rsidRDefault="006C496A" w:rsidP="006C496A">
            <w:pPr>
              <w:spacing w:after="0" w:line="276" w:lineRule="auto"/>
              <w:jc w:val="right"/>
              <w:rPr>
                <w:rFonts w:ascii="Arial" w:hAnsi="Arial" w:cs="Arial"/>
                <w:sz w:val="16"/>
                <w:szCs w:val="16"/>
              </w:rPr>
            </w:pPr>
            <w:r>
              <w:rPr>
                <w:rFonts w:ascii="Arial" w:hAnsi="Arial" w:cs="Arial"/>
                <w:sz w:val="16"/>
                <w:szCs w:val="16"/>
              </w:rPr>
              <w:t>11</w:t>
            </w:r>
          </w:p>
        </w:tc>
        <w:tc>
          <w:tcPr>
            <w:tcW w:w="77" w:type="pct"/>
            <w:tcBorders>
              <w:top w:val="nil"/>
              <w:left w:val="nil"/>
              <w:bottom w:val="nil"/>
              <w:right w:val="nil"/>
            </w:tcBorders>
            <w:tcMar>
              <w:top w:w="0" w:type="dxa"/>
              <w:left w:w="0" w:type="dxa"/>
              <w:bottom w:w="0" w:type="dxa"/>
              <w:right w:w="0" w:type="dxa"/>
            </w:tcMar>
            <w:vAlign w:val="center"/>
          </w:tcPr>
          <w:p w14:paraId="247F900B" w14:textId="3260BDAD" w:rsidR="006C496A" w:rsidRPr="00F00A63" w:rsidRDefault="006C496A" w:rsidP="006C496A">
            <w:pPr>
              <w:spacing w:after="0" w:line="276" w:lineRule="auto"/>
              <w:jc w:val="right"/>
              <w:rPr>
                <w:rFonts w:ascii="Arial" w:eastAsia="Times New Roman" w:hAnsi="Arial" w:cs="Arial"/>
                <w:sz w:val="16"/>
                <w:szCs w:val="16"/>
                <w:lang w:eastAsia="en-AU"/>
              </w:rPr>
            </w:pPr>
          </w:p>
        </w:tc>
        <w:tc>
          <w:tcPr>
            <w:tcW w:w="468" w:type="pct"/>
            <w:tcBorders>
              <w:top w:val="nil"/>
              <w:left w:val="nil"/>
              <w:bottom w:val="nil"/>
              <w:right w:val="nil"/>
            </w:tcBorders>
            <w:vAlign w:val="bottom"/>
          </w:tcPr>
          <w:p w14:paraId="4CC5B17D" w14:textId="4B990B46" w:rsidR="006C496A" w:rsidRPr="00B05834" w:rsidRDefault="006C496A" w:rsidP="006C496A">
            <w:pPr>
              <w:spacing w:after="0" w:line="276" w:lineRule="auto"/>
              <w:jc w:val="right"/>
              <w:rPr>
                <w:rFonts w:ascii="Arial" w:hAnsi="Arial" w:cs="Arial"/>
                <w:sz w:val="16"/>
                <w:szCs w:val="16"/>
              </w:rPr>
            </w:pPr>
            <w:r>
              <w:rPr>
                <w:rFonts w:ascii="Arial" w:hAnsi="Arial" w:cs="Arial"/>
                <w:sz w:val="16"/>
                <w:szCs w:val="16"/>
              </w:rPr>
              <w:t>4,903</w:t>
            </w:r>
          </w:p>
        </w:tc>
        <w:tc>
          <w:tcPr>
            <w:tcW w:w="76" w:type="pct"/>
            <w:tcBorders>
              <w:top w:val="nil"/>
              <w:left w:val="nil"/>
              <w:bottom w:val="nil"/>
              <w:right w:val="nil"/>
            </w:tcBorders>
            <w:tcMar>
              <w:top w:w="0" w:type="dxa"/>
              <w:left w:w="0" w:type="dxa"/>
              <w:bottom w:w="0" w:type="dxa"/>
              <w:right w:w="0" w:type="dxa"/>
            </w:tcMar>
            <w:vAlign w:val="bottom"/>
          </w:tcPr>
          <w:p w14:paraId="5736EACA" w14:textId="77777777" w:rsidR="006C496A" w:rsidRPr="00F00A63" w:rsidRDefault="006C496A" w:rsidP="006C496A">
            <w:pPr>
              <w:spacing w:after="0" w:line="276" w:lineRule="auto"/>
              <w:jc w:val="right"/>
              <w:rPr>
                <w:rFonts w:ascii="Arial" w:eastAsia="Times New Roman" w:hAnsi="Arial" w:cs="Arial"/>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70DA342D" w14:textId="42FA6C3F" w:rsidR="006C496A" w:rsidRPr="00B05834" w:rsidRDefault="006C496A" w:rsidP="006C496A">
            <w:pPr>
              <w:spacing w:after="0" w:line="276" w:lineRule="auto"/>
              <w:jc w:val="right"/>
              <w:rPr>
                <w:rFonts w:ascii="Arial" w:hAnsi="Arial" w:cs="Arial"/>
                <w:sz w:val="16"/>
                <w:szCs w:val="16"/>
              </w:rPr>
            </w:pPr>
            <w:r>
              <w:rPr>
                <w:rFonts w:ascii="Arial" w:hAnsi="Arial" w:cs="Arial"/>
                <w:sz w:val="16"/>
                <w:szCs w:val="16"/>
              </w:rPr>
              <w:t>35.5</w:t>
            </w:r>
          </w:p>
        </w:tc>
      </w:tr>
      <w:tr w:rsidR="006C496A" w:rsidRPr="00617599" w14:paraId="63DF0392"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5DBD5E0A" w14:textId="722760CD" w:rsidR="006C496A" w:rsidRPr="00617599" w:rsidRDefault="00116F21" w:rsidP="006C496A">
            <w:pPr>
              <w:spacing w:after="0" w:line="276" w:lineRule="auto"/>
              <w:rPr>
                <w:rFonts w:ascii="Arial" w:eastAsia="Times New Roman" w:hAnsi="Arial" w:cs="Arial"/>
                <w:sz w:val="16"/>
                <w:szCs w:val="16"/>
                <w:lang w:eastAsia="en-AU"/>
              </w:rPr>
            </w:pPr>
            <w:r>
              <w:rPr>
                <w:rFonts w:ascii="Arial" w:hAnsi="Arial" w:cs="Arial"/>
                <w:color w:val="000000"/>
                <w:sz w:val="16"/>
                <w:szCs w:val="16"/>
              </w:rPr>
              <w:t>Māori</w:t>
            </w:r>
          </w:p>
        </w:tc>
        <w:tc>
          <w:tcPr>
            <w:tcW w:w="540" w:type="pct"/>
            <w:tcBorders>
              <w:top w:val="nil"/>
              <w:left w:val="nil"/>
              <w:bottom w:val="nil"/>
              <w:right w:val="nil"/>
            </w:tcBorders>
            <w:tcMar>
              <w:top w:w="0" w:type="dxa"/>
              <w:left w:w="0" w:type="dxa"/>
              <w:bottom w:w="0" w:type="dxa"/>
              <w:right w:w="0" w:type="dxa"/>
            </w:tcMar>
            <w:vAlign w:val="bottom"/>
          </w:tcPr>
          <w:p w14:paraId="44CD8CF5" w14:textId="6DA1EA30"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189</w:t>
            </w:r>
          </w:p>
        </w:tc>
        <w:tc>
          <w:tcPr>
            <w:tcW w:w="463" w:type="pct"/>
            <w:tcBorders>
              <w:top w:val="nil"/>
              <w:left w:val="nil"/>
              <w:bottom w:val="nil"/>
              <w:right w:val="nil"/>
            </w:tcBorders>
            <w:tcMar>
              <w:top w:w="0" w:type="dxa"/>
              <w:left w:w="0" w:type="dxa"/>
              <w:bottom w:w="0" w:type="dxa"/>
              <w:right w:w="0" w:type="dxa"/>
            </w:tcMar>
            <w:vAlign w:val="bottom"/>
          </w:tcPr>
          <w:p w14:paraId="1CA57F5A" w14:textId="24FFE830"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165</w:t>
            </w:r>
          </w:p>
        </w:tc>
        <w:tc>
          <w:tcPr>
            <w:tcW w:w="77" w:type="pct"/>
            <w:tcBorders>
              <w:top w:val="nil"/>
              <w:left w:val="nil"/>
              <w:bottom w:val="nil"/>
              <w:right w:val="nil"/>
            </w:tcBorders>
            <w:tcMar>
              <w:top w:w="0" w:type="dxa"/>
              <w:left w:w="0" w:type="dxa"/>
              <w:bottom w:w="0" w:type="dxa"/>
              <w:right w:w="0" w:type="dxa"/>
            </w:tcMar>
            <w:vAlign w:val="bottom"/>
          </w:tcPr>
          <w:p w14:paraId="14136C33" w14:textId="77777777" w:rsidR="006C496A" w:rsidRPr="00F00A63" w:rsidRDefault="006C496A" w:rsidP="006C496A">
            <w:pPr>
              <w:spacing w:after="0" w:line="276" w:lineRule="auto"/>
              <w:jc w:val="right"/>
              <w:rPr>
                <w:rFonts w:ascii="Arial" w:eastAsia="Times New Roman" w:hAnsi="Arial" w:cs="Arial"/>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482AA576" w14:textId="653155EF"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16</w:t>
            </w:r>
          </w:p>
        </w:tc>
        <w:tc>
          <w:tcPr>
            <w:tcW w:w="617" w:type="pct"/>
            <w:tcBorders>
              <w:top w:val="nil"/>
              <w:left w:val="nil"/>
              <w:bottom w:val="nil"/>
              <w:right w:val="nil"/>
            </w:tcBorders>
            <w:tcMar>
              <w:top w:w="0" w:type="dxa"/>
              <w:left w:w="0" w:type="dxa"/>
              <w:bottom w:w="0" w:type="dxa"/>
              <w:right w:w="0" w:type="dxa"/>
            </w:tcMar>
            <w:vAlign w:val="bottom"/>
          </w:tcPr>
          <w:p w14:paraId="271A7DE7" w14:textId="0435B4C3"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1</w:t>
            </w:r>
          </w:p>
        </w:tc>
        <w:tc>
          <w:tcPr>
            <w:tcW w:w="463" w:type="pct"/>
            <w:tcBorders>
              <w:top w:val="nil"/>
              <w:left w:val="nil"/>
              <w:bottom w:val="nil"/>
              <w:right w:val="nil"/>
            </w:tcBorders>
            <w:tcMar>
              <w:top w:w="0" w:type="dxa"/>
              <w:left w:w="0" w:type="dxa"/>
              <w:bottom w:w="0" w:type="dxa"/>
              <w:right w:w="0" w:type="dxa"/>
            </w:tcMar>
            <w:vAlign w:val="bottom"/>
          </w:tcPr>
          <w:p w14:paraId="3E5CDF2F" w14:textId="74C2CA11"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10</w:t>
            </w:r>
          </w:p>
        </w:tc>
        <w:tc>
          <w:tcPr>
            <w:tcW w:w="462" w:type="pct"/>
            <w:tcBorders>
              <w:top w:val="nil"/>
              <w:left w:val="nil"/>
              <w:bottom w:val="nil"/>
              <w:right w:val="nil"/>
            </w:tcBorders>
            <w:vAlign w:val="bottom"/>
          </w:tcPr>
          <w:p w14:paraId="6D9CB06D" w14:textId="5E10BFF2" w:rsidR="006C496A" w:rsidRPr="006F301C" w:rsidRDefault="006C496A" w:rsidP="006C496A">
            <w:pPr>
              <w:spacing w:after="0" w:line="276" w:lineRule="auto"/>
              <w:jc w:val="right"/>
              <w:rPr>
                <w:rFonts w:ascii="Arial" w:hAnsi="Arial" w:cs="Arial"/>
                <w:sz w:val="16"/>
                <w:szCs w:val="16"/>
              </w:rPr>
            </w:pPr>
            <w:r>
              <w:rPr>
                <w:rFonts w:ascii="Arial" w:hAnsi="Arial" w:cs="Arial"/>
                <w:sz w:val="16"/>
                <w:szCs w:val="16"/>
              </w:rPr>
              <w:t>1</w:t>
            </w:r>
          </w:p>
        </w:tc>
        <w:tc>
          <w:tcPr>
            <w:tcW w:w="77" w:type="pct"/>
            <w:tcBorders>
              <w:top w:val="nil"/>
              <w:left w:val="nil"/>
              <w:bottom w:val="nil"/>
              <w:right w:val="nil"/>
            </w:tcBorders>
            <w:tcMar>
              <w:top w:w="0" w:type="dxa"/>
              <w:left w:w="0" w:type="dxa"/>
              <w:bottom w:w="0" w:type="dxa"/>
              <w:right w:w="0" w:type="dxa"/>
            </w:tcMar>
            <w:vAlign w:val="bottom"/>
          </w:tcPr>
          <w:p w14:paraId="0BEAE6DE" w14:textId="343B9A56" w:rsidR="006C496A" w:rsidRPr="00F00A63" w:rsidRDefault="006C496A" w:rsidP="006C496A">
            <w:pPr>
              <w:spacing w:after="0" w:line="276" w:lineRule="auto"/>
              <w:jc w:val="right"/>
              <w:rPr>
                <w:rFonts w:ascii="Arial" w:eastAsia="Times New Roman" w:hAnsi="Arial" w:cs="Arial"/>
                <w:sz w:val="16"/>
                <w:szCs w:val="16"/>
                <w:lang w:eastAsia="en-AU"/>
              </w:rPr>
            </w:pPr>
          </w:p>
        </w:tc>
        <w:tc>
          <w:tcPr>
            <w:tcW w:w="468" w:type="pct"/>
            <w:tcBorders>
              <w:top w:val="nil"/>
              <w:left w:val="nil"/>
              <w:bottom w:val="nil"/>
              <w:right w:val="nil"/>
            </w:tcBorders>
            <w:vAlign w:val="bottom"/>
          </w:tcPr>
          <w:p w14:paraId="4DA78F7D" w14:textId="7825F6D4" w:rsidR="006C496A" w:rsidRPr="00B05834" w:rsidRDefault="006C496A" w:rsidP="006C496A">
            <w:pPr>
              <w:spacing w:after="0" w:line="276" w:lineRule="auto"/>
              <w:jc w:val="right"/>
              <w:rPr>
                <w:rFonts w:ascii="Arial" w:hAnsi="Arial" w:cs="Arial"/>
                <w:sz w:val="16"/>
                <w:szCs w:val="16"/>
              </w:rPr>
            </w:pPr>
            <w:r>
              <w:rPr>
                <w:rFonts w:ascii="Arial" w:hAnsi="Arial" w:cs="Arial"/>
                <w:sz w:val="16"/>
                <w:szCs w:val="16"/>
              </w:rPr>
              <w:t>382</w:t>
            </w:r>
          </w:p>
        </w:tc>
        <w:tc>
          <w:tcPr>
            <w:tcW w:w="76" w:type="pct"/>
            <w:tcBorders>
              <w:top w:val="nil"/>
              <w:left w:val="nil"/>
              <w:bottom w:val="nil"/>
              <w:right w:val="nil"/>
            </w:tcBorders>
            <w:tcMar>
              <w:top w:w="0" w:type="dxa"/>
              <w:left w:w="0" w:type="dxa"/>
              <w:bottom w:w="0" w:type="dxa"/>
              <w:right w:w="0" w:type="dxa"/>
            </w:tcMar>
            <w:vAlign w:val="bottom"/>
          </w:tcPr>
          <w:p w14:paraId="30389B22" w14:textId="77777777" w:rsidR="006C496A" w:rsidRPr="0092203C" w:rsidRDefault="006C496A" w:rsidP="006C496A">
            <w:pPr>
              <w:spacing w:after="0" w:line="276" w:lineRule="auto"/>
              <w:jc w:val="right"/>
              <w:rPr>
                <w:rFonts w:ascii="Arial" w:eastAsia="Times New Roman" w:hAnsi="Arial" w:cs="Arial"/>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06A43056" w14:textId="4D2E0407" w:rsidR="006C496A" w:rsidRPr="00B05834" w:rsidRDefault="006C496A" w:rsidP="006C496A">
            <w:pPr>
              <w:spacing w:after="0" w:line="276" w:lineRule="auto"/>
              <w:jc w:val="right"/>
              <w:rPr>
                <w:rFonts w:ascii="Arial" w:hAnsi="Arial" w:cs="Arial"/>
                <w:sz w:val="16"/>
                <w:szCs w:val="16"/>
              </w:rPr>
            </w:pPr>
            <w:r>
              <w:rPr>
                <w:rFonts w:ascii="Arial" w:hAnsi="Arial" w:cs="Arial"/>
                <w:sz w:val="16"/>
                <w:szCs w:val="16"/>
              </w:rPr>
              <w:t>34.4</w:t>
            </w:r>
          </w:p>
        </w:tc>
      </w:tr>
      <w:tr w:rsidR="006C496A" w:rsidRPr="00617599" w14:paraId="761FE351"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7D98D7F2" w14:textId="615FD285" w:rsidR="006C496A" w:rsidRPr="00617599" w:rsidRDefault="006C496A" w:rsidP="006C496A">
            <w:pPr>
              <w:spacing w:after="0" w:line="276" w:lineRule="auto"/>
              <w:rPr>
                <w:rFonts w:ascii="Arial" w:eastAsia="Times New Roman" w:hAnsi="Arial" w:cs="Arial"/>
                <w:i/>
                <w:sz w:val="16"/>
                <w:szCs w:val="16"/>
                <w:lang w:eastAsia="en-AU"/>
              </w:rPr>
            </w:pPr>
            <w:r w:rsidRPr="00F50268">
              <w:rPr>
                <w:rFonts w:ascii="Arial" w:hAnsi="Arial" w:cs="Arial"/>
                <w:color w:val="000000"/>
                <w:sz w:val="16"/>
                <w:szCs w:val="16"/>
              </w:rPr>
              <w:t>Pacific Peoples</w:t>
            </w:r>
          </w:p>
        </w:tc>
        <w:tc>
          <w:tcPr>
            <w:tcW w:w="540" w:type="pct"/>
            <w:tcBorders>
              <w:top w:val="nil"/>
              <w:left w:val="nil"/>
              <w:bottom w:val="nil"/>
              <w:right w:val="nil"/>
            </w:tcBorders>
            <w:tcMar>
              <w:top w:w="0" w:type="dxa"/>
              <w:left w:w="0" w:type="dxa"/>
              <w:bottom w:w="0" w:type="dxa"/>
              <w:right w:w="0" w:type="dxa"/>
            </w:tcMar>
            <w:vAlign w:val="bottom"/>
          </w:tcPr>
          <w:p w14:paraId="6BA14BEF" w14:textId="7CAFAE0D"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98</w:t>
            </w:r>
          </w:p>
        </w:tc>
        <w:tc>
          <w:tcPr>
            <w:tcW w:w="463" w:type="pct"/>
            <w:tcBorders>
              <w:top w:val="nil"/>
              <w:left w:val="nil"/>
              <w:bottom w:val="nil"/>
              <w:right w:val="nil"/>
            </w:tcBorders>
            <w:tcMar>
              <w:top w:w="0" w:type="dxa"/>
              <w:left w:w="0" w:type="dxa"/>
              <w:bottom w:w="0" w:type="dxa"/>
              <w:right w:w="0" w:type="dxa"/>
            </w:tcMar>
            <w:vAlign w:val="bottom"/>
          </w:tcPr>
          <w:p w14:paraId="25EAF4C1" w14:textId="109FB87D"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82</w:t>
            </w:r>
          </w:p>
        </w:tc>
        <w:tc>
          <w:tcPr>
            <w:tcW w:w="77" w:type="pct"/>
            <w:tcBorders>
              <w:top w:val="nil"/>
              <w:left w:val="nil"/>
              <w:bottom w:val="nil"/>
              <w:right w:val="nil"/>
            </w:tcBorders>
            <w:tcMar>
              <w:top w:w="0" w:type="dxa"/>
              <w:left w:w="0" w:type="dxa"/>
              <w:bottom w:w="0" w:type="dxa"/>
              <w:right w:w="0" w:type="dxa"/>
            </w:tcMar>
            <w:vAlign w:val="center"/>
          </w:tcPr>
          <w:p w14:paraId="41BC5D5D" w14:textId="77777777" w:rsidR="006C496A" w:rsidRPr="00F00A63" w:rsidRDefault="006C496A" w:rsidP="006C496A">
            <w:pPr>
              <w:spacing w:after="0" w:line="276" w:lineRule="auto"/>
              <w:jc w:val="right"/>
              <w:rPr>
                <w:rFonts w:ascii="Arial" w:eastAsia="Times New Roman" w:hAnsi="Arial" w:cs="Arial"/>
                <w:i/>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72569D09" w14:textId="6DF28FB5"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6</w:t>
            </w:r>
          </w:p>
        </w:tc>
        <w:tc>
          <w:tcPr>
            <w:tcW w:w="617" w:type="pct"/>
            <w:tcBorders>
              <w:top w:val="nil"/>
              <w:left w:val="nil"/>
              <w:bottom w:val="nil"/>
              <w:right w:val="nil"/>
            </w:tcBorders>
            <w:tcMar>
              <w:top w:w="0" w:type="dxa"/>
              <w:left w:w="0" w:type="dxa"/>
              <w:bottom w:w="0" w:type="dxa"/>
              <w:right w:w="0" w:type="dxa"/>
            </w:tcMar>
            <w:vAlign w:val="bottom"/>
          </w:tcPr>
          <w:p w14:paraId="7FD363D1" w14:textId="04501F2C"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0</w:t>
            </w:r>
          </w:p>
        </w:tc>
        <w:tc>
          <w:tcPr>
            <w:tcW w:w="463" w:type="pct"/>
            <w:tcBorders>
              <w:top w:val="nil"/>
              <w:left w:val="nil"/>
              <w:bottom w:val="nil"/>
              <w:right w:val="nil"/>
            </w:tcBorders>
            <w:tcMar>
              <w:top w:w="0" w:type="dxa"/>
              <w:left w:w="0" w:type="dxa"/>
              <w:bottom w:w="0" w:type="dxa"/>
              <w:right w:w="0" w:type="dxa"/>
            </w:tcMar>
            <w:vAlign w:val="bottom"/>
          </w:tcPr>
          <w:p w14:paraId="6BA94B60" w14:textId="761458CF"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1</w:t>
            </w:r>
          </w:p>
        </w:tc>
        <w:tc>
          <w:tcPr>
            <w:tcW w:w="462" w:type="pct"/>
            <w:tcBorders>
              <w:top w:val="nil"/>
              <w:left w:val="nil"/>
              <w:bottom w:val="nil"/>
              <w:right w:val="nil"/>
            </w:tcBorders>
            <w:vAlign w:val="bottom"/>
          </w:tcPr>
          <w:p w14:paraId="5DBAF764" w14:textId="7F475FFB" w:rsidR="006C496A" w:rsidRPr="006F301C" w:rsidRDefault="006C496A" w:rsidP="006C496A">
            <w:pPr>
              <w:spacing w:after="0" w:line="276" w:lineRule="auto"/>
              <w:jc w:val="right"/>
              <w:rPr>
                <w:rFonts w:ascii="Arial" w:hAnsi="Arial" w:cs="Arial"/>
                <w:sz w:val="16"/>
                <w:szCs w:val="16"/>
              </w:rPr>
            </w:pPr>
            <w:r>
              <w:rPr>
                <w:rFonts w:ascii="Arial" w:hAnsi="Arial" w:cs="Arial"/>
                <w:sz w:val="16"/>
                <w:szCs w:val="16"/>
              </w:rPr>
              <w:t>0</w:t>
            </w:r>
          </w:p>
        </w:tc>
        <w:tc>
          <w:tcPr>
            <w:tcW w:w="77" w:type="pct"/>
            <w:tcBorders>
              <w:top w:val="nil"/>
              <w:left w:val="nil"/>
              <w:bottom w:val="nil"/>
              <w:right w:val="nil"/>
            </w:tcBorders>
            <w:tcMar>
              <w:top w:w="0" w:type="dxa"/>
              <w:left w:w="0" w:type="dxa"/>
              <w:bottom w:w="0" w:type="dxa"/>
              <w:right w:w="0" w:type="dxa"/>
            </w:tcMar>
            <w:vAlign w:val="center"/>
          </w:tcPr>
          <w:p w14:paraId="58BD84DB" w14:textId="2F2947F9" w:rsidR="006C496A" w:rsidRPr="00F00A63" w:rsidRDefault="006C496A" w:rsidP="006C496A">
            <w:pPr>
              <w:spacing w:after="0" w:line="276" w:lineRule="auto"/>
              <w:jc w:val="right"/>
              <w:rPr>
                <w:rFonts w:ascii="Arial" w:eastAsia="Times New Roman" w:hAnsi="Arial" w:cs="Arial"/>
                <w:i/>
                <w:sz w:val="16"/>
                <w:szCs w:val="16"/>
                <w:lang w:eastAsia="en-AU"/>
              </w:rPr>
            </w:pPr>
          </w:p>
        </w:tc>
        <w:tc>
          <w:tcPr>
            <w:tcW w:w="468" w:type="pct"/>
            <w:tcBorders>
              <w:top w:val="nil"/>
              <w:left w:val="nil"/>
              <w:bottom w:val="nil"/>
              <w:right w:val="nil"/>
            </w:tcBorders>
            <w:vAlign w:val="bottom"/>
          </w:tcPr>
          <w:p w14:paraId="799E9D72" w14:textId="04B85BE4" w:rsidR="006C496A" w:rsidRPr="00B05834" w:rsidRDefault="006C496A" w:rsidP="006C496A">
            <w:pPr>
              <w:spacing w:after="0" w:line="276" w:lineRule="auto"/>
              <w:jc w:val="right"/>
              <w:rPr>
                <w:rFonts w:ascii="Arial" w:hAnsi="Arial" w:cs="Arial"/>
                <w:sz w:val="16"/>
                <w:szCs w:val="16"/>
              </w:rPr>
            </w:pPr>
            <w:r>
              <w:rPr>
                <w:rFonts w:ascii="Arial" w:hAnsi="Arial" w:cs="Arial"/>
                <w:sz w:val="16"/>
                <w:szCs w:val="16"/>
              </w:rPr>
              <w:t>187</w:t>
            </w:r>
          </w:p>
        </w:tc>
        <w:tc>
          <w:tcPr>
            <w:tcW w:w="76" w:type="pct"/>
            <w:tcBorders>
              <w:top w:val="nil"/>
              <w:left w:val="nil"/>
              <w:bottom w:val="nil"/>
              <w:right w:val="nil"/>
            </w:tcBorders>
            <w:tcMar>
              <w:top w:w="0" w:type="dxa"/>
              <w:left w:w="0" w:type="dxa"/>
              <w:bottom w:w="0" w:type="dxa"/>
              <w:right w:w="0" w:type="dxa"/>
            </w:tcMar>
            <w:vAlign w:val="center"/>
          </w:tcPr>
          <w:p w14:paraId="550B2117" w14:textId="77777777" w:rsidR="006C496A" w:rsidRPr="0092203C" w:rsidRDefault="006C496A" w:rsidP="006C496A">
            <w:pPr>
              <w:spacing w:after="0" w:line="276" w:lineRule="auto"/>
              <w:jc w:val="right"/>
              <w:rPr>
                <w:rFonts w:ascii="Arial" w:eastAsia="Times New Roman" w:hAnsi="Arial" w:cs="Arial"/>
                <w:i/>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270140CE" w14:textId="0D2A95BC" w:rsidR="006C496A" w:rsidRPr="00B05834" w:rsidRDefault="006C496A" w:rsidP="006C496A">
            <w:pPr>
              <w:spacing w:after="0" w:line="276" w:lineRule="auto"/>
              <w:jc w:val="right"/>
              <w:rPr>
                <w:rFonts w:ascii="Arial" w:hAnsi="Arial" w:cs="Arial"/>
                <w:sz w:val="16"/>
                <w:szCs w:val="16"/>
              </w:rPr>
            </w:pPr>
            <w:r>
              <w:rPr>
                <w:rFonts w:ascii="Arial" w:hAnsi="Arial" w:cs="Arial"/>
                <w:sz w:val="16"/>
                <w:szCs w:val="16"/>
              </w:rPr>
              <w:t>34.9</w:t>
            </w:r>
          </w:p>
        </w:tc>
      </w:tr>
      <w:tr w:rsidR="006C496A" w:rsidRPr="00617599" w14:paraId="3D9DC987"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40609B61" w14:textId="341C1395" w:rsidR="006C496A" w:rsidRPr="00617599" w:rsidRDefault="006C496A" w:rsidP="006C496A">
            <w:pPr>
              <w:spacing w:after="0" w:line="276" w:lineRule="auto"/>
              <w:rPr>
                <w:rFonts w:ascii="Arial" w:eastAsia="Times New Roman" w:hAnsi="Arial" w:cs="Arial"/>
                <w:i/>
                <w:sz w:val="16"/>
                <w:szCs w:val="16"/>
                <w:lang w:eastAsia="en-AU"/>
              </w:rPr>
            </w:pPr>
            <w:r w:rsidRPr="00F50268">
              <w:rPr>
                <w:rFonts w:ascii="Arial" w:hAnsi="Arial" w:cs="Arial"/>
                <w:color w:val="000000"/>
                <w:sz w:val="16"/>
                <w:szCs w:val="16"/>
              </w:rPr>
              <w:t>Asian</w:t>
            </w:r>
          </w:p>
        </w:tc>
        <w:tc>
          <w:tcPr>
            <w:tcW w:w="540" w:type="pct"/>
            <w:tcBorders>
              <w:top w:val="nil"/>
              <w:left w:val="nil"/>
              <w:bottom w:val="nil"/>
              <w:right w:val="nil"/>
            </w:tcBorders>
            <w:tcMar>
              <w:top w:w="0" w:type="dxa"/>
              <w:left w:w="0" w:type="dxa"/>
              <w:bottom w:w="0" w:type="dxa"/>
              <w:right w:w="0" w:type="dxa"/>
            </w:tcMar>
            <w:vAlign w:val="bottom"/>
          </w:tcPr>
          <w:p w14:paraId="5535A2F1" w14:textId="61E7F038"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1,006</w:t>
            </w:r>
          </w:p>
        </w:tc>
        <w:tc>
          <w:tcPr>
            <w:tcW w:w="463" w:type="pct"/>
            <w:tcBorders>
              <w:top w:val="nil"/>
              <w:left w:val="nil"/>
              <w:bottom w:val="nil"/>
              <w:right w:val="nil"/>
            </w:tcBorders>
            <w:tcMar>
              <w:top w:w="0" w:type="dxa"/>
              <w:left w:w="0" w:type="dxa"/>
              <w:bottom w:w="0" w:type="dxa"/>
              <w:right w:w="0" w:type="dxa"/>
            </w:tcMar>
            <w:vAlign w:val="bottom"/>
          </w:tcPr>
          <w:p w14:paraId="05B8D511" w14:textId="46DA3542"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948</w:t>
            </w:r>
          </w:p>
        </w:tc>
        <w:tc>
          <w:tcPr>
            <w:tcW w:w="77" w:type="pct"/>
            <w:tcBorders>
              <w:top w:val="nil"/>
              <w:left w:val="nil"/>
              <w:bottom w:val="nil"/>
              <w:right w:val="nil"/>
            </w:tcBorders>
            <w:tcMar>
              <w:top w:w="0" w:type="dxa"/>
              <w:left w:w="0" w:type="dxa"/>
              <w:bottom w:w="0" w:type="dxa"/>
              <w:right w:w="0" w:type="dxa"/>
            </w:tcMar>
            <w:vAlign w:val="center"/>
          </w:tcPr>
          <w:p w14:paraId="1ED294AA" w14:textId="77777777" w:rsidR="006C496A" w:rsidRPr="00F00A63" w:rsidRDefault="006C496A" w:rsidP="006C496A">
            <w:pPr>
              <w:spacing w:after="0" w:line="276" w:lineRule="auto"/>
              <w:jc w:val="right"/>
              <w:rPr>
                <w:rFonts w:ascii="Arial" w:eastAsia="Times New Roman" w:hAnsi="Arial" w:cs="Arial"/>
                <w:i/>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0F9E0D09" w14:textId="62A72E2C"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41</w:t>
            </w:r>
          </w:p>
        </w:tc>
        <w:tc>
          <w:tcPr>
            <w:tcW w:w="617" w:type="pct"/>
            <w:tcBorders>
              <w:top w:val="nil"/>
              <w:left w:val="nil"/>
              <w:bottom w:val="nil"/>
              <w:right w:val="nil"/>
            </w:tcBorders>
            <w:tcMar>
              <w:top w:w="0" w:type="dxa"/>
              <w:left w:w="0" w:type="dxa"/>
              <w:bottom w:w="0" w:type="dxa"/>
              <w:right w:w="0" w:type="dxa"/>
            </w:tcMar>
            <w:vAlign w:val="bottom"/>
          </w:tcPr>
          <w:p w14:paraId="3D66CC7D" w14:textId="07FF3E0B"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11</w:t>
            </w:r>
          </w:p>
        </w:tc>
        <w:tc>
          <w:tcPr>
            <w:tcW w:w="463" w:type="pct"/>
            <w:tcBorders>
              <w:top w:val="nil"/>
              <w:left w:val="nil"/>
              <w:bottom w:val="nil"/>
              <w:right w:val="nil"/>
            </w:tcBorders>
            <w:tcMar>
              <w:top w:w="0" w:type="dxa"/>
              <w:left w:w="0" w:type="dxa"/>
              <w:bottom w:w="0" w:type="dxa"/>
              <w:right w:w="0" w:type="dxa"/>
            </w:tcMar>
            <w:vAlign w:val="bottom"/>
          </w:tcPr>
          <w:p w14:paraId="2BBFB66C" w14:textId="0C204677"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12</w:t>
            </w:r>
          </w:p>
        </w:tc>
        <w:tc>
          <w:tcPr>
            <w:tcW w:w="462" w:type="pct"/>
            <w:tcBorders>
              <w:top w:val="nil"/>
              <w:left w:val="nil"/>
              <w:bottom w:val="nil"/>
              <w:right w:val="nil"/>
            </w:tcBorders>
            <w:vAlign w:val="bottom"/>
          </w:tcPr>
          <w:p w14:paraId="041FD67D" w14:textId="7FE833EB" w:rsidR="006C496A" w:rsidRPr="006F301C" w:rsidRDefault="006C496A" w:rsidP="006C496A">
            <w:pPr>
              <w:spacing w:after="0" w:line="276" w:lineRule="auto"/>
              <w:jc w:val="right"/>
              <w:rPr>
                <w:rFonts w:ascii="Arial" w:hAnsi="Arial" w:cs="Arial"/>
                <w:sz w:val="16"/>
                <w:szCs w:val="16"/>
              </w:rPr>
            </w:pPr>
            <w:r>
              <w:rPr>
                <w:rFonts w:ascii="Arial" w:hAnsi="Arial" w:cs="Arial"/>
                <w:sz w:val="16"/>
                <w:szCs w:val="16"/>
              </w:rPr>
              <w:t>2</w:t>
            </w:r>
          </w:p>
        </w:tc>
        <w:tc>
          <w:tcPr>
            <w:tcW w:w="77" w:type="pct"/>
            <w:tcBorders>
              <w:top w:val="nil"/>
              <w:left w:val="nil"/>
              <w:bottom w:val="nil"/>
              <w:right w:val="nil"/>
            </w:tcBorders>
            <w:tcMar>
              <w:top w:w="0" w:type="dxa"/>
              <w:left w:w="0" w:type="dxa"/>
              <w:bottom w:w="0" w:type="dxa"/>
              <w:right w:w="0" w:type="dxa"/>
            </w:tcMar>
            <w:vAlign w:val="center"/>
          </w:tcPr>
          <w:p w14:paraId="74C60CFF" w14:textId="68B1B2A8" w:rsidR="006C496A" w:rsidRPr="00F00A63" w:rsidRDefault="006C496A" w:rsidP="006C496A">
            <w:pPr>
              <w:spacing w:after="0" w:line="276" w:lineRule="auto"/>
              <w:jc w:val="right"/>
              <w:rPr>
                <w:rFonts w:ascii="Arial" w:eastAsia="Times New Roman" w:hAnsi="Arial" w:cs="Arial"/>
                <w:i/>
                <w:sz w:val="16"/>
                <w:szCs w:val="16"/>
                <w:lang w:eastAsia="en-AU"/>
              </w:rPr>
            </w:pPr>
          </w:p>
        </w:tc>
        <w:tc>
          <w:tcPr>
            <w:tcW w:w="468" w:type="pct"/>
            <w:tcBorders>
              <w:top w:val="nil"/>
              <w:left w:val="nil"/>
              <w:bottom w:val="nil"/>
              <w:right w:val="nil"/>
            </w:tcBorders>
            <w:vAlign w:val="bottom"/>
          </w:tcPr>
          <w:p w14:paraId="6CED8294" w14:textId="26F8A461" w:rsidR="006C496A" w:rsidRPr="00B05834" w:rsidRDefault="006C496A" w:rsidP="006C496A">
            <w:pPr>
              <w:spacing w:after="0" w:line="276" w:lineRule="auto"/>
              <w:jc w:val="right"/>
              <w:rPr>
                <w:rFonts w:ascii="Arial" w:hAnsi="Arial" w:cs="Arial"/>
                <w:sz w:val="16"/>
                <w:szCs w:val="16"/>
              </w:rPr>
            </w:pPr>
            <w:r>
              <w:rPr>
                <w:rFonts w:ascii="Arial" w:hAnsi="Arial" w:cs="Arial"/>
                <w:sz w:val="16"/>
                <w:szCs w:val="16"/>
              </w:rPr>
              <w:t>2,020</w:t>
            </w:r>
          </w:p>
        </w:tc>
        <w:tc>
          <w:tcPr>
            <w:tcW w:w="76" w:type="pct"/>
            <w:tcBorders>
              <w:top w:val="nil"/>
              <w:left w:val="nil"/>
              <w:bottom w:val="nil"/>
              <w:right w:val="nil"/>
            </w:tcBorders>
            <w:tcMar>
              <w:top w:w="0" w:type="dxa"/>
              <w:left w:w="0" w:type="dxa"/>
              <w:bottom w:w="0" w:type="dxa"/>
              <w:right w:w="0" w:type="dxa"/>
            </w:tcMar>
            <w:vAlign w:val="center"/>
          </w:tcPr>
          <w:p w14:paraId="6EB74FFD" w14:textId="77777777" w:rsidR="006C496A" w:rsidRPr="00F00A63" w:rsidRDefault="006C496A" w:rsidP="006C496A">
            <w:pPr>
              <w:spacing w:after="0" w:line="276" w:lineRule="auto"/>
              <w:jc w:val="right"/>
              <w:rPr>
                <w:rFonts w:ascii="Arial" w:eastAsia="Times New Roman" w:hAnsi="Arial" w:cs="Arial"/>
                <w:i/>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0984903A" w14:textId="7BBB7B87" w:rsidR="006C496A" w:rsidRPr="00B05834" w:rsidRDefault="006C496A" w:rsidP="006C496A">
            <w:pPr>
              <w:spacing w:after="0" w:line="276" w:lineRule="auto"/>
              <w:jc w:val="right"/>
              <w:rPr>
                <w:rFonts w:ascii="Arial" w:hAnsi="Arial" w:cs="Arial"/>
                <w:sz w:val="16"/>
                <w:szCs w:val="16"/>
              </w:rPr>
            </w:pPr>
            <w:r>
              <w:rPr>
                <w:rFonts w:ascii="Arial" w:hAnsi="Arial" w:cs="Arial"/>
                <w:sz w:val="16"/>
                <w:szCs w:val="16"/>
              </w:rPr>
              <w:t>35.5</w:t>
            </w:r>
          </w:p>
        </w:tc>
      </w:tr>
      <w:tr w:rsidR="006C496A" w:rsidRPr="00617599" w14:paraId="74D85888"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69490C51" w14:textId="3427F7BF" w:rsidR="006C496A" w:rsidRPr="00087467" w:rsidRDefault="006C496A" w:rsidP="006C496A">
            <w:pPr>
              <w:spacing w:after="0" w:line="276" w:lineRule="auto"/>
              <w:jc w:val="both"/>
              <w:rPr>
                <w:rFonts w:ascii="Arial" w:eastAsia="Times New Roman" w:hAnsi="Arial" w:cs="Arial"/>
                <w:b/>
                <w:sz w:val="16"/>
                <w:szCs w:val="16"/>
                <w:lang w:eastAsia="en-AU"/>
              </w:rPr>
            </w:pPr>
            <w:r w:rsidRPr="00F50268">
              <w:rPr>
                <w:rFonts w:ascii="Arial" w:hAnsi="Arial" w:cs="Arial"/>
                <w:color w:val="000000"/>
                <w:sz w:val="16"/>
                <w:szCs w:val="16"/>
              </w:rPr>
              <w:t>Middle Eastern/Latin American/African</w:t>
            </w:r>
          </w:p>
        </w:tc>
        <w:tc>
          <w:tcPr>
            <w:tcW w:w="540" w:type="pct"/>
            <w:tcBorders>
              <w:top w:val="nil"/>
              <w:left w:val="nil"/>
              <w:bottom w:val="nil"/>
              <w:right w:val="nil"/>
            </w:tcBorders>
            <w:tcMar>
              <w:top w:w="0" w:type="dxa"/>
              <w:left w:w="0" w:type="dxa"/>
              <w:bottom w:w="0" w:type="dxa"/>
              <w:right w:w="0" w:type="dxa"/>
            </w:tcMar>
            <w:vAlign w:val="bottom"/>
          </w:tcPr>
          <w:p w14:paraId="326A7C2F" w14:textId="1ACB88C0"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169</w:t>
            </w:r>
          </w:p>
        </w:tc>
        <w:tc>
          <w:tcPr>
            <w:tcW w:w="463" w:type="pct"/>
            <w:tcBorders>
              <w:top w:val="nil"/>
              <w:left w:val="nil"/>
              <w:bottom w:val="nil"/>
              <w:right w:val="nil"/>
            </w:tcBorders>
            <w:tcMar>
              <w:top w:w="0" w:type="dxa"/>
              <w:left w:w="0" w:type="dxa"/>
              <w:bottom w:w="0" w:type="dxa"/>
              <w:right w:w="0" w:type="dxa"/>
            </w:tcMar>
            <w:vAlign w:val="bottom"/>
          </w:tcPr>
          <w:p w14:paraId="3A2ADB1C" w14:textId="6A5D112F"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130</w:t>
            </w:r>
          </w:p>
        </w:tc>
        <w:tc>
          <w:tcPr>
            <w:tcW w:w="77" w:type="pct"/>
            <w:tcBorders>
              <w:top w:val="nil"/>
              <w:left w:val="nil"/>
              <w:bottom w:val="nil"/>
              <w:right w:val="nil"/>
            </w:tcBorders>
            <w:tcMar>
              <w:top w:w="0" w:type="dxa"/>
              <w:left w:w="0" w:type="dxa"/>
              <w:bottom w:w="0" w:type="dxa"/>
              <w:right w:w="0" w:type="dxa"/>
            </w:tcMar>
            <w:vAlign w:val="bottom"/>
          </w:tcPr>
          <w:p w14:paraId="19249851" w14:textId="77777777" w:rsidR="006C496A" w:rsidRPr="00F00A63" w:rsidRDefault="006C496A" w:rsidP="006C496A">
            <w:pPr>
              <w:spacing w:after="0" w:line="276" w:lineRule="auto"/>
              <w:jc w:val="right"/>
              <w:rPr>
                <w:rFonts w:ascii="Arial" w:eastAsia="Times New Roman" w:hAnsi="Arial" w:cs="Arial"/>
                <w:b/>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2BF4186B" w14:textId="13AD4A50"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3</w:t>
            </w:r>
          </w:p>
        </w:tc>
        <w:tc>
          <w:tcPr>
            <w:tcW w:w="617" w:type="pct"/>
            <w:tcBorders>
              <w:top w:val="nil"/>
              <w:left w:val="nil"/>
              <w:bottom w:val="nil"/>
              <w:right w:val="nil"/>
            </w:tcBorders>
            <w:tcMar>
              <w:top w:w="0" w:type="dxa"/>
              <w:left w:w="0" w:type="dxa"/>
              <w:bottom w:w="0" w:type="dxa"/>
              <w:right w:w="0" w:type="dxa"/>
            </w:tcMar>
            <w:vAlign w:val="bottom"/>
          </w:tcPr>
          <w:p w14:paraId="4E59952A" w14:textId="36D35F55"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1</w:t>
            </w:r>
          </w:p>
        </w:tc>
        <w:tc>
          <w:tcPr>
            <w:tcW w:w="463" w:type="pct"/>
            <w:tcBorders>
              <w:top w:val="nil"/>
              <w:left w:val="nil"/>
              <w:bottom w:val="nil"/>
              <w:right w:val="nil"/>
            </w:tcBorders>
            <w:tcMar>
              <w:top w:w="0" w:type="dxa"/>
              <w:left w:w="0" w:type="dxa"/>
              <w:bottom w:w="0" w:type="dxa"/>
              <w:right w:w="0" w:type="dxa"/>
            </w:tcMar>
            <w:vAlign w:val="bottom"/>
          </w:tcPr>
          <w:p w14:paraId="5DBC535C" w14:textId="35BA2897"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3</w:t>
            </w:r>
          </w:p>
        </w:tc>
        <w:tc>
          <w:tcPr>
            <w:tcW w:w="462" w:type="pct"/>
            <w:tcBorders>
              <w:top w:val="nil"/>
              <w:left w:val="nil"/>
              <w:bottom w:val="nil"/>
              <w:right w:val="nil"/>
            </w:tcBorders>
            <w:vAlign w:val="bottom"/>
          </w:tcPr>
          <w:p w14:paraId="07BFB415" w14:textId="0CE75238" w:rsidR="006C496A" w:rsidRPr="006F301C" w:rsidRDefault="006C496A" w:rsidP="006C496A">
            <w:pPr>
              <w:spacing w:after="0" w:line="276" w:lineRule="auto"/>
              <w:jc w:val="right"/>
              <w:rPr>
                <w:rFonts w:ascii="Arial" w:hAnsi="Arial" w:cs="Arial"/>
                <w:sz w:val="16"/>
                <w:szCs w:val="16"/>
              </w:rPr>
            </w:pPr>
            <w:r>
              <w:rPr>
                <w:rFonts w:ascii="Arial" w:hAnsi="Arial" w:cs="Arial"/>
                <w:sz w:val="16"/>
                <w:szCs w:val="16"/>
              </w:rPr>
              <w:t>0</w:t>
            </w:r>
          </w:p>
        </w:tc>
        <w:tc>
          <w:tcPr>
            <w:tcW w:w="77" w:type="pct"/>
            <w:tcBorders>
              <w:top w:val="nil"/>
              <w:left w:val="nil"/>
              <w:bottom w:val="nil"/>
              <w:right w:val="nil"/>
            </w:tcBorders>
            <w:tcMar>
              <w:top w:w="0" w:type="dxa"/>
              <w:left w:w="0" w:type="dxa"/>
              <w:bottom w:w="0" w:type="dxa"/>
              <w:right w:w="0" w:type="dxa"/>
            </w:tcMar>
            <w:vAlign w:val="bottom"/>
          </w:tcPr>
          <w:p w14:paraId="1CD6C7DE" w14:textId="54742BC3" w:rsidR="006C496A" w:rsidRPr="00F00A63" w:rsidRDefault="006C496A" w:rsidP="006C496A">
            <w:pPr>
              <w:spacing w:after="0" w:line="276" w:lineRule="auto"/>
              <w:jc w:val="right"/>
              <w:rPr>
                <w:rFonts w:ascii="Arial" w:eastAsia="Times New Roman" w:hAnsi="Arial" w:cs="Arial"/>
                <w:b/>
                <w:sz w:val="16"/>
                <w:szCs w:val="16"/>
                <w:lang w:eastAsia="en-AU"/>
              </w:rPr>
            </w:pPr>
          </w:p>
        </w:tc>
        <w:tc>
          <w:tcPr>
            <w:tcW w:w="468" w:type="pct"/>
            <w:tcBorders>
              <w:top w:val="nil"/>
              <w:left w:val="nil"/>
              <w:bottom w:val="nil"/>
              <w:right w:val="nil"/>
            </w:tcBorders>
            <w:vAlign w:val="bottom"/>
          </w:tcPr>
          <w:p w14:paraId="76BE4226" w14:textId="0658A19D" w:rsidR="006C496A" w:rsidRPr="00B05834" w:rsidRDefault="006C496A" w:rsidP="006C496A">
            <w:pPr>
              <w:spacing w:after="0" w:line="276" w:lineRule="auto"/>
              <w:jc w:val="right"/>
              <w:rPr>
                <w:rFonts w:ascii="Arial" w:hAnsi="Arial" w:cs="Arial"/>
                <w:sz w:val="16"/>
                <w:szCs w:val="16"/>
              </w:rPr>
            </w:pPr>
            <w:r>
              <w:rPr>
                <w:rFonts w:ascii="Arial" w:hAnsi="Arial" w:cs="Arial"/>
                <w:sz w:val="16"/>
                <w:szCs w:val="16"/>
              </w:rPr>
              <w:t>306</w:t>
            </w:r>
          </w:p>
        </w:tc>
        <w:tc>
          <w:tcPr>
            <w:tcW w:w="76" w:type="pct"/>
            <w:tcBorders>
              <w:top w:val="nil"/>
              <w:left w:val="nil"/>
              <w:bottom w:val="nil"/>
              <w:right w:val="nil"/>
            </w:tcBorders>
            <w:tcMar>
              <w:top w:w="0" w:type="dxa"/>
              <w:left w:w="0" w:type="dxa"/>
              <w:bottom w:w="0" w:type="dxa"/>
              <w:right w:w="0" w:type="dxa"/>
            </w:tcMar>
            <w:vAlign w:val="bottom"/>
          </w:tcPr>
          <w:p w14:paraId="7BFC95FA" w14:textId="77777777" w:rsidR="006C496A" w:rsidRPr="00F00A63" w:rsidRDefault="006C496A" w:rsidP="006C496A">
            <w:pPr>
              <w:spacing w:after="0" w:line="276" w:lineRule="auto"/>
              <w:jc w:val="right"/>
              <w:rPr>
                <w:rFonts w:ascii="Arial" w:eastAsia="Times New Roman" w:hAnsi="Arial" w:cs="Arial"/>
                <w:b/>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2412807F" w14:textId="3B79F2CA" w:rsidR="006C496A" w:rsidRPr="00B05834" w:rsidRDefault="006C496A" w:rsidP="006C496A">
            <w:pPr>
              <w:spacing w:after="0" w:line="276" w:lineRule="auto"/>
              <w:jc w:val="right"/>
              <w:rPr>
                <w:rFonts w:ascii="Arial" w:hAnsi="Arial" w:cs="Arial"/>
                <w:sz w:val="16"/>
                <w:szCs w:val="16"/>
              </w:rPr>
            </w:pPr>
            <w:r>
              <w:rPr>
                <w:rFonts w:ascii="Arial" w:hAnsi="Arial" w:cs="Arial"/>
                <w:sz w:val="16"/>
                <w:szCs w:val="16"/>
              </w:rPr>
              <w:t>35.6</w:t>
            </w:r>
          </w:p>
        </w:tc>
      </w:tr>
      <w:tr w:rsidR="006C496A" w:rsidRPr="00617599" w14:paraId="0E3A3654"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2AC955CA" w14:textId="7C583233" w:rsidR="006C496A" w:rsidRPr="00087467" w:rsidRDefault="006C496A" w:rsidP="006C496A">
            <w:pPr>
              <w:spacing w:after="0" w:line="276" w:lineRule="auto"/>
              <w:rPr>
                <w:rFonts w:ascii="Arial" w:eastAsia="Times New Roman" w:hAnsi="Arial" w:cs="Arial"/>
                <w:b/>
                <w:sz w:val="16"/>
                <w:szCs w:val="16"/>
                <w:lang w:eastAsia="en-AU"/>
              </w:rPr>
            </w:pPr>
            <w:r w:rsidRPr="00F50268">
              <w:rPr>
                <w:rFonts w:ascii="Arial" w:hAnsi="Arial" w:cs="Arial"/>
                <w:color w:val="000000"/>
                <w:sz w:val="16"/>
                <w:szCs w:val="16"/>
              </w:rPr>
              <w:t>Other ethnicity</w:t>
            </w:r>
          </w:p>
        </w:tc>
        <w:tc>
          <w:tcPr>
            <w:tcW w:w="540" w:type="pct"/>
            <w:tcBorders>
              <w:top w:val="nil"/>
              <w:left w:val="nil"/>
              <w:bottom w:val="nil"/>
              <w:right w:val="nil"/>
            </w:tcBorders>
            <w:tcMar>
              <w:top w:w="0" w:type="dxa"/>
              <w:left w:w="0" w:type="dxa"/>
              <w:bottom w:w="0" w:type="dxa"/>
              <w:right w:w="0" w:type="dxa"/>
            </w:tcMar>
            <w:vAlign w:val="bottom"/>
          </w:tcPr>
          <w:p w14:paraId="08ECEDF1" w14:textId="4EB2BABA"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50</w:t>
            </w:r>
          </w:p>
        </w:tc>
        <w:tc>
          <w:tcPr>
            <w:tcW w:w="463" w:type="pct"/>
            <w:tcBorders>
              <w:top w:val="nil"/>
              <w:left w:val="nil"/>
              <w:bottom w:val="nil"/>
              <w:right w:val="nil"/>
            </w:tcBorders>
            <w:tcMar>
              <w:top w:w="0" w:type="dxa"/>
              <w:left w:w="0" w:type="dxa"/>
              <w:bottom w:w="0" w:type="dxa"/>
              <w:right w:w="0" w:type="dxa"/>
            </w:tcMar>
            <w:vAlign w:val="bottom"/>
          </w:tcPr>
          <w:p w14:paraId="0470FBF0" w14:textId="0B622606"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72</w:t>
            </w:r>
          </w:p>
        </w:tc>
        <w:tc>
          <w:tcPr>
            <w:tcW w:w="77" w:type="pct"/>
            <w:tcBorders>
              <w:top w:val="nil"/>
              <w:left w:val="nil"/>
              <w:bottom w:val="nil"/>
              <w:right w:val="nil"/>
            </w:tcBorders>
            <w:tcMar>
              <w:top w:w="0" w:type="dxa"/>
              <w:left w:w="0" w:type="dxa"/>
              <w:bottom w:w="0" w:type="dxa"/>
              <w:right w:w="0" w:type="dxa"/>
            </w:tcMar>
            <w:vAlign w:val="bottom"/>
          </w:tcPr>
          <w:p w14:paraId="7D7DE14D" w14:textId="77777777" w:rsidR="006C496A" w:rsidRPr="00F00A63" w:rsidRDefault="006C496A" w:rsidP="006C496A">
            <w:pPr>
              <w:spacing w:after="0" w:line="276" w:lineRule="auto"/>
              <w:jc w:val="right"/>
              <w:rPr>
                <w:rFonts w:ascii="Arial" w:eastAsia="Times New Roman" w:hAnsi="Arial" w:cs="Arial"/>
                <w:b/>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6139533D" w14:textId="325C7263"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7</w:t>
            </w:r>
          </w:p>
        </w:tc>
        <w:tc>
          <w:tcPr>
            <w:tcW w:w="617" w:type="pct"/>
            <w:tcBorders>
              <w:top w:val="nil"/>
              <w:left w:val="nil"/>
              <w:bottom w:val="nil"/>
              <w:right w:val="nil"/>
            </w:tcBorders>
            <w:tcMar>
              <w:top w:w="0" w:type="dxa"/>
              <w:left w:w="0" w:type="dxa"/>
              <w:bottom w:w="0" w:type="dxa"/>
              <w:right w:w="0" w:type="dxa"/>
            </w:tcMar>
            <w:vAlign w:val="bottom"/>
          </w:tcPr>
          <w:p w14:paraId="6F3B2632" w14:textId="6938C267"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0</w:t>
            </w:r>
          </w:p>
        </w:tc>
        <w:tc>
          <w:tcPr>
            <w:tcW w:w="463" w:type="pct"/>
            <w:tcBorders>
              <w:top w:val="nil"/>
              <w:left w:val="nil"/>
              <w:bottom w:val="nil"/>
              <w:right w:val="nil"/>
            </w:tcBorders>
            <w:tcMar>
              <w:top w:w="0" w:type="dxa"/>
              <w:left w:w="0" w:type="dxa"/>
              <w:bottom w:w="0" w:type="dxa"/>
              <w:right w:w="0" w:type="dxa"/>
            </w:tcMar>
            <w:vAlign w:val="bottom"/>
          </w:tcPr>
          <w:p w14:paraId="4B35409A" w14:textId="6C59317D"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3</w:t>
            </w:r>
          </w:p>
        </w:tc>
        <w:tc>
          <w:tcPr>
            <w:tcW w:w="462" w:type="pct"/>
            <w:tcBorders>
              <w:top w:val="nil"/>
              <w:left w:val="nil"/>
              <w:bottom w:val="nil"/>
              <w:right w:val="nil"/>
            </w:tcBorders>
            <w:vAlign w:val="bottom"/>
          </w:tcPr>
          <w:p w14:paraId="3123C0FE" w14:textId="2CDE8AA4" w:rsidR="006C496A" w:rsidRPr="006F301C" w:rsidRDefault="006C496A" w:rsidP="006C496A">
            <w:pPr>
              <w:spacing w:after="0" w:line="276" w:lineRule="auto"/>
              <w:jc w:val="right"/>
              <w:rPr>
                <w:rFonts w:ascii="Arial" w:hAnsi="Arial" w:cs="Arial"/>
                <w:sz w:val="16"/>
                <w:szCs w:val="16"/>
              </w:rPr>
            </w:pPr>
            <w:r>
              <w:rPr>
                <w:rFonts w:ascii="Arial" w:hAnsi="Arial" w:cs="Arial"/>
                <w:sz w:val="16"/>
                <w:szCs w:val="16"/>
              </w:rPr>
              <w:t>0</w:t>
            </w:r>
          </w:p>
        </w:tc>
        <w:tc>
          <w:tcPr>
            <w:tcW w:w="77" w:type="pct"/>
            <w:tcBorders>
              <w:top w:val="nil"/>
              <w:left w:val="nil"/>
              <w:bottom w:val="nil"/>
              <w:right w:val="nil"/>
            </w:tcBorders>
            <w:tcMar>
              <w:top w:w="0" w:type="dxa"/>
              <w:left w:w="0" w:type="dxa"/>
              <w:bottom w:w="0" w:type="dxa"/>
              <w:right w:w="0" w:type="dxa"/>
            </w:tcMar>
            <w:vAlign w:val="bottom"/>
          </w:tcPr>
          <w:p w14:paraId="54FC3846" w14:textId="606C2DBE" w:rsidR="006C496A" w:rsidRPr="00F00A63" w:rsidRDefault="006C496A" w:rsidP="006C496A">
            <w:pPr>
              <w:spacing w:after="0" w:line="276" w:lineRule="auto"/>
              <w:jc w:val="right"/>
              <w:rPr>
                <w:rFonts w:ascii="Arial" w:eastAsia="Times New Roman" w:hAnsi="Arial" w:cs="Arial"/>
                <w:b/>
                <w:sz w:val="16"/>
                <w:szCs w:val="16"/>
                <w:lang w:eastAsia="en-AU"/>
              </w:rPr>
            </w:pPr>
          </w:p>
        </w:tc>
        <w:tc>
          <w:tcPr>
            <w:tcW w:w="468" w:type="pct"/>
            <w:tcBorders>
              <w:top w:val="nil"/>
              <w:left w:val="nil"/>
              <w:bottom w:val="nil"/>
              <w:right w:val="nil"/>
            </w:tcBorders>
            <w:vAlign w:val="bottom"/>
          </w:tcPr>
          <w:p w14:paraId="6B07B795" w14:textId="5EDDAAD7" w:rsidR="006C496A" w:rsidRPr="00B05834" w:rsidRDefault="006C496A" w:rsidP="006C496A">
            <w:pPr>
              <w:spacing w:after="0" w:line="276" w:lineRule="auto"/>
              <w:jc w:val="right"/>
              <w:rPr>
                <w:rFonts w:ascii="Arial" w:hAnsi="Arial" w:cs="Arial"/>
                <w:sz w:val="16"/>
                <w:szCs w:val="16"/>
              </w:rPr>
            </w:pPr>
            <w:r>
              <w:rPr>
                <w:rFonts w:ascii="Arial" w:hAnsi="Arial" w:cs="Arial"/>
                <w:sz w:val="16"/>
                <w:szCs w:val="16"/>
              </w:rPr>
              <w:t>132</w:t>
            </w:r>
          </w:p>
        </w:tc>
        <w:tc>
          <w:tcPr>
            <w:tcW w:w="76" w:type="pct"/>
            <w:tcBorders>
              <w:top w:val="nil"/>
              <w:left w:val="nil"/>
              <w:bottom w:val="nil"/>
              <w:right w:val="nil"/>
            </w:tcBorders>
            <w:tcMar>
              <w:top w:w="0" w:type="dxa"/>
              <w:left w:w="0" w:type="dxa"/>
              <w:bottom w:w="0" w:type="dxa"/>
              <w:right w:w="0" w:type="dxa"/>
            </w:tcMar>
            <w:vAlign w:val="bottom"/>
          </w:tcPr>
          <w:p w14:paraId="221ACD63" w14:textId="77777777" w:rsidR="006C496A" w:rsidRPr="00F00A63" w:rsidRDefault="006C496A" w:rsidP="006C496A">
            <w:pPr>
              <w:spacing w:after="0" w:line="276" w:lineRule="auto"/>
              <w:jc w:val="right"/>
              <w:rPr>
                <w:rFonts w:ascii="Arial" w:eastAsia="Times New Roman" w:hAnsi="Arial" w:cs="Arial"/>
                <w:b/>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794604FC" w14:textId="24FFACB4" w:rsidR="006C496A" w:rsidRPr="00B05834" w:rsidRDefault="006C496A" w:rsidP="006C496A">
            <w:pPr>
              <w:spacing w:after="0" w:line="276" w:lineRule="auto"/>
              <w:jc w:val="right"/>
              <w:rPr>
                <w:rFonts w:ascii="Arial" w:hAnsi="Arial" w:cs="Arial"/>
                <w:sz w:val="16"/>
                <w:szCs w:val="16"/>
              </w:rPr>
            </w:pPr>
            <w:r>
              <w:rPr>
                <w:rFonts w:ascii="Arial" w:hAnsi="Arial" w:cs="Arial"/>
                <w:sz w:val="16"/>
                <w:szCs w:val="16"/>
              </w:rPr>
              <w:t>35.8</w:t>
            </w:r>
          </w:p>
        </w:tc>
      </w:tr>
      <w:tr w:rsidR="006C496A" w:rsidRPr="00617599" w14:paraId="0B5DB760"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6A42F4E0" w14:textId="7791AE8B" w:rsidR="006C496A" w:rsidRPr="00087467" w:rsidRDefault="006C496A" w:rsidP="006C496A">
            <w:pPr>
              <w:spacing w:after="0" w:line="276" w:lineRule="auto"/>
              <w:rPr>
                <w:rFonts w:ascii="Arial" w:eastAsia="Times New Roman" w:hAnsi="Arial" w:cs="Arial"/>
                <w:b/>
                <w:sz w:val="16"/>
                <w:szCs w:val="16"/>
                <w:lang w:eastAsia="en-AU"/>
              </w:rPr>
            </w:pPr>
            <w:r w:rsidRPr="00F50268">
              <w:rPr>
                <w:rFonts w:ascii="Arial" w:hAnsi="Arial" w:cs="Arial"/>
                <w:color w:val="000000"/>
                <w:sz w:val="16"/>
                <w:szCs w:val="16"/>
              </w:rPr>
              <w:t>Residual categories</w:t>
            </w:r>
            <w:r w:rsidRPr="00ED412B">
              <w:rPr>
                <w:rFonts w:ascii="Arial" w:hAnsi="Arial" w:cs="Arial"/>
                <w:color w:val="000000"/>
                <w:sz w:val="16"/>
                <w:szCs w:val="16"/>
                <w:vertAlign w:val="superscript"/>
              </w:rPr>
              <w:t>(c)</w:t>
            </w:r>
          </w:p>
        </w:tc>
        <w:tc>
          <w:tcPr>
            <w:tcW w:w="540" w:type="pct"/>
            <w:tcBorders>
              <w:top w:val="nil"/>
              <w:left w:val="nil"/>
              <w:bottom w:val="nil"/>
              <w:right w:val="nil"/>
            </w:tcBorders>
            <w:tcMar>
              <w:top w:w="0" w:type="dxa"/>
              <w:left w:w="0" w:type="dxa"/>
              <w:bottom w:w="0" w:type="dxa"/>
              <w:right w:w="0" w:type="dxa"/>
            </w:tcMar>
            <w:vAlign w:val="bottom"/>
          </w:tcPr>
          <w:p w14:paraId="25B936B4" w14:textId="328BB97B"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408</w:t>
            </w:r>
          </w:p>
        </w:tc>
        <w:tc>
          <w:tcPr>
            <w:tcW w:w="463" w:type="pct"/>
            <w:tcBorders>
              <w:top w:val="nil"/>
              <w:left w:val="nil"/>
              <w:bottom w:val="nil"/>
              <w:right w:val="nil"/>
            </w:tcBorders>
            <w:tcMar>
              <w:top w:w="0" w:type="dxa"/>
              <w:left w:w="0" w:type="dxa"/>
              <w:bottom w:w="0" w:type="dxa"/>
              <w:right w:w="0" w:type="dxa"/>
            </w:tcMar>
            <w:vAlign w:val="bottom"/>
          </w:tcPr>
          <w:p w14:paraId="4D745E7F" w14:textId="79014924"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351</w:t>
            </w:r>
          </w:p>
        </w:tc>
        <w:tc>
          <w:tcPr>
            <w:tcW w:w="77" w:type="pct"/>
            <w:tcBorders>
              <w:top w:val="nil"/>
              <w:left w:val="nil"/>
              <w:bottom w:val="nil"/>
              <w:right w:val="nil"/>
            </w:tcBorders>
            <w:tcMar>
              <w:top w:w="0" w:type="dxa"/>
              <w:left w:w="0" w:type="dxa"/>
              <w:bottom w:w="0" w:type="dxa"/>
              <w:right w:w="0" w:type="dxa"/>
            </w:tcMar>
            <w:vAlign w:val="bottom"/>
          </w:tcPr>
          <w:p w14:paraId="045A1671" w14:textId="77777777" w:rsidR="006C496A" w:rsidRPr="00F00A63" w:rsidRDefault="006C496A" w:rsidP="006C496A">
            <w:pPr>
              <w:spacing w:after="0" w:line="276" w:lineRule="auto"/>
              <w:jc w:val="right"/>
              <w:rPr>
                <w:rFonts w:ascii="Arial" w:eastAsia="Times New Roman" w:hAnsi="Arial" w:cs="Arial"/>
                <w:b/>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0F1B9A89" w14:textId="225A668C"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53</w:t>
            </w:r>
          </w:p>
        </w:tc>
        <w:tc>
          <w:tcPr>
            <w:tcW w:w="617" w:type="pct"/>
            <w:tcBorders>
              <w:top w:val="nil"/>
              <w:left w:val="nil"/>
              <w:bottom w:val="nil"/>
              <w:right w:val="nil"/>
            </w:tcBorders>
            <w:tcMar>
              <w:top w:w="0" w:type="dxa"/>
              <w:left w:w="0" w:type="dxa"/>
              <w:bottom w:w="0" w:type="dxa"/>
              <w:right w:w="0" w:type="dxa"/>
            </w:tcMar>
            <w:vAlign w:val="bottom"/>
          </w:tcPr>
          <w:p w14:paraId="31043710" w14:textId="49887D59"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21</w:t>
            </w:r>
          </w:p>
        </w:tc>
        <w:tc>
          <w:tcPr>
            <w:tcW w:w="463" w:type="pct"/>
            <w:tcBorders>
              <w:top w:val="nil"/>
              <w:left w:val="nil"/>
              <w:bottom w:val="nil"/>
              <w:right w:val="nil"/>
            </w:tcBorders>
            <w:tcMar>
              <w:top w:w="0" w:type="dxa"/>
              <w:left w:w="0" w:type="dxa"/>
              <w:bottom w:w="0" w:type="dxa"/>
              <w:right w:w="0" w:type="dxa"/>
            </w:tcMar>
            <w:vAlign w:val="bottom"/>
          </w:tcPr>
          <w:p w14:paraId="09C12A9F" w14:textId="1CBC4C82" w:rsidR="006C496A" w:rsidRPr="006F301C" w:rsidRDefault="006C496A" w:rsidP="006C496A">
            <w:pPr>
              <w:spacing w:after="0" w:line="276" w:lineRule="auto"/>
              <w:jc w:val="right"/>
              <w:rPr>
                <w:rFonts w:ascii="Arial" w:hAnsi="Arial" w:cs="Arial"/>
                <w:sz w:val="16"/>
                <w:szCs w:val="16"/>
              </w:rPr>
            </w:pPr>
            <w:r>
              <w:rPr>
                <w:rFonts w:ascii="Arial" w:hAnsi="Arial" w:cs="Arial"/>
                <w:color w:val="000000"/>
                <w:sz w:val="16"/>
                <w:szCs w:val="16"/>
              </w:rPr>
              <w:t>14</w:t>
            </w:r>
          </w:p>
        </w:tc>
        <w:tc>
          <w:tcPr>
            <w:tcW w:w="462" w:type="pct"/>
            <w:tcBorders>
              <w:top w:val="nil"/>
              <w:left w:val="nil"/>
              <w:bottom w:val="nil"/>
              <w:right w:val="nil"/>
            </w:tcBorders>
            <w:vAlign w:val="bottom"/>
          </w:tcPr>
          <w:p w14:paraId="452C4B8F" w14:textId="7F69511B" w:rsidR="006C496A" w:rsidRPr="006F301C" w:rsidRDefault="006C496A" w:rsidP="006C496A">
            <w:pPr>
              <w:spacing w:after="0" w:line="276" w:lineRule="auto"/>
              <w:jc w:val="right"/>
              <w:rPr>
                <w:rFonts w:ascii="Arial" w:hAnsi="Arial" w:cs="Arial"/>
                <w:sz w:val="16"/>
                <w:szCs w:val="16"/>
              </w:rPr>
            </w:pPr>
            <w:r>
              <w:rPr>
                <w:rFonts w:ascii="Arial" w:hAnsi="Arial" w:cs="Arial"/>
                <w:sz w:val="16"/>
                <w:szCs w:val="16"/>
              </w:rPr>
              <w:t>5</w:t>
            </w:r>
          </w:p>
        </w:tc>
        <w:tc>
          <w:tcPr>
            <w:tcW w:w="77" w:type="pct"/>
            <w:tcBorders>
              <w:top w:val="nil"/>
              <w:left w:val="nil"/>
              <w:bottom w:val="nil"/>
              <w:right w:val="nil"/>
            </w:tcBorders>
            <w:tcMar>
              <w:top w:w="0" w:type="dxa"/>
              <w:left w:w="0" w:type="dxa"/>
              <w:bottom w:w="0" w:type="dxa"/>
              <w:right w:w="0" w:type="dxa"/>
            </w:tcMar>
            <w:vAlign w:val="bottom"/>
          </w:tcPr>
          <w:p w14:paraId="528CC604" w14:textId="43AFAA7D" w:rsidR="006C496A" w:rsidRPr="00F00A63" w:rsidRDefault="006C496A" w:rsidP="006C496A">
            <w:pPr>
              <w:spacing w:after="0" w:line="276" w:lineRule="auto"/>
              <w:jc w:val="right"/>
              <w:rPr>
                <w:rFonts w:ascii="Arial" w:eastAsia="Times New Roman" w:hAnsi="Arial" w:cs="Arial"/>
                <w:b/>
                <w:sz w:val="16"/>
                <w:szCs w:val="16"/>
                <w:lang w:eastAsia="en-AU"/>
              </w:rPr>
            </w:pPr>
          </w:p>
        </w:tc>
        <w:tc>
          <w:tcPr>
            <w:tcW w:w="468" w:type="pct"/>
            <w:tcBorders>
              <w:top w:val="nil"/>
              <w:left w:val="nil"/>
              <w:bottom w:val="nil"/>
              <w:right w:val="nil"/>
            </w:tcBorders>
            <w:vAlign w:val="bottom"/>
          </w:tcPr>
          <w:p w14:paraId="7D956064" w14:textId="27D2EC59" w:rsidR="006C496A" w:rsidRPr="00B05834" w:rsidRDefault="006C496A" w:rsidP="006C496A">
            <w:pPr>
              <w:spacing w:after="0" w:line="276" w:lineRule="auto"/>
              <w:jc w:val="right"/>
              <w:rPr>
                <w:rFonts w:ascii="Arial" w:hAnsi="Arial" w:cs="Arial"/>
                <w:sz w:val="16"/>
                <w:szCs w:val="16"/>
              </w:rPr>
            </w:pPr>
            <w:r>
              <w:rPr>
                <w:rFonts w:ascii="Arial" w:hAnsi="Arial" w:cs="Arial"/>
                <w:sz w:val="16"/>
                <w:szCs w:val="16"/>
              </w:rPr>
              <w:t>852</w:t>
            </w:r>
          </w:p>
        </w:tc>
        <w:tc>
          <w:tcPr>
            <w:tcW w:w="76" w:type="pct"/>
            <w:tcBorders>
              <w:top w:val="nil"/>
              <w:left w:val="nil"/>
              <w:bottom w:val="nil"/>
              <w:right w:val="nil"/>
            </w:tcBorders>
            <w:tcMar>
              <w:top w:w="0" w:type="dxa"/>
              <w:left w:w="0" w:type="dxa"/>
              <w:bottom w:w="0" w:type="dxa"/>
              <w:right w:w="0" w:type="dxa"/>
            </w:tcMar>
            <w:vAlign w:val="bottom"/>
          </w:tcPr>
          <w:p w14:paraId="669FCD78" w14:textId="77777777" w:rsidR="006C496A" w:rsidRPr="00F00A63" w:rsidRDefault="006C496A" w:rsidP="006C496A">
            <w:pPr>
              <w:spacing w:after="0" w:line="276" w:lineRule="auto"/>
              <w:jc w:val="right"/>
              <w:rPr>
                <w:rFonts w:ascii="Arial" w:eastAsia="Times New Roman" w:hAnsi="Arial" w:cs="Arial"/>
                <w:b/>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1B9A593A" w14:textId="0473FDCA" w:rsidR="006C496A" w:rsidRPr="00B05834" w:rsidRDefault="006C496A" w:rsidP="006C496A">
            <w:pPr>
              <w:spacing w:after="0" w:line="276" w:lineRule="auto"/>
              <w:jc w:val="right"/>
              <w:rPr>
                <w:rFonts w:ascii="Arial" w:hAnsi="Arial" w:cs="Arial"/>
                <w:sz w:val="16"/>
                <w:szCs w:val="16"/>
              </w:rPr>
            </w:pPr>
            <w:r>
              <w:rPr>
                <w:rFonts w:ascii="Arial" w:hAnsi="Arial" w:cs="Arial"/>
                <w:sz w:val="16"/>
                <w:szCs w:val="16"/>
              </w:rPr>
              <w:t>36.4</w:t>
            </w:r>
          </w:p>
        </w:tc>
      </w:tr>
      <w:tr w:rsidR="006C496A" w:rsidRPr="00617599" w14:paraId="3BB5A1E8"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2550A549" w14:textId="0D7D3571" w:rsidR="006C496A" w:rsidRPr="00087467" w:rsidRDefault="006C496A" w:rsidP="006C496A">
            <w:pPr>
              <w:spacing w:after="0" w:line="276" w:lineRule="auto"/>
              <w:rPr>
                <w:rFonts w:ascii="Arial" w:eastAsia="Times New Roman" w:hAnsi="Arial" w:cs="Arial"/>
                <w:b/>
                <w:sz w:val="16"/>
                <w:szCs w:val="16"/>
                <w:lang w:eastAsia="en-AU"/>
              </w:rPr>
            </w:pPr>
            <w:r w:rsidRPr="00087467">
              <w:rPr>
                <w:rFonts w:ascii="Arial" w:eastAsia="Times New Roman" w:hAnsi="Arial" w:cs="Arial"/>
                <w:b/>
                <w:sz w:val="16"/>
                <w:szCs w:val="16"/>
                <w:lang w:eastAsia="en-AU"/>
              </w:rPr>
              <w:t>Total</w:t>
            </w:r>
          </w:p>
        </w:tc>
        <w:tc>
          <w:tcPr>
            <w:tcW w:w="540" w:type="pct"/>
            <w:tcBorders>
              <w:top w:val="nil"/>
              <w:left w:val="nil"/>
              <w:bottom w:val="nil"/>
              <w:right w:val="nil"/>
            </w:tcBorders>
            <w:tcMar>
              <w:top w:w="0" w:type="dxa"/>
              <w:left w:w="0" w:type="dxa"/>
              <w:bottom w:w="0" w:type="dxa"/>
              <w:right w:w="0" w:type="dxa"/>
            </w:tcMar>
            <w:vAlign w:val="bottom"/>
          </w:tcPr>
          <w:p w14:paraId="21E198F8" w14:textId="16B46907" w:rsidR="006C496A" w:rsidRPr="006F301C" w:rsidRDefault="006C496A" w:rsidP="006C496A">
            <w:pPr>
              <w:spacing w:after="0" w:line="276" w:lineRule="auto"/>
              <w:jc w:val="right"/>
              <w:rPr>
                <w:rFonts w:ascii="Arial" w:hAnsi="Arial" w:cs="Arial"/>
                <w:b/>
                <w:bCs/>
                <w:sz w:val="16"/>
                <w:szCs w:val="16"/>
              </w:rPr>
            </w:pPr>
            <w:r>
              <w:rPr>
                <w:rFonts w:ascii="Arial" w:hAnsi="Arial" w:cs="Arial"/>
                <w:b/>
                <w:bCs/>
                <w:sz w:val="16"/>
                <w:szCs w:val="16"/>
              </w:rPr>
              <w:t>4,219</w:t>
            </w:r>
          </w:p>
        </w:tc>
        <w:tc>
          <w:tcPr>
            <w:tcW w:w="463" w:type="pct"/>
            <w:tcBorders>
              <w:top w:val="nil"/>
              <w:left w:val="nil"/>
              <w:bottom w:val="nil"/>
              <w:right w:val="nil"/>
            </w:tcBorders>
            <w:tcMar>
              <w:top w:w="0" w:type="dxa"/>
              <w:left w:w="0" w:type="dxa"/>
              <w:bottom w:w="0" w:type="dxa"/>
              <w:right w:w="0" w:type="dxa"/>
            </w:tcMar>
            <w:vAlign w:val="bottom"/>
          </w:tcPr>
          <w:p w14:paraId="66B62574" w14:textId="58108775" w:rsidR="006C496A" w:rsidRPr="006F301C" w:rsidRDefault="006C496A" w:rsidP="006C496A">
            <w:pPr>
              <w:spacing w:after="0" w:line="276" w:lineRule="auto"/>
              <w:jc w:val="right"/>
              <w:rPr>
                <w:rFonts w:ascii="Arial" w:hAnsi="Arial" w:cs="Arial"/>
                <w:b/>
                <w:bCs/>
                <w:sz w:val="16"/>
                <w:szCs w:val="16"/>
              </w:rPr>
            </w:pPr>
            <w:r>
              <w:rPr>
                <w:rFonts w:ascii="Arial" w:hAnsi="Arial" w:cs="Arial"/>
                <w:b/>
                <w:bCs/>
                <w:sz w:val="16"/>
                <w:szCs w:val="16"/>
              </w:rPr>
              <w:t>4,028</w:t>
            </w:r>
          </w:p>
        </w:tc>
        <w:tc>
          <w:tcPr>
            <w:tcW w:w="77" w:type="pct"/>
            <w:tcBorders>
              <w:top w:val="nil"/>
              <w:left w:val="nil"/>
              <w:bottom w:val="nil"/>
              <w:right w:val="nil"/>
            </w:tcBorders>
            <w:tcMar>
              <w:top w:w="0" w:type="dxa"/>
              <w:left w:w="0" w:type="dxa"/>
              <w:bottom w:w="0" w:type="dxa"/>
              <w:right w:w="0" w:type="dxa"/>
            </w:tcMar>
            <w:vAlign w:val="bottom"/>
          </w:tcPr>
          <w:p w14:paraId="74C7B84A" w14:textId="77777777" w:rsidR="006C496A" w:rsidRPr="006F301C" w:rsidRDefault="006C496A" w:rsidP="006C496A">
            <w:pPr>
              <w:spacing w:after="0" w:line="276" w:lineRule="auto"/>
              <w:jc w:val="right"/>
              <w:rPr>
                <w:rFonts w:ascii="Arial" w:eastAsia="Times New Roman" w:hAnsi="Arial" w:cs="Arial"/>
                <w:b/>
                <w:bCs/>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2CF5F754" w14:textId="05A8A12B" w:rsidR="006C496A" w:rsidRPr="006F301C" w:rsidRDefault="006C496A" w:rsidP="006C496A">
            <w:pPr>
              <w:spacing w:after="0" w:line="276" w:lineRule="auto"/>
              <w:jc w:val="right"/>
              <w:rPr>
                <w:rFonts w:ascii="Arial" w:hAnsi="Arial" w:cs="Arial"/>
                <w:b/>
                <w:bCs/>
                <w:sz w:val="16"/>
                <w:szCs w:val="16"/>
              </w:rPr>
            </w:pPr>
            <w:r>
              <w:rPr>
                <w:rFonts w:ascii="Arial" w:hAnsi="Arial" w:cs="Arial"/>
                <w:b/>
                <w:bCs/>
                <w:sz w:val="16"/>
                <w:szCs w:val="16"/>
              </w:rPr>
              <w:t>309</w:t>
            </w:r>
          </w:p>
        </w:tc>
        <w:tc>
          <w:tcPr>
            <w:tcW w:w="617" w:type="pct"/>
            <w:tcBorders>
              <w:top w:val="nil"/>
              <w:left w:val="nil"/>
              <w:bottom w:val="nil"/>
              <w:right w:val="nil"/>
            </w:tcBorders>
            <w:tcMar>
              <w:top w:w="0" w:type="dxa"/>
              <w:left w:w="0" w:type="dxa"/>
              <w:bottom w:w="0" w:type="dxa"/>
              <w:right w:w="0" w:type="dxa"/>
            </w:tcMar>
            <w:vAlign w:val="bottom"/>
          </w:tcPr>
          <w:p w14:paraId="731E2283" w14:textId="58676383" w:rsidR="006C496A" w:rsidRPr="006F301C" w:rsidRDefault="006C496A" w:rsidP="006C496A">
            <w:pPr>
              <w:spacing w:after="0" w:line="276" w:lineRule="auto"/>
              <w:jc w:val="right"/>
              <w:rPr>
                <w:rFonts w:ascii="Arial" w:hAnsi="Arial" w:cs="Arial"/>
                <w:b/>
                <w:bCs/>
                <w:sz w:val="16"/>
                <w:szCs w:val="16"/>
              </w:rPr>
            </w:pPr>
            <w:r>
              <w:rPr>
                <w:rFonts w:ascii="Arial" w:hAnsi="Arial" w:cs="Arial"/>
                <w:b/>
                <w:bCs/>
                <w:sz w:val="16"/>
                <w:szCs w:val="16"/>
              </w:rPr>
              <w:t>80</w:t>
            </w:r>
          </w:p>
        </w:tc>
        <w:tc>
          <w:tcPr>
            <w:tcW w:w="463" w:type="pct"/>
            <w:tcBorders>
              <w:top w:val="nil"/>
              <w:left w:val="nil"/>
              <w:bottom w:val="nil"/>
              <w:right w:val="nil"/>
            </w:tcBorders>
            <w:tcMar>
              <w:top w:w="0" w:type="dxa"/>
              <w:left w:w="0" w:type="dxa"/>
              <w:bottom w:w="0" w:type="dxa"/>
              <w:right w:w="0" w:type="dxa"/>
            </w:tcMar>
            <w:vAlign w:val="bottom"/>
          </w:tcPr>
          <w:p w14:paraId="661EE2FD" w14:textId="62477971" w:rsidR="006C496A" w:rsidRPr="006F301C" w:rsidRDefault="006C496A" w:rsidP="006C496A">
            <w:pPr>
              <w:spacing w:after="0" w:line="276" w:lineRule="auto"/>
              <w:jc w:val="right"/>
              <w:rPr>
                <w:rFonts w:ascii="Arial" w:hAnsi="Arial" w:cs="Arial"/>
                <w:b/>
                <w:bCs/>
                <w:sz w:val="16"/>
                <w:szCs w:val="16"/>
              </w:rPr>
            </w:pPr>
            <w:r>
              <w:rPr>
                <w:rFonts w:ascii="Arial" w:hAnsi="Arial" w:cs="Arial"/>
                <w:b/>
                <w:bCs/>
                <w:sz w:val="16"/>
                <w:szCs w:val="16"/>
              </w:rPr>
              <w:t>127</w:t>
            </w:r>
          </w:p>
        </w:tc>
        <w:tc>
          <w:tcPr>
            <w:tcW w:w="462" w:type="pct"/>
            <w:tcBorders>
              <w:top w:val="nil"/>
              <w:left w:val="nil"/>
              <w:bottom w:val="nil"/>
              <w:right w:val="nil"/>
            </w:tcBorders>
            <w:vAlign w:val="bottom"/>
          </w:tcPr>
          <w:p w14:paraId="07E6C72F" w14:textId="2ED258E0" w:rsidR="006C496A" w:rsidRPr="006F301C" w:rsidRDefault="006C496A" w:rsidP="006C496A">
            <w:pPr>
              <w:spacing w:after="0" w:line="276" w:lineRule="auto"/>
              <w:jc w:val="right"/>
              <w:rPr>
                <w:rFonts w:ascii="Arial" w:hAnsi="Arial" w:cs="Arial"/>
                <w:b/>
                <w:bCs/>
                <w:sz w:val="16"/>
                <w:szCs w:val="16"/>
              </w:rPr>
            </w:pPr>
            <w:r>
              <w:rPr>
                <w:rFonts w:ascii="Arial" w:hAnsi="Arial" w:cs="Arial"/>
                <w:b/>
                <w:bCs/>
                <w:sz w:val="16"/>
                <w:szCs w:val="16"/>
              </w:rPr>
              <w:t>19</w:t>
            </w:r>
          </w:p>
        </w:tc>
        <w:tc>
          <w:tcPr>
            <w:tcW w:w="77" w:type="pct"/>
            <w:tcBorders>
              <w:top w:val="nil"/>
              <w:left w:val="nil"/>
              <w:bottom w:val="nil"/>
              <w:right w:val="nil"/>
            </w:tcBorders>
            <w:tcMar>
              <w:top w:w="0" w:type="dxa"/>
              <w:left w:w="0" w:type="dxa"/>
              <w:bottom w:w="0" w:type="dxa"/>
              <w:right w:w="0" w:type="dxa"/>
            </w:tcMar>
            <w:vAlign w:val="bottom"/>
          </w:tcPr>
          <w:p w14:paraId="49F6F739" w14:textId="4F5B9819" w:rsidR="006C496A" w:rsidRPr="00A84E8F" w:rsidRDefault="006C496A" w:rsidP="006C496A">
            <w:pPr>
              <w:spacing w:after="0" w:line="276" w:lineRule="auto"/>
              <w:jc w:val="right"/>
              <w:rPr>
                <w:rFonts w:ascii="Arial" w:eastAsia="Times New Roman" w:hAnsi="Arial" w:cs="Arial"/>
                <w:b/>
                <w:bCs/>
                <w:sz w:val="16"/>
                <w:szCs w:val="16"/>
                <w:lang w:eastAsia="en-AU"/>
              </w:rPr>
            </w:pPr>
          </w:p>
        </w:tc>
        <w:tc>
          <w:tcPr>
            <w:tcW w:w="468" w:type="pct"/>
            <w:tcBorders>
              <w:top w:val="nil"/>
              <w:left w:val="nil"/>
              <w:bottom w:val="nil"/>
              <w:right w:val="nil"/>
            </w:tcBorders>
            <w:vAlign w:val="bottom"/>
          </w:tcPr>
          <w:p w14:paraId="22773474" w14:textId="671B2AD4" w:rsidR="006C496A" w:rsidRPr="00B05834" w:rsidRDefault="006C496A" w:rsidP="006C496A">
            <w:pPr>
              <w:spacing w:after="0" w:line="276" w:lineRule="auto"/>
              <w:jc w:val="right"/>
              <w:rPr>
                <w:rFonts w:ascii="Arial" w:hAnsi="Arial" w:cs="Arial"/>
                <w:b/>
                <w:bCs/>
                <w:sz w:val="16"/>
                <w:szCs w:val="16"/>
              </w:rPr>
            </w:pPr>
            <w:r>
              <w:rPr>
                <w:rFonts w:ascii="Arial" w:hAnsi="Arial" w:cs="Arial"/>
                <w:b/>
                <w:bCs/>
                <w:sz w:val="16"/>
                <w:szCs w:val="16"/>
              </w:rPr>
              <w:t>8,782</w:t>
            </w:r>
          </w:p>
        </w:tc>
        <w:tc>
          <w:tcPr>
            <w:tcW w:w="76" w:type="pct"/>
            <w:tcBorders>
              <w:top w:val="nil"/>
              <w:left w:val="nil"/>
              <w:bottom w:val="nil"/>
              <w:right w:val="nil"/>
            </w:tcBorders>
            <w:tcMar>
              <w:top w:w="0" w:type="dxa"/>
              <w:left w:w="0" w:type="dxa"/>
              <w:bottom w:w="0" w:type="dxa"/>
              <w:right w:w="0" w:type="dxa"/>
            </w:tcMar>
            <w:vAlign w:val="bottom"/>
          </w:tcPr>
          <w:p w14:paraId="52240B73" w14:textId="77777777" w:rsidR="006C496A" w:rsidRPr="00B05834" w:rsidRDefault="006C496A" w:rsidP="006C496A">
            <w:pPr>
              <w:spacing w:after="0" w:line="276" w:lineRule="auto"/>
              <w:jc w:val="right"/>
              <w:rPr>
                <w:rFonts w:ascii="Arial" w:eastAsia="Times New Roman" w:hAnsi="Arial" w:cs="Arial"/>
                <w:b/>
                <w:bCs/>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4BD8154A" w14:textId="40ADACFD" w:rsidR="006C496A" w:rsidRPr="00B05834" w:rsidRDefault="006C496A" w:rsidP="006C496A">
            <w:pPr>
              <w:spacing w:after="0" w:line="276" w:lineRule="auto"/>
              <w:jc w:val="right"/>
              <w:rPr>
                <w:rFonts w:ascii="Arial" w:hAnsi="Arial" w:cs="Arial"/>
                <w:b/>
                <w:bCs/>
                <w:sz w:val="16"/>
                <w:szCs w:val="16"/>
              </w:rPr>
            </w:pPr>
            <w:r>
              <w:rPr>
                <w:rFonts w:ascii="Arial" w:hAnsi="Arial" w:cs="Arial"/>
                <w:b/>
                <w:bCs/>
                <w:sz w:val="16"/>
                <w:szCs w:val="16"/>
              </w:rPr>
              <w:t>35.5</w:t>
            </w:r>
          </w:p>
        </w:tc>
      </w:tr>
      <w:tr w:rsidR="00792E8E" w:rsidRPr="00617599" w14:paraId="2569E483" w14:textId="77777777" w:rsidTr="000D75B4">
        <w:trPr>
          <w:trHeight w:val="227"/>
          <w:tblCellSpacing w:w="0" w:type="dxa"/>
        </w:trPr>
        <w:tc>
          <w:tcPr>
            <w:tcW w:w="77" w:type="pct"/>
            <w:tcBorders>
              <w:top w:val="nil"/>
              <w:left w:val="nil"/>
              <w:bottom w:val="nil"/>
              <w:right w:val="nil"/>
            </w:tcBorders>
          </w:tcPr>
          <w:p w14:paraId="6E9F0C62" w14:textId="77777777" w:rsidR="00792E8E" w:rsidRPr="00990F49" w:rsidRDefault="00792E8E" w:rsidP="00C03A13">
            <w:pPr>
              <w:spacing w:after="0" w:line="276" w:lineRule="auto"/>
              <w:jc w:val="center"/>
              <w:rPr>
                <w:rFonts w:ascii="Arial" w:eastAsia="Times New Roman" w:hAnsi="Arial" w:cs="Arial"/>
                <w:b/>
                <w:bCs/>
                <w:sz w:val="16"/>
                <w:szCs w:val="16"/>
                <w:lang w:eastAsia="en-AU"/>
              </w:rPr>
            </w:pPr>
          </w:p>
        </w:tc>
        <w:tc>
          <w:tcPr>
            <w:tcW w:w="4923" w:type="pct"/>
            <w:gridSpan w:val="12"/>
            <w:tcBorders>
              <w:top w:val="nil"/>
              <w:left w:val="nil"/>
              <w:bottom w:val="nil"/>
              <w:right w:val="nil"/>
            </w:tcBorders>
          </w:tcPr>
          <w:p w14:paraId="42111BF2" w14:textId="3B741038" w:rsidR="00792E8E" w:rsidRPr="00990F49" w:rsidRDefault="00792E8E" w:rsidP="00C03A13">
            <w:pPr>
              <w:spacing w:after="0" w:line="276" w:lineRule="auto"/>
              <w:jc w:val="center"/>
              <w:rPr>
                <w:rFonts w:ascii="Arial" w:eastAsia="Times New Roman" w:hAnsi="Arial" w:cs="Arial"/>
                <w:b/>
                <w:bCs/>
                <w:sz w:val="16"/>
                <w:szCs w:val="16"/>
                <w:lang w:eastAsia="en-AU"/>
              </w:rPr>
            </w:pPr>
            <w:r w:rsidRPr="00990F49">
              <w:rPr>
                <w:rFonts w:ascii="Arial" w:eastAsia="Times New Roman" w:hAnsi="Arial" w:cs="Arial"/>
                <w:b/>
                <w:bCs/>
                <w:sz w:val="16"/>
                <w:szCs w:val="16"/>
                <w:lang w:eastAsia="en-AU"/>
              </w:rPr>
              <w:t>%</w:t>
            </w:r>
          </w:p>
        </w:tc>
      </w:tr>
      <w:tr w:rsidR="006C496A" w:rsidRPr="00617599" w14:paraId="717DBF82"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6A704802" w14:textId="1777FB22" w:rsidR="006C496A" w:rsidRPr="00617599" w:rsidRDefault="006C496A" w:rsidP="006C496A">
            <w:pPr>
              <w:spacing w:after="0" w:line="276" w:lineRule="auto"/>
              <w:rPr>
                <w:rFonts w:ascii="Arial" w:eastAsia="Times New Roman" w:hAnsi="Arial" w:cs="Arial"/>
                <w:sz w:val="16"/>
                <w:szCs w:val="16"/>
                <w:lang w:eastAsia="en-AU"/>
              </w:rPr>
            </w:pPr>
            <w:r w:rsidRPr="00F50268">
              <w:rPr>
                <w:rFonts w:ascii="Arial" w:hAnsi="Arial" w:cs="Arial"/>
                <w:color w:val="000000"/>
                <w:sz w:val="16"/>
                <w:szCs w:val="16"/>
              </w:rPr>
              <w:t>European</w:t>
            </w:r>
          </w:p>
        </w:tc>
        <w:tc>
          <w:tcPr>
            <w:tcW w:w="540" w:type="pct"/>
            <w:tcBorders>
              <w:top w:val="nil"/>
              <w:left w:val="nil"/>
              <w:bottom w:val="nil"/>
              <w:right w:val="nil"/>
            </w:tcBorders>
            <w:tcMar>
              <w:top w:w="0" w:type="dxa"/>
              <w:left w:w="0" w:type="dxa"/>
              <w:bottom w:w="0" w:type="dxa"/>
              <w:right w:w="0" w:type="dxa"/>
            </w:tcMar>
            <w:vAlign w:val="bottom"/>
          </w:tcPr>
          <w:p w14:paraId="70876D6F" w14:textId="3A4AFAC1"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54.5</w:t>
            </w:r>
          </w:p>
        </w:tc>
        <w:tc>
          <w:tcPr>
            <w:tcW w:w="463" w:type="pct"/>
            <w:tcBorders>
              <w:top w:val="nil"/>
              <w:left w:val="nil"/>
              <w:bottom w:val="nil"/>
              <w:right w:val="nil"/>
            </w:tcBorders>
            <w:tcMar>
              <w:top w:w="0" w:type="dxa"/>
              <w:left w:w="0" w:type="dxa"/>
              <w:bottom w:w="0" w:type="dxa"/>
              <w:right w:w="0" w:type="dxa"/>
            </w:tcMar>
            <w:vAlign w:val="bottom"/>
          </w:tcPr>
          <w:p w14:paraId="167E2D11" w14:textId="523D1B1D"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56.6</w:t>
            </w:r>
          </w:p>
        </w:tc>
        <w:tc>
          <w:tcPr>
            <w:tcW w:w="77" w:type="pct"/>
            <w:tcBorders>
              <w:top w:val="nil"/>
              <w:left w:val="nil"/>
              <w:bottom w:val="nil"/>
              <w:right w:val="nil"/>
            </w:tcBorders>
            <w:tcMar>
              <w:top w:w="0" w:type="dxa"/>
              <w:left w:w="0" w:type="dxa"/>
              <w:bottom w:w="0" w:type="dxa"/>
              <w:right w:w="0" w:type="dxa"/>
            </w:tcMar>
            <w:vAlign w:val="bottom"/>
          </w:tcPr>
          <w:p w14:paraId="0193B4D4" w14:textId="77777777" w:rsidR="006C496A" w:rsidRPr="00221F5C" w:rsidRDefault="006C496A" w:rsidP="006C496A">
            <w:pPr>
              <w:spacing w:after="0" w:line="276" w:lineRule="auto"/>
              <w:jc w:val="right"/>
              <w:rPr>
                <w:rFonts w:ascii="Arial" w:eastAsia="Times New Roman" w:hAnsi="Arial" w:cs="Arial"/>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1A8CDFB7" w14:textId="3E655CD1"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59.2</w:t>
            </w:r>
          </w:p>
        </w:tc>
        <w:tc>
          <w:tcPr>
            <w:tcW w:w="617" w:type="pct"/>
            <w:tcBorders>
              <w:top w:val="nil"/>
              <w:left w:val="nil"/>
              <w:bottom w:val="nil"/>
              <w:right w:val="nil"/>
            </w:tcBorders>
            <w:tcMar>
              <w:top w:w="0" w:type="dxa"/>
              <w:left w:w="0" w:type="dxa"/>
              <w:bottom w:w="0" w:type="dxa"/>
              <w:right w:w="0" w:type="dxa"/>
            </w:tcMar>
            <w:vAlign w:val="bottom"/>
          </w:tcPr>
          <w:p w14:paraId="296F39E3" w14:textId="7F21AB7C"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57.5</w:t>
            </w:r>
          </w:p>
        </w:tc>
        <w:tc>
          <w:tcPr>
            <w:tcW w:w="463" w:type="pct"/>
            <w:tcBorders>
              <w:top w:val="nil"/>
              <w:left w:val="nil"/>
              <w:bottom w:val="nil"/>
              <w:right w:val="nil"/>
            </w:tcBorders>
            <w:tcMar>
              <w:top w:w="0" w:type="dxa"/>
              <w:left w:w="0" w:type="dxa"/>
              <w:bottom w:w="0" w:type="dxa"/>
              <w:right w:w="0" w:type="dxa"/>
            </w:tcMar>
            <w:vAlign w:val="bottom"/>
          </w:tcPr>
          <w:p w14:paraId="2B0C869B" w14:textId="65704309"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66.1</w:t>
            </w:r>
          </w:p>
        </w:tc>
        <w:tc>
          <w:tcPr>
            <w:tcW w:w="462" w:type="pct"/>
            <w:tcBorders>
              <w:top w:val="nil"/>
              <w:left w:val="nil"/>
              <w:bottom w:val="nil"/>
              <w:right w:val="nil"/>
            </w:tcBorders>
            <w:vAlign w:val="bottom"/>
          </w:tcPr>
          <w:p w14:paraId="47A6758D" w14:textId="10752E2E"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57.9</w:t>
            </w:r>
          </w:p>
        </w:tc>
        <w:tc>
          <w:tcPr>
            <w:tcW w:w="77" w:type="pct"/>
            <w:tcBorders>
              <w:top w:val="nil"/>
              <w:left w:val="nil"/>
              <w:bottom w:val="nil"/>
              <w:right w:val="nil"/>
            </w:tcBorders>
            <w:tcMar>
              <w:top w:w="0" w:type="dxa"/>
              <w:left w:w="0" w:type="dxa"/>
              <w:bottom w:w="0" w:type="dxa"/>
              <w:right w:w="0" w:type="dxa"/>
            </w:tcMar>
            <w:vAlign w:val="bottom"/>
          </w:tcPr>
          <w:p w14:paraId="1A94AEEE" w14:textId="66AAF5D9" w:rsidR="006C496A" w:rsidRPr="00221F5C" w:rsidRDefault="006C496A" w:rsidP="006C496A">
            <w:pPr>
              <w:spacing w:after="0" w:line="276" w:lineRule="auto"/>
              <w:jc w:val="right"/>
              <w:rPr>
                <w:rFonts w:ascii="Arial" w:eastAsia="Times New Roman" w:hAnsi="Arial" w:cs="Arial"/>
                <w:sz w:val="16"/>
                <w:szCs w:val="16"/>
                <w:lang w:eastAsia="en-AU"/>
              </w:rPr>
            </w:pPr>
          </w:p>
        </w:tc>
        <w:tc>
          <w:tcPr>
            <w:tcW w:w="468" w:type="pct"/>
            <w:tcBorders>
              <w:top w:val="nil"/>
              <w:left w:val="nil"/>
              <w:bottom w:val="nil"/>
              <w:right w:val="nil"/>
            </w:tcBorders>
            <w:vAlign w:val="bottom"/>
          </w:tcPr>
          <w:p w14:paraId="5507AEA6" w14:textId="0FAD21D6"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55.8</w:t>
            </w:r>
          </w:p>
        </w:tc>
        <w:tc>
          <w:tcPr>
            <w:tcW w:w="76" w:type="pct"/>
            <w:tcBorders>
              <w:top w:val="nil"/>
              <w:left w:val="nil"/>
              <w:bottom w:val="nil"/>
              <w:right w:val="nil"/>
            </w:tcBorders>
            <w:tcMar>
              <w:top w:w="0" w:type="dxa"/>
              <w:left w:w="0" w:type="dxa"/>
              <w:bottom w:w="0" w:type="dxa"/>
              <w:right w:w="0" w:type="dxa"/>
            </w:tcMar>
            <w:vAlign w:val="bottom"/>
          </w:tcPr>
          <w:p w14:paraId="22C3F1C2" w14:textId="77777777" w:rsidR="006C496A" w:rsidRPr="00221F5C" w:rsidRDefault="006C496A" w:rsidP="006C496A">
            <w:pPr>
              <w:spacing w:after="0" w:line="276" w:lineRule="auto"/>
              <w:jc w:val="right"/>
              <w:rPr>
                <w:rFonts w:ascii="Arial" w:eastAsia="Times New Roman" w:hAnsi="Arial" w:cs="Arial"/>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521E5A5F" w14:textId="77777777"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eastAsia="Times New Roman" w:hAnsi="Arial" w:cs="Arial"/>
                <w:color w:val="000000"/>
                <w:sz w:val="16"/>
                <w:szCs w:val="16"/>
                <w:lang w:eastAsia="en-AU"/>
              </w:rPr>
              <w:t>n/a</w:t>
            </w:r>
          </w:p>
        </w:tc>
      </w:tr>
      <w:tr w:rsidR="006C496A" w:rsidRPr="00617599" w14:paraId="7EAA9BBA"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0028C5A2" w14:textId="479673E0" w:rsidR="006C496A" w:rsidRPr="00617599" w:rsidRDefault="00116F21" w:rsidP="006C496A">
            <w:pPr>
              <w:spacing w:after="0" w:line="276" w:lineRule="auto"/>
              <w:rPr>
                <w:rFonts w:ascii="Arial" w:eastAsia="Times New Roman" w:hAnsi="Arial" w:cs="Arial"/>
                <w:sz w:val="16"/>
                <w:szCs w:val="16"/>
                <w:lang w:eastAsia="en-AU"/>
              </w:rPr>
            </w:pPr>
            <w:r>
              <w:rPr>
                <w:rFonts w:ascii="Arial" w:hAnsi="Arial" w:cs="Arial"/>
                <w:color w:val="000000"/>
                <w:sz w:val="16"/>
                <w:szCs w:val="16"/>
              </w:rPr>
              <w:t>Māori</w:t>
            </w:r>
          </w:p>
        </w:tc>
        <w:tc>
          <w:tcPr>
            <w:tcW w:w="540" w:type="pct"/>
            <w:tcBorders>
              <w:top w:val="nil"/>
              <w:left w:val="nil"/>
              <w:bottom w:val="nil"/>
              <w:right w:val="nil"/>
            </w:tcBorders>
            <w:tcMar>
              <w:top w:w="0" w:type="dxa"/>
              <w:left w:w="0" w:type="dxa"/>
              <w:bottom w:w="0" w:type="dxa"/>
              <w:right w:w="0" w:type="dxa"/>
            </w:tcMar>
            <w:vAlign w:val="bottom"/>
          </w:tcPr>
          <w:p w14:paraId="37327E71" w14:textId="529E26D0"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4.5</w:t>
            </w:r>
          </w:p>
        </w:tc>
        <w:tc>
          <w:tcPr>
            <w:tcW w:w="463" w:type="pct"/>
            <w:tcBorders>
              <w:top w:val="nil"/>
              <w:left w:val="nil"/>
              <w:bottom w:val="nil"/>
              <w:right w:val="nil"/>
            </w:tcBorders>
            <w:tcMar>
              <w:top w:w="0" w:type="dxa"/>
              <w:left w:w="0" w:type="dxa"/>
              <w:bottom w:w="0" w:type="dxa"/>
              <w:right w:w="0" w:type="dxa"/>
            </w:tcMar>
            <w:vAlign w:val="bottom"/>
          </w:tcPr>
          <w:p w14:paraId="27297D6F" w14:textId="7D7C434D"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4.1</w:t>
            </w:r>
          </w:p>
        </w:tc>
        <w:tc>
          <w:tcPr>
            <w:tcW w:w="77" w:type="pct"/>
            <w:tcBorders>
              <w:top w:val="nil"/>
              <w:left w:val="nil"/>
              <w:bottom w:val="nil"/>
              <w:right w:val="nil"/>
            </w:tcBorders>
            <w:tcMar>
              <w:top w:w="0" w:type="dxa"/>
              <w:left w:w="0" w:type="dxa"/>
              <w:bottom w:w="0" w:type="dxa"/>
              <w:right w:w="0" w:type="dxa"/>
            </w:tcMar>
            <w:vAlign w:val="bottom"/>
          </w:tcPr>
          <w:p w14:paraId="7DBDDF04" w14:textId="77777777" w:rsidR="006C496A" w:rsidRPr="00221F5C" w:rsidRDefault="006C496A" w:rsidP="006C496A">
            <w:pPr>
              <w:spacing w:after="0" w:line="276" w:lineRule="auto"/>
              <w:jc w:val="right"/>
              <w:rPr>
                <w:rFonts w:ascii="Arial" w:eastAsia="Times New Roman" w:hAnsi="Arial" w:cs="Arial"/>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78219888" w14:textId="1C9F2341"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5.2</w:t>
            </w:r>
          </w:p>
        </w:tc>
        <w:tc>
          <w:tcPr>
            <w:tcW w:w="617" w:type="pct"/>
            <w:tcBorders>
              <w:top w:val="nil"/>
              <w:left w:val="nil"/>
              <w:bottom w:val="nil"/>
              <w:right w:val="nil"/>
            </w:tcBorders>
            <w:tcMar>
              <w:top w:w="0" w:type="dxa"/>
              <w:left w:w="0" w:type="dxa"/>
              <w:bottom w:w="0" w:type="dxa"/>
              <w:right w:w="0" w:type="dxa"/>
            </w:tcMar>
            <w:vAlign w:val="bottom"/>
          </w:tcPr>
          <w:p w14:paraId="3BE591D1" w14:textId="5E9514AD"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1.3</w:t>
            </w:r>
          </w:p>
        </w:tc>
        <w:tc>
          <w:tcPr>
            <w:tcW w:w="463" w:type="pct"/>
            <w:tcBorders>
              <w:top w:val="nil"/>
              <w:left w:val="nil"/>
              <w:bottom w:val="nil"/>
              <w:right w:val="nil"/>
            </w:tcBorders>
            <w:tcMar>
              <w:top w:w="0" w:type="dxa"/>
              <w:left w:w="0" w:type="dxa"/>
              <w:bottom w:w="0" w:type="dxa"/>
              <w:right w:w="0" w:type="dxa"/>
            </w:tcMar>
            <w:vAlign w:val="bottom"/>
          </w:tcPr>
          <w:p w14:paraId="7117D4DE" w14:textId="788312D5"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7.9</w:t>
            </w:r>
          </w:p>
        </w:tc>
        <w:tc>
          <w:tcPr>
            <w:tcW w:w="462" w:type="pct"/>
            <w:tcBorders>
              <w:top w:val="nil"/>
              <w:left w:val="nil"/>
              <w:bottom w:val="nil"/>
              <w:right w:val="nil"/>
            </w:tcBorders>
            <w:vAlign w:val="bottom"/>
          </w:tcPr>
          <w:p w14:paraId="71BC6EFE" w14:textId="72C3D254"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5.3</w:t>
            </w:r>
          </w:p>
        </w:tc>
        <w:tc>
          <w:tcPr>
            <w:tcW w:w="77" w:type="pct"/>
            <w:tcBorders>
              <w:top w:val="nil"/>
              <w:left w:val="nil"/>
              <w:bottom w:val="nil"/>
              <w:right w:val="nil"/>
            </w:tcBorders>
            <w:tcMar>
              <w:top w:w="0" w:type="dxa"/>
              <w:left w:w="0" w:type="dxa"/>
              <w:bottom w:w="0" w:type="dxa"/>
              <w:right w:w="0" w:type="dxa"/>
            </w:tcMar>
            <w:vAlign w:val="bottom"/>
          </w:tcPr>
          <w:p w14:paraId="3A4E2F9A" w14:textId="57F87564" w:rsidR="006C496A" w:rsidRPr="00221F5C" w:rsidRDefault="006C496A" w:rsidP="006C496A">
            <w:pPr>
              <w:spacing w:after="0" w:line="276" w:lineRule="auto"/>
              <w:jc w:val="right"/>
              <w:rPr>
                <w:rFonts w:ascii="Arial" w:eastAsia="Times New Roman" w:hAnsi="Arial" w:cs="Arial"/>
                <w:sz w:val="16"/>
                <w:szCs w:val="16"/>
                <w:lang w:eastAsia="en-AU"/>
              </w:rPr>
            </w:pPr>
          </w:p>
        </w:tc>
        <w:tc>
          <w:tcPr>
            <w:tcW w:w="468" w:type="pct"/>
            <w:tcBorders>
              <w:top w:val="nil"/>
              <w:left w:val="nil"/>
              <w:bottom w:val="nil"/>
              <w:right w:val="nil"/>
            </w:tcBorders>
            <w:vAlign w:val="bottom"/>
          </w:tcPr>
          <w:p w14:paraId="6484F099" w14:textId="60FF17B3"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4.3</w:t>
            </w:r>
          </w:p>
        </w:tc>
        <w:tc>
          <w:tcPr>
            <w:tcW w:w="76" w:type="pct"/>
            <w:tcBorders>
              <w:top w:val="nil"/>
              <w:left w:val="nil"/>
              <w:bottom w:val="nil"/>
              <w:right w:val="nil"/>
            </w:tcBorders>
            <w:tcMar>
              <w:top w:w="0" w:type="dxa"/>
              <w:left w:w="0" w:type="dxa"/>
              <w:bottom w:w="0" w:type="dxa"/>
              <w:right w:w="0" w:type="dxa"/>
            </w:tcMar>
            <w:vAlign w:val="bottom"/>
          </w:tcPr>
          <w:p w14:paraId="5B0F0CA0" w14:textId="77777777" w:rsidR="006C496A" w:rsidRPr="00221F5C" w:rsidRDefault="006C496A" w:rsidP="006C496A">
            <w:pPr>
              <w:spacing w:after="0" w:line="276" w:lineRule="auto"/>
              <w:jc w:val="right"/>
              <w:rPr>
                <w:rFonts w:ascii="Arial" w:eastAsia="Times New Roman" w:hAnsi="Arial" w:cs="Arial"/>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6B64374E" w14:textId="77777777"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eastAsia="Times New Roman" w:hAnsi="Arial" w:cs="Arial"/>
                <w:color w:val="000000"/>
                <w:sz w:val="16"/>
                <w:szCs w:val="16"/>
                <w:lang w:eastAsia="en-AU"/>
              </w:rPr>
              <w:t>n/a</w:t>
            </w:r>
          </w:p>
        </w:tc>
      </w:tr>
      <w:tr w:rsidR="006C496A" w:rsidRPr="00617599" w14:paraId="044161E3"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72251A17" w14:textId="5B4E286D" w:rsidR="006C496A" w:rsidRPr="00617599" w:rsidRDefault="006C496A" w:rsidP="006C496A">
            <w:pPr>
              <w:spacing w:after="0" w:line="276" w:lineRule="auto"/>
              <w:rPr>
                <w:rFonts w:ascii="Arial" w:eastAsia="Times New Roman" w:hAnsi="Arial" w:cs="Arial"/>
                <w:sz w:val="16"/>
                <w:szCs w:val="16"/>
                <w:lang w:eastAsia="en-AU"/>
              </w:rPr>
            </w:pPr>
            <w:r w:rsidRPr="00534934">
              <w:rPr>
                <w:rFonts w:ascii="Arial" w:hAnsi="Arial" w:cs="Arial"/>
                <w:color w:val="000000"/>
                <w:sz w:val="16"/>
                <w:szCs w:val="16"/>
              </w:rPr>
              <w:t>Pacific Peoples</w:t>
            </w:r>
          </w:p>
        </w:tc>
        <w:tc>
          <w:tcPr>
            <w:tcW w:w="540" w:type="pct"/>
            <w:tcBorders>
              <w:top w:val="nil"/>
              <w:left w:val="nil"/>
              <w:bottom w:val="nil"/>
              <w:right w:val="nil"/>
            </w:tcBorders>
            <w:tcMar>
              <w:top w:w="0" w:type="dxa"/>
              <w:left w:w="0" w:type="dxa"/>
              <w:bottom w:w="0" w:type="dxa"/>
              <w:right w:w="0" w:type="dxa"/>
            </w:tcMar>
            <w:vAlign w:val="bottom"/>
          </w:tcPr>
          <w:p w14:paraId="1466D760" w14:textId="58956C43"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2.3</w:t>
            </w:r>
          </w:p>
        </w:tc>
        <w:tc>
          <w:tcPr>
            <w:tcW w:w="463" w:type="pct"/>
            <w:tcBorders>
              <w:top w:val="nil"/>
              <w:left w:val="nil"/>
              <w:bottom w:val="nil"/>
              <w:right w:val="nil"/>
            </w:tcBorders>
            <w:tcMar>
              <w:top w:w="0" w:type="dxa"/>
              <w:left w:w="0" w:type="dxa"/>
              <w:bottom w:w="0" w:type="dxa"/>
              <w:right w:w="0" w:type="dxa"/>
            </w:tcMar>
            <w:vAlign w:val="bottom"/>
          </w:tcPr>
          <w:p w14:paraId="48612A75" w14:textId="4DBCCEAE"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2.0</w:t>
            </w:r>
          </w:p>
        </w:tc>
        <w:tc>
          <w:tcPr>
            <w:tcW w:w="77" w:type="pct"/>
            <w:tcBorders>
              <w:top w:val="nil"/>
              <w:left w:val="nil"/>
              <w:bottom w:val="nil"/>
              <w:right w:val="nil"/>
            </w:tcBorders>
            <w:tcMar>
              <w:top w:w="0" w:type="dxa"/>
              <w:left w:w="0" w:type="dxa"/>
              <w:bottom w:w="0" w:type="dxa"/>
              <w:right w:w="0" w:type="dxa"/>
            </w:tcMar>
            <w:vAlign w:val="bottom"/>
          </w:tcPr>
          <w:p w14:paraId="52A6A744" w14:textId="77777777" w:rsidR="006C496A" w:rsidRPr="00221F5C" w:rsidRDefault="006C496A" w:rsidP="006C496A">
            <w:pPr>
              <w:spacing w:after="0" w:line="276" w:lineRule="auto"/>
              <w:jc w:val="right"/>
              <w:rPr>
                <w:rFonts w:ascii="Arial" w:eastAsia="Times New Roman" w:hAnsi="Arial" w:cs="Arial"/>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5E6BB098" w14:textId="1746156D"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1.9</w:t>
            </w:r>
          </w:p>
        </w:tc>
        <w:tc>
          <w:tcPr>
            <w:tcW w:w="617" w:type="pct"/>
            <w:tcBorders>
              <w:top w:val="nil"/>
              <w:left w:val="nil"/>
              <w:bottom w:val="nil"/>
              <w:right w:val="nil"/>
            </w:tcBorders>
            <w:tcMar>
              <w:top w:w="0" w:type="dxa"/>
              <w:left w:w="0" w:type="dxa"/>
              <w:bottom w:w="0" w:type="dxa"/>
              <w:right w:w="0" w:type="dxa"/>
            </w:tcMar>
            <w:vAlign w:val="bottom"/>
          </w:tcPr>
          <w:p w14:paraId="6462AFB4" w14:textId="719C1688"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0.0</w:t>
            </w:r>
          </w:p>
        </w:tc>
        <w:tc>
          <w:tcPr>
            <w:tcW w:w="463" w:type="pct"/>
            <w:tcBorders>
              <w:top w:val="nil"/>
              <w:left w:val="nil"/>
              <w:bottom w:val="nil"/>
              <w:right w:val="nil"/>
            </w:tcBorders>
            <w:tcMar>
              <w:top w:w="0" w:type="dxa"/>
              <w:left w:w="0" w:type="dxa"/>
              <w:bottom w:w="0" w:type="dxa"/>
              <w:right w:w="0" w:type="dxa"/>
            </w:tcMar>
            <w:vAlign w:val="bottom"/>
          </w:tcPr>
          <w:p w14:paraId="38FB693A" w14:textId="4037264E"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0.8</w:t>
            </w:r>
          </w:p>
        </w:tc>
        <w:tc>
          <w:tcPr>
            <w:tcW w:w="462" w:type="pct"/>
            <w:tcBorders>
              <w:top w:val="nil"/>
              <w:left w:val="nil"/>
              <w:bottom w:val="nil"/>
              <w:right w:val="nil"/>
            </w:tcBorders>
            <w:vAlign w:val="bottom"/>
          </w:tcPr>
          <w:p w14:paraId="0A9C45DF" w14:textId="1289F6E5"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0.0</w:t>
            </w:r>
          </w:p>
        </w:tc>
        <w:tc>
          <w:tcPr>
            <w:tcW w:w="77" w:type="pct"/>
            <w:tcBorders>
              <w:top w:val="nil"/>
              <w:left w:val="nil"/>
              <w:bottom w:val="nil"/>
              <w:right w:val="nil"/>
            </w:tcBorders>
            <w:tcMar>
              <w:top w:w="0" w:type="dxa"/>
              <w:left w:w="0" w:type="dxa"/>
              <w:bottom w:w="0" w:type="dxa"/>
              <w:right w:w="0" w:type="dxa"/>
            </w:tcMar>
            <w:vAlign w:val="bottom"/>
          </w:tcPr>
          <w:p w14:paraId="2000B1EF" w14:textId="64FAF52A" w:rsidR="006C496A" w:rsidRPr="00221F5C" w:rsidRDefault="006C496A" w:rsidP="006C496A">
            <w:pPr>
              <w:spacing w:after="0" w:line="276" w:lineRule="auto"/>
              <w:jc w:val="right"/>
              <w:rPr>
                <w:rFonts w:ascii="Arial" w:eastAsia="Times New Roman" w:hAnsi="Arial" w:cs="Arial"/>
                <w:sz w:val="16"/>
                <w:szCs w:val="16"/>
                <w:lang w:eastAsia="en-AU"/>
              </w:rPr>
            </w:pPr>
          </w:p>
        </w:tc>
        <w:tc>
          <w:tcPr>
            <w:tcW w:w="468" w:type="pct"/>
            <w:tcBorders>
              <w:top w:val="nil"/>
              <w:left w:val="nil"/>
              <w:bottom w:val="nil"/>
              <w:right w:val="nil"/>
            </w:tcBorders>
            <w:vAlign w:val="bottom"/>
          </w:tcPr>
          <w:p w14:paraId="55B6EBD3" w14:textId="05F86C8F"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2.1</w:t>
            </w:r>
          </w:p>
        </w:tc>
        <w:tc>
          <w:tcPr>
            <w:tcW w:w="76" w:type="pct"/>
            <w:tcBorders>
              <w:top w:val="nil"/>
              <w:left w:val="nil"/>
              <w:bottom w:val="nil"/>
              <w:right w:val="nil"/>
            </w:tcBorders>
            <w:tcMar>
              <w:top w:w="0" w:type="dxa"/>
              <w:left w:w="0" w:type="dxa"/>
              <w:bottom w:w="0" w:type="dxa"/>
              <w:right w:w="0" w:type="dxa"/>
            </w:tcMar>
            <w:vAlign w:val="bottom"/>
          </w:tcPr>
          <w:p w14:paraId="6581DADC" w14:textId="77777777" w:rsidR="006C496A" w:rsidRPr="00221F5C" w:rsidRDefault="006C496A" w:rsidP="006C496A">
            <w:pPr>
              <w:spacing w:after="0" w:line="276" w:lineRule="auto"/>
              <w:jc w:val="right"/>
              <w:rPr>
                <w:rFonts w:ascii="Arial" w:eastAsia="Times New Roman" w:hAnsi="Arial" w:cs="Arial"/>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41B628A0" w14:textId="77777777"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eastAsia="Times New Roman" w:hAnsi="Arial" w:cs="Arial"/>
                <w:color w:val="000000"/>
                <w:sz w:val="16"/>
                <w:szCs w:val="16"/>
                <w:lang w:eastAsia="en-AU"/>
              </w:rPr>
              <w:t>n/a</w:t>
            </w:r>
          </w:p>
        </w:tc>
      </w:tr>
      <w:tr w:rsidR="006C496A" w:rsidRPr="00617599" w14:paraId="6BC8C964"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5B54FA2F" w14:textId="6071D51B" w:rsidR="006C496A" w:rsidRPr="00617599" w:rsidRDefault="006C496A" w:rsidP="006C496A">
            <w:pPr>
              <w:spacing w:after="0" w:line="276" w:lineRule="auto"/>
              <w:rPr>
                <w:rFonts w:ascii="Arial" w:eastAsia="Times New Roman" w:hAnsi="Arial" w:cs="Arial"/>
                <w:sz w:val="16"/>
                <w:szCs w:val="16"/>
                <w:lang w:eastAsia="en-AU"/>
              </w:rPr>
            </w:pPr>
            <w:r w:rsidRPr="00F50268">
              <w:rPr>
                <w:rFonts w:ascii="Arial" w:hAnsi="Arial" w:cs="Arial"/>
                <w:color w:val="000000"/>
                <w:sz w:val="16"/>
                <w:szCs w:val="16"/>
              </w:rPr>
              <w:t>Asian</w:t>
            </w:r>
          </w:p>
        </w:tc>
        <w:tc>
          <w:tcPr>
            <w:tcW w:w="540" w:type="pct"/>
            <w:tcBorders>
              <w:top w:val="nil"/>
              <w:left w:val="nil"/>
              <w:bottom w:val="nil"/>
              <w:right w:val="nil"/>
            </w:tcBorders>
            <w:tcMar>
              <w:top w:w="0" w:type="dxa"/>
              <w:left w:w="0" w:type="dxa"/>
              <w:bottom w:w="0" w:type="dxa"/>
              <w:right w:w="0" w:type="dxa"/>
            </w:tcMar>
            <w:vAlign w:val="bottom"/>
          </w:tcPr>
          <w:p w14:paraId="660ECA2B" w14:textId="5EC5DA9E"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23.8</w:t>
            </w:r>
          </w:p>
        </w:tc>
        <w:tc>
          <w:tcPr>
            <w:tcW w:w="463" w:type="pct"/>
            <w:tcBorders>
              <w:top w:val="nil"/>
              <w:left w:val="nil"/>
              <w:bottom w:val="nil"/>
              <w:right w:val="nil"/>
            </w:tcBorders>
            <w:tcMar>
              <w:top w:w="0" w:type="dxa"/>
              <w:left w:w="0" w:type="dxa"/>
              <w:bottom w:w="0" w:type="dxa"/>
              <w:right w:w="0" w:type="dxa"/>
            </w:tcMar>
            <w:vAlign w:val="bottom"/>
          </w:tcPr>
          <w:p w14:paraId="606EBF71" w14:textId="06A91413"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23.5</w:t>
            </w:r>
          </w:p>
        </w:tc>
        <w:tc>
          <w:tcPr>
            <w:tcW w:w="77" w:type="pct"/>
            <w:tcBorders>
              <w:top w:val="nil"/>
              <w:left w:val="nil"/>
              <w:bottom w:val="nil"/>
              <w:right w:val="nil"/>
            </w:tcBorders>
            <w:tcMar>
              <w:top w:w="0" w:type="dxa"/>
              <w:left w:w="0" w:type="dxa"/>
              <w:bottom w:w="0" w:type="dxa"/>
              <w:right w:w="0" w:type="dxa"/>
            </w:tcMar>
            <w:vAlign w:val="bottom"/>
          </w:tcPr>
          <w:p w14:paraId="13B33A81" w14:textId="77777777" w:rsidR="006C496A" w:rsidRPr="00221F5C" w:rsidRDefault="006C496A" w:rsidP="006C496A">
            <w:pPr>
              <w:spacing w:after="0" w:line="276" w:lineRule="auto"/>
              <w:jc w:val="right"/>
              <w:rPr>
                <w:rFonts w:ascii="Arial" w:eastAsia="Times New Roman" w:hAnsi="Arial" w:cs="Arial"/>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5DD82248" w14:textId="6ABA1529"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13.3</w:t>
            </w:r>
          </w:p>
        </w:tc>
        <w:tc>
          <w:tcPr>
            <w:tcW w:w="617" w:type="pct"/>
            <w:tcBorders>
              <w:top w:val="nil"/>
              <w:left w:val="nil"/>
              <w:bottom w:val="nil"/>
              <w:right w:val="nil"/>
            </w:tcBorders>
            <w:tcMar>
              <w:top w:w="0" w:type="dxa"/>
              <w:left w:w="0" w:type="dxa"/>
              <w:bottom w:w="0" w:type="dxa"/>
              <w:right w:w="0" w:type="dxa"/>
            </w:tcMar>
            <w:vAlign w:val="bottom"/>
          </w:tcPr>
          <w:p w14:paraId="47A7FF92" w14:textId="1C75946D"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13.8</w:t>
            </w:r>
          </w:p>
        </w:tc>
        <w:tc>
          <w:tcPr>
            <w:tcW w:w="463" w:type="pct"/>
            <w:tcBorders>
              <w:top w:val="nil"/>
              <w:left w:val="nil"/>
              <w:bottom w:val="nil"/>
              <w:right w:val="nil"/>
            </w:tcBorders>
            <w:tcMar>
              <w:top w:w="0" w:type="dxa"/>
              <w:left w:w="0" w:type="dxa"/>
              <w:bottom w:w="0" w:type="dxa"/>
              <w:right w:w="0" w:type="dxa"/>
            </w:tcMar>
            <w:vAlign w:val="bottom"/>
          </w:tcPr>
          <w:p w14:paraId="13044E99" w14:textId="59CE7DCF"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9.4</w:t>
            </w:r>
          </w:p>
        </w:tc>
        <w:tc>
          <w:tcPr>
            <w:tcW w:w="462" w:type="pct"/>
            <w:tcBorders>
              <w:top w:val="nil"/>
              <w:left w:val="nil"/>
              <w:bottom w:val="nil"/>
              <w:right w:val="nil"/>
            </w:tcBorders>
            <w:vAlign w:val="bottom"/>
          </w:tcPr>
          <w:p w14:paraId="00D54D26" w14:textId="3913902E"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10.5</w:t>
            </w:r>
          </w:p>
        </w:tc>
        <w:tc>
          <w:tcPr>
            <w:tcW w:w="77" w:type="pct"/>
            <w:tcBorders>
              <w:top w:val="nil"/>
              <w:left w:val="nil"/>
              <w:bottom w:val="nil"/>
              <w:right w:val="nil"/>
            </w:tcBorders>
            <w:tcMar>
              <w:top w:w="0" w:type="dxa"/>
              <w:left w:w="0" w:type="dxa"/>
              <w:bottom w:w="0" w:type="dxa"/>
              <w:right w:w="0" w:type="dxa"/>
            </w:tcMar>
            <w:vAlign w:val="bottom"/>
          </w:tcPr>
          <w:p w14:paraId="2747ECCB" w14:textId="283127EC" w:rsidR="006C496A" w:rsidRPr="00221F5C" w:rsidRDefault="006C496A" w:rsidP="006C496A">
            <w:pPr>
              <w:spacing w:after="0" w:line="276" w:lineRule="auto"/>
              <w:jc w:val="right"/>
              <w:rPr>
                <w:rFonts w:ascii="Arial" w:eastAsia="Times New Roman" w:hAnsi="Arial" w:cs="Arial"/>
                <w:sz w:val="16"/>
                <w:szCs w:val="16"/>
                <w:lang w:eastAsia="en-AU"/>
              </w:rPr>
            </w:pPr>
          </w:p>
        </w:tc>
        <w:tc>
          <w:tcPr>
            <w:tcW w:w="468" w:type="pct"/>
            <w:tcBorders>
              <w:top w:val="nil"/>
              <w:left w:val="nil"/>
              <w:bottom w:val="nil"/>
              <w:right w:val="nil"/>
            </w:tcBorders>
            <w:vAlign w:val="bottom"/>
          </w:tcPr>
          <w:p w14:paraId="0D53FDD8" w14:textId="341DA5AA"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23.0</w:t>
            </w:r>
          </w:p>
        </w:tc>
        <w:tc>
          <w:tcPr>
            <w:tcW w:w="76" w:type="pct"/>
            <w:tcBorders>
              <w:top w:val="nil"/>
              <w:left w:val="nil"/>
              <w:bottom w:val="nil"/>
              <w:right w:val="nil"/>
            </w:tcBorders>
            <w:tcMar>
              <w:top w:w="0" w:type="dxa"/>
              <w:left w:w="0" w:type="dxa"/>
              <w:bottom w:w="0" w:type="dxa"/>
              <w:right w:w="0" w:type="dxa"/>
            </w:tcMar>
            <w:vAlign w:val="bottom"/>
          </w:tcPr>
          <w:p w14:paraId="6A3DEFA1" w14:textId="77777777" w:rsidR="006C496A" w:rsidRPr="00221F5C" w:rsidRDefault="006C496A" w:rsidP="006C496A">
            <w:pPr>
              <w:spacing w:after="0" w:line="276" w:lineRule="auto"/>
              <w:jc w:val="right"/>
              <w:rPr>
                <w:rFonts w:ascii="Arial" w:eastAsia="Times New Roman" w:hAnsi="Arial" w:cs="Arial"/>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651EDB1D" w14:textId="77777777"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eastAsia="Times New Roman" w:hAnsi="Arial" w:cs="Arial"/>
                <w:color w:val="000000"/>
                <w:sz w:val="16"/>
                <w:szCs w:val="16"/>
                <w:lang w:eastAsia="en-AU"/>
              </w:rPr>
              <w:t>n/a</w:t>
            </w:r>
          </w:p>
        </w:tc>
      </w:tr>
      <w:tr w:rsidR="006C496A" w:rsidRPr="00617599" w14:paraId="16C3910D"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10E2E3B6" w14:textId="0A096226" w:rsidR="006C496A" w:rsidRPr="00617599" w:rsidRDefault="006C496A" w:rsidP="006C496A">
            <w:pPr>
              <w:spacing w:after="0" w:line="276" w:lineRule="auto"/>
              <w:rPr>
                <w:rFonts w:ascii="Arial" w:eastAsia="Times New Roman" w:hAnsi="Arial" w:cs="Arial"/>
                <w:i/>
                <w:sz w:val="16"/>
                <w:szCs w:val="16"/>
                <w:lang w:eastAsia="en-AU"/>
              </w:rPr>
            </w:pPr>
            <w:r w:rsidRPr="00F50268">
              <w:rPr>
                <w:rFonts w:ascii="Arial" w:hAnsi="Arial" w:cs="Arial"/>
                <w:color w:val="000000"/>
                <w:sz w:val="16"/>
                <w:szCs w:val="16"/>
              </w:rPr>
              <w:t>Middle Eastern/Latin American/African</w:t>
            </w:r>
          </w:p>
        </w:tc>
        <w:tc>
          <w:tcPr>
            <w:tcW w:w="540" w:type="pct"/>
            <w:tcBorders>
              <w:top w:val="nil"/>
              <w:left w:val="nil"/>
              <w:bottom w:val="nil"/>
              <w:right w:val="nil"/>
            </w:tcBorders>
            <w:tcMar>
              <w:top w:w="0" w:type="dxa"/>
              <w:left w:w="0" w:type="dxa"/>
              <w:bottom w:w="0" w:type="dxa"/>
              <w:right w:w="0" w:type="dxa"/>
            </w:tcMar>
            <w:vAlign w:val="bottom"/>
          </w:tcPr>
          <w:p w14:paraId="6B46839F" w14:textId="3986A57B"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4.0</w:t>
            </w:r>
          </w:p>
        </w:tc>
        <w:tc>
          <w:tcPr>
            <w:tcW w:w="463" w:type="pct"/>
            <w:tcBorders>
              <w:top w:val="nil"/>
              <w:left w:val="nil"/>
              <w:bottom w:val="nil"/>
              <w:right w:val="nil"/>
            </w:tcBorders>
            <w:tcMar>
              <w:top w:w="0" w:type="dxa"/>
              <w:left w:w="0" w:type="dxa"/>
              <w:bottom w:w="0" w:type="dxa"/>
              <w:right w:w="0" w:type="dxa"/>
            </w:tcMar>
            <w:vAlign w:val="bottom"/>
          </w:tcPr>
          <w:p w14:paraId="0B34680C" w14:textId="44B43E03"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3.2</w:t>
            </w:r>
          </w:p>
        </w:tc>
        <w:tc>
          <w:tcPr>
            <w:tcW w:w="77" w:type="pct"/>
            <w:tcBorders>
              <w:top w:val="nil"/>
              <w:left w:val="nil"/>
              <w:bottom w:val="nil"/>
              <w:right w:val="nil"/>
            </w:tcBorders>
            <w:tcMar>
              <w:top w:w="0" w:type="dxa"/>
              <w:left w:w="0" w:type="dxa"/>
              <w:bottom w:w="0" w:type="dxa"/>
              <w:right w:w="0" w:type="dxa"/>
            </w:tcMar>
            <w:vAlign w:val="bottom"/>
          </w:tcPr>
          <w:p w14:paraId="74883C71" w14:textId="77777777" w:rsidR="006C496A" w:rsidRPr="00221F5C" w:rsidRDefault="006C496A" w:rsidP="006C496A">
            <w:pPr>
              <w:spacing w:after="0" w:line="276" w:lineRule="auto"/>
              <w:jc w:val="right"/>
              <w:rPr>
                <w:rFonts w:ascii="Arial" w:eastAsia="Times New Roman" w:hAnsi="Arial" w:cs="Arial"/>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2983C213" w14:textId="10311447"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1.0</w:t>
            </w:r>
          </w:p>
        </w:tc>
        <w:tc>
          <w:tcPr>
            <w:tcW w:w="617" w:type="pct"/>
            <w:tcBorders>
              <w:top w:val="nil"/>
              <w:left w:val="nil"/>
              <w:bottom w:val="nil"/>
              <w:right w:val="nil"/>
            </w:tcBorders>
            <w:tcMar>
              <w:top w:w="0" w:type="dxa"/>
              <w:left w:w="0" w:type="dxa"/>
              <w:bottom w:w="0" w:type="dxa"/>
              <w:right w:w="0" w:type="dxa"/>
            </w:tcMar>
            <w:vAlign w:val="bottom"/>
          </w:tcPr>
          <w:p w14:paraId="3EB912AB" w14:textId="4A521A83"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1.3</w:t>
            </w:r>
          </w:p>
        </w:tc>
        <w:tc>
          <w:tcPr>
            <w:tcW w:w="463" w:type="pct"/>
            <w:tcBorders>
              <w:top w:val="nil"/>
              <w:left w:val="nil"/>
              <w:bottom w:val="nil"/>
              <w:right w:val="nil"/>
            </w:tcBorders>
            <w:tcMar>
              <w:top w:w="0" w:type="dxa"/>
              <w:left w:w="0" w:type="dxa"/>
              <w:bottom w:w="0" w:type="dxa"/>
              <w:right w:w="0" w:type="dxa"/>
            </w:tcMar>
            <w:vAlign w:val="bottom"/>
          </w:tcPr>
          <w:p w14:paraId="5D0DF3B3" w14:textId="242AF9C6"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2.4</w:t>
            </w:r>
          </w:p>
        </w:tc>
        <w:tc>
          <w:tcPr>
            <w:tcW w:w="462" w:type="pct"/>
            <w:tcBorders>
              <w:top w:val="nil"/>
              <w:left w:val="nil"/>
              <w:bottom w:val="nil"/>
              <w:right w:val="nil"/>
            </w:tcBorders>
            <w:vAlign w:val="bottom"/>
          </w:tcPr>
          <w:p w14:paraId="3F282C90" w14:textId="2F4670BE"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0.0</w:t>
            </w:r>
          </w:p>
        </w:tc>
        <w:tc>
          <w:tcPr>
            <w:tcW w:w="77" w:type="pct"/>
            <w:tcBorders>
              <w:top w:val="nil"/>
              <w:left w:val="nil"/>
              <w:bottom w:val="nil"/>
              <w:right w:val="nil"/>
            </w:tcBorders>
            <w:tcMar>
              <w:top w:w="0" w:type="dxa"/>
              <w:left w:w="0" w:type="dxa"/>
              <w:bottom w:w="0" w:type="dxa"/>
              <w:right w:w="0" w:type="dxa"/>
            </w:tcMar>
            <w:vAlign w:val="bottom"/>
          </w:tcPr>
          <w:p w14:paraId="7B4B0219" w14:textId="11FD5811" w:rsidR="006C496A" w:rsidRPr="00221F5C" w:rsidRDefault="006C496A" w:rsidP="006C496A">
            <w:pPr>
              <w:spacing w:after="0" w:line="276" w:lineRule="auto"/>
              <w:jc w:val="right"/>
              <w:rPr>
                <w:rFonts w:ascii="Arial" w:eastAsia="Times New Roman" w:hAnsi="Arial" w:cs="Arial"/>
                <w:sz w:val="16"/>
                <w:szCs w:val="16"/>
                <w:lang w:eastAsia="en-AU"/>
              </w:rPr>
            </w:pPr>
          </w:p>
        </w:tc>
        <w:tc>
          <w:tcPr>
            <w:tcW w:w="468" w:type="pct"/>
            <w:tcBorders>
              <w:top w:val="nil"/>
              <w:left w:val="nil"/>
              <w:bottom w:val="nil"/>
              <w:right w:val="nil"/>
            </w:tcBorders>
            <w:vAlign w:val="bottom"/>
          </w:tcPr>
          <w:p w14:paraId="079C84C1" w14:textId="1281E75C"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3.5</w:t>
            </w:r>
          </w:p>
        </w:tc>
        <w:tc>
          <w:tcPr>
            <w:tcW w:w="76" w:type="pct"/>
            <w:tcBorders>
              <w:top w:val="nil"/>
              <w:left w:val="nil"/>
              <w:bottom w:val="nil"/>
              <w:right w:val="nil"/>
            </w:tcBorders>
            <w:tcMar>
              <w:top w:w="0" w:type="dxa"/>
              <w:left w:w="0" w:type="dxa"/>
              <w:bottom w:w="0" w:type="dxa"/>
              <w:right w:w="0" w:type="dxa"/>
            </w:tcMar>
            <w:vAlign w:val="bottom"/>
          </w:tcPr>
          <w:p w14:paraId="1A9D8368" w14:textId="77777777" w:rsidR="006C496A" w:rsidRPr="00221F5C" w:rsidRDefault="006C496A" w:rsidP="006C496A">
            <w:pPr>
              <w:spacing w:after="0" w:line="276" w:lineRule="auto"/>
              <w:jc w:val="right"/>
              <w:rPr>
                <w:rFonts w:ascii="Arial" w:eastAsia="Times New Roman" w:hAnsi="Arial" w:cs="Arial"/>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27C6F577" w14:textId="77777777"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eastAsia="Times New Roman" w:hAnsi="Arial" w:cs="Arial"/>
                <w:color w:val="000000"/>
                <w:sz w:val="16"/>
                <w:szCs w:val="16"/>
                <w:lang w:eastAsia="en-AU"/>
              </w:rPr>
              <w:t>n/a</w:t>
            </w:r>
          </w:p>
        </w:tc>
      </w:tr>
      <w:tr w:rsidR="006C496A" w:rsidRPr="00617599" w14:paraId="369A4F5F"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67A069C0" w14:textId="25071084" w:rsidR="006C496A" w:rsidRPr="00617599" w:rsidRDefault="006C496A" w:rsidP="006C496A">
            <w:pPr>
              <w:spacing w:after="0" w:line="276" w:lineRule="auto"/>
              <w:rPr>
                <w:rFonts w:ascii="Arial" w:eastAsia="Times New Roman" w:hAnsi="Arial" w:cs="Arial"/>
                <w:i/>
                <w:sz w:val="16"/>
                <w:szCs w:val="16"/>
                <w:lang w:eastAsia="en-AU"/>
              </w:rPr>
            </w:pPr>
            <w:r w:rsidRPr="00F50268">
              <w:rPr>
                <w:rFonts w:ascii="Arial" w:hAnsi="Arial" w:cs="Arial"/>
                <w:color w:val="000000"/>
                <w:sz w:val="16"/>
                <w:szCs w:val="16"/>
              </w:rPr>
              <w:t>Other</w:t>
            </w:r>
            <w:r>
              <w:rPr>
                <w:rFonts w:ascii="Arial" w:hAnsi="Arial" w:cs="Arial"/>
                <w:color w:val="000000"/>
                <w:sz w:val="16"/>
                <w:szCs w:val="16"/>
              </w:rPr>
              <w:t xml:space="preserve"> </w:t>
            </w:r>
            <w:r w:rsidRPr="00F50268">
              <w:rPr>
                <w:rFonts w:ascii="Arial" w:hAnsi="Arial" w:cs="Arial"/>
                <w:color w:val="000000"/>
                <w:sz w:val="16"/>
                <w:szCs w:val="16"/>
              </w:rPr>
              <w:t>ethnicity</w:t>
            </w:r>
          </w:p>
        </w:tc>
        <w:tc>
          <w:tcPr>
            <w:tcW w:w="540" w:type="pct"/>
            <w:tcBorders>
              <w:top w:val="nil"/>
              <w:left w:val="nil"/>
              <w:bottom w:val="nil"/>
              <w:right w:val="nil"/>
            </w:tcBorders>
            <w:tcMar>
              <w:top w:w="0" w:type="dxa"/>
              <w:left w:w="0" w:type="dxa"/>
              <w:bottom w:w="0" w:type="dxa"/>
              <w:right w:w="0" w:type="dxa"/>
            </w:tcMar>
            <w:vAlign w:val="bottom"/>
          </w:tcPr>
          <w:p w14:paraId="1005D646" w14:textId="2C55D49E"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1.2</w:t>
            </w:r>
          </w:p>
        </w:tc>
        <w:tc>
          <w:tcPr>
            <w:tcW w:w="463" w:type="pct"/>
            <w:tcBorders>
              <w:top w:val="nil"/>
              <w:left w:val="nil"/>
              <w:bottom w:val="nil"/>
              <w:right w:val="nil"/>
            </w:tcBorders>
            <w:tcMar>
              <w:top w:w="0" w:type="dxa"/>
              <w:left w:w="0" w:type="dxa"/>
              <w:bottom w:w="0" w:type="dxa"/>
              <w:right w:w="0" w:type="dxa"/>
            </w:tcMar>
            <w:vAlign w:val="bottom"/>
          </w:tcPr>
          <w:p w14:paraId="4AFA0802" w14:textId="3C69338A"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1.8</w:t>
            </w:r>
          </w:p>
        </w:tc>
        <w:tc>
          <w:tcPr>
            <w:tcW w:w="77" w:type="pct"/>
            <w:tcBorders>
              <w:top w:val="nil"/>
              <w:left w:val="nil"/>
              <w:bottom w:val="nil"/>
              <w:right w:val="nil"/>
            </w:tcBorders>
            <w:tcMar>
              <w:top w:w="0" w:type="dxa"/>
              <w:left w:w="0" w:type="dxa"/>
              <w:bottom w:w="0" w:type="dxa"/>
              <w:right w:w="0" w:type="dxa"/>
            </w:tcMar>
            <w:vAlign w:val="bottom"/>
          </w:tcPr>
          <w:p w14:paraId="751200A0" w14:textId="77777777" w:rsidR="006C496A" w:rsidRPr="00221F5C" w:rsidRDefault="006C496A" w:rsidP="006C496A">
            <w:pPr>
              <w:spacing w:after="0" w:line="276" w:lineRule="auto"/>
              <w:jc w:val="right"/>
              <w:rPr>
                <w:rFonts w:ascii="Arial" w:eastAsia="Times New Roman" w:hAnsi="Arial" w:cs="Arial"/>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4EAEFA67" w14:textId="45DCDDB0"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2.3</w:t>
            </w:r>
          </w:p>
        </w:tc>
        <w:tc>
          <w:tcPr>
            <w:tcW w:w="617" w:type="pct"/>
            <w:tcBorders>
              <w:top w:val="nil"/>
              <w:left w:val="nil"/>
              <w:bottom w:val="nil"/>
              <w:right w:val="nil"/>
            </w:tcBorders>
            <w:tcMar>
              <w:top w:w="0" w:type="dxa"/>
              <w:left w:w="0" w:type="dxa"/>
              <w:bottom w:w="0" w:type="dxa"/>
              <w:right w:w="0" w:type="dxa"/>
            </w:tcMar>
            <w:vAlign w:val="bottom"/>
          </w:tcPr>
          <w:p w14:paraId="29C91A0F" w14:textId="1733A0D0"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0.0</w:t>
            </w:r>
          </w:p>
        </w:tc>
        <w:tc>
          <w:tcPr>
            <w:tcW w:w="463" w:type="pct"/>
            <w:tcBorders>
              <w:top w:val="nil"/>
              <w:left w:val="nil"/>
              <w:bottom w:val="nil"/>
              <w:right w:val="nil"/>
            </w:tcBorders>
            <w:tcMar>
              <w:top w:w="0" w:type="dxa"/>
              <w:left w:w="0" w:type="dxa"/>
              <w:bottom w:w="0" w:type="dxa"/>
              <w:right w:w="0" w:type="dxa"/>
            </w:tcMar>
            <w:vAlign w:val="bottom"/>
          </w:tcPr>
          <w:p w14:paraId="22F986B8" w14:textId="33C65D07"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2.4</w:t>
            </w:r>
          </w:p>
        </w:tc>
        <w:tc>
          <w:tcPr>
            <w:tcW w:w="462" w:type="pct"/>
            <w:tcBorders>
              <w:top w:val="nil"/>
              <w:left w:val="nil"/>
              <w:bottom w:val="nil"/>
              <w:right w:val="nil"/>
            </w:tcBorders>
            <w:vAlign w:val="bottom"/>
          </w:tcPr>
          <w:p w14:paraId="271B8E4A" w14:textId="79B46B4A"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0.0</w:t>
            </w:r>
          </w:p>
        </w:tc>
        <w:tc>
          <w:tcPr>
            <w:tcW w:w="77" w:type="pct"/>
            <w:tcBorders>
              <w:top w:val="nil"/>
              <w:left w:val="nil"/>
              <w:bottom w:val="nil"/>
              <w:right w:val="nil"/>
            </w:tcBorders>
            <w:tcMar>
              <w:top w:w="0" w:type="dxa"/>
              <w:left w:w="0" w:type="dxa"/>
              <w:bottom w:w="0" w:type="dxa"/>
              <w:right w:w="0" w:type="dxa"/>
            </w:tcMar>
            <w:vAlign w:val="bottom"/>
          </w:tcPr>
          <w:p w14:paraId="59B20F71" w14:textId="034271FC" w:rsidR="006C496A" w:rsidRPr="00221F5C" w:rsidRDefault="006C496A" w:rsidP="006C496A">
            <w:pPr>
              <w:spacing w:after="0" w:line="276" w:lineRule="auto"/>
              <w:jc w:val="right"/>
              <w:rPr>
                <w:rFonts w:ascii="Arial" w:eastAsia="Times New Roman" w:hAnsi="Arial" w:cs="Arial"/>
                <w:sz w:val="16"/>
                <w:szCs w:val="16"/>
                <w:lang w:eastAsia="en-AU"/>
              </w:rPr>
            </w:pPr>
          </w:p>
        </w:tc>
        <w:tc>
          <w:tcPr>
            <w:tcW w:w="468" w:type="pct"/>
            <w:tcBorders>
              <w:top w:val="nil"/>
              <w:left w:val="nil"/>
              <w:bottom w:val="nil"/>
              <w:right w:val="nil"/>
            </w:tcBorders>
            <w:vAlign w:val="bottom"/>
          </w:tcPr>
          <w:p w14:paraId="1F0750A6" w14:textId="2B60ACFC"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1.5</w:t>
            </w:r>
          </w:p>
        </w:tc>
        <w:tc>
          <w:tcPr>
            <w:tcW w:w="76" w:type="pct"/>
            <w:tcBorders>
              <w:top w:val="nil"/>
              <w:left w:val="nil"/>
              <w:bottom w:val="nil"/>
              <w:right w:val="nil"/>
            </w:tcBorders>
            <w:tcMar>
              <w:top w:w="0" w:type="dxa"/>
              <w:left w:w="0" w:type="dxa"/>
              <w:bottom w:w="0" w:type="dxa"/>
              <w:right w:w="0" w:type="dxa"/>
            </w:tcMar>
            <w:vAlign w:val="bottom"/>
          </w:tcPr>
          <w:p w14:paraId="76ADA7AC" w14:textId="77777777" w:rsidR="006C496A" w:rsidRPr="00221F5C" w:rsidRDefault="006C496A" w:rsidP="006C496A">
            <w:pPr>
              <w:spacing w:after="0" w:line="276" w:lineRule="auto"/>
              <w:jc w:val="right"/>
              <w:rPr>
                <w:rFonts w:ascii="Arial" w:eastAsia="Times New Roman" w:hAnsi="Arial" w:cs="Arial"/>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7F067A9A" w14:textId="77777777"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eastAsia="Times New Roman" w:hAnsi="Arial" w:cs="Arial"/>
                <w:color w:val="000000"/>
                <w:sz w:val="16"/>
                <w:szCs w:val="16"/>
                <w:lang w:eastAsia="en-AU"/>
              </w:rPr>
              <w:t>n/a</w:t>
            </w:r>
          </w:p>
        </w:tc>
      </w:tr>
      <w:tr w:rsidR="006C496A" w:rsidRPr="00617599" w14:paraId="2CA7C6F2" w14:textId="77777777" w:rsidTr="000D75B4">
        <w:trPr>
          <w:trHeight w:val="227"/>
          <w:tblCellSpacing w:w="0" w:type="dxa"/>
        </w:trPr>
        <w:tc>
          <w:tcPr>
            <w:tcW w:w="693" w:type="pct"/>
            <w:gridSpan w:val="2"/>
            <w:tcBorders>
              <w:top w:val="nil"/>
              <w:left w:val="nil"/>
              <w:bottom w:val="nil"/>
              <w:right w:val="nil"/>
            </w:tcBorders>
            <w:tcMar>
              <w:top w:w="0" w:type="dxa"/>
              <w:left w:w="0" w:type="dxa"/>
              <w:bottom w:w="0" w:type="dxa"/>
              <w:right w:w="0" w:type="dxa"/>
            </w:tcMar>
            <w:vAlign w:val="center"/>
          </w:tcPr>
          <w:p w14:paraId="58E3B8DE" w14:textId="349EBAB4" w:rsidR="006C496A" w:rsidRPr="00617599" w:rsidRDefault="006C496A" w:rsidP="006C496A">
            <w:pPr>
              <w:spacing w:after="0" w:line="276" w:lineRule="auto"/>
              <w:rPr>
                <w:rFonts w:ascii="Arial" w:eastAsia="Times New Roman" w:hAnsi="Arial" w:cs="Arial"/>
                <w:i/>
                <w:sz w:val="16"/>
                <w:szCs w:val="16"/>
                <w:lang w:eastAsia="en-AU"/>
              </w:rPr>
            </w:pPr>
            <w:r w:rsidRPr="00F50268">
              <w:rPr>
                <w:rFonts w:ascii="Arial" w:hAnsi="Arial" w:cs="Arial"/>
                <w:color w:val="000000"/>
                <w:sz w:val="16"/>
                <w:szCs w:val="16"/>
              </w:rPr>
              <w:t>Residual categories</w:t>
            </w:r>
            <w:r w:rsidRPr="009B4794">
              <w:rPr>
                <w:rFonts w:ascii="Arial" w:hAnsi="Arial" w:cs="Arial"/>
                <w:color w:val="000000"/>
                <w:sz w:val="16"/>
                <w:szCs w:val="16"/>
                <w:vertAlign w:val="superscript"/>
              </w:rPr>
              <w:t>(c)</w:t>
            </w:r>
          </w:p>
        </w:tc>
        <w:tc>
          <w:tcPr>
            <w:tcW w:w="540" w:type="pct"/>
            <w:tcBorders>
              <w:top w:val="nil"/>
              <w:left w:val="nil"/>
              <w:bottom w:val="nil"/>
              <w:right w:val="nil"/>
            </w:tcBorders>
            <w:tcMar>
              <w:top w:w="0" w:type="dxa"/>
              <w:left w:w="0" w:type="dxa"/>
              <w:bottom w:w="0" w:type="dxa"/>
              <w:right w:w="0" w:type="dxa"/>
            </w:tcMar>
            <w:vAlign w:val="bottom"/>
          </w:tcPr>
          <w:p w14:paraId="3337EFD2" w14:textId="162BBDD2"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9.7</w:t>
            </w:r>
          </w:p>
        </w:tc>
        <w:tc>
          <w:tcPr>
            <w:tcW w:w="463" w:type="pct"/>
            <w:tcBorders>
              <w:top w:val="nil"/>
              <w:left w:val="nil"/>
              <w:bottom w:val="nil"/>
              <w:right w:val="nil"/>
            </w:tcBorders>
            <w:tcMar>
              <w:top w:w="0" w:type="dxa"/>
              <w:left w:w="0" w:type="dxa"/>
              <w:bottom w:w="0" w:type="dxa"/>
              <w:right w:w="0" w:type="dxa"/>
            </w:tcMar>
            <w:vAlign w:val="bottom"/>
          </w:tcPr>
          <w:p w14:paraId="03F81699" w14:textId="4294458B"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8.7</w:t>
            </w:r>
          </w:p>
        </w:tc>
        <w:tc>
          <w:tcPr>
            <w:tcW w:w="77" w:type="pct"/>
            <w:tcBorders>
              <w:top w:val="nil"/>
              <w:left w:val="nil"/>
              <w:bottom w:val="nil"/>
              <w:right w:val="nil"/>
            </w:tcBorders>
            <w:tcMar>
              <w:top w:w="0" w:type="dxa"/>
              <w:left w:w="0" w:type="dxa"/>
              <w:bottom w:w="0" w:type="dxa"/>
              <w:right w:w="0" w:type="dxa"/>
            </w:tcMar>
            <w:vAlign w:val="bottom"/>
          </w:tcPr>
          <w:p w14:paraId="5F878DBF" w14:textId="77777777" w:rsidR="006C496A" w:rsidRPr="00221F5C" w:rsidRDefault="006C496A" w:rsidP="006C496A">
            <w:pPr>
              <w:spacing w:after="0" w:line="276" w:lineRule="auto"/>
              <w:jc w:val="right"/>
              <w:rPr>
                <w:rFonts w:ascii="Arial" w:eastAsia="Times New Roman" w:hAnsi="Arial" w:cs="Arial"/>
                <w:sz w:val="16"/>
                <w:szCs w:val="16"/>
                <w:lang w:eastAsia="en-AU"/>
              </w:rPr>
            </w:pPr>
          </w:p>
        </w:tc>
        <w:tc>
          <w:tcPr>
            <w:tcW w:w="463" w:type="pct"/>
            <w:tcBorders>
              <w:top w:val="nil"/>
              <w:left w:val="nil"/>
              <w:bottom w:val="nil"/>
              <w:right w:val="nil"/>
            </w:tcBorders>
            <w:tcMar>
              <w:top w:w="0" w:type="dxa"/>
              <w:left w:w="0" w:type="dxa"/>
              <w:bottom w:w="0" w:type="dxa"/>
              <w:right w:w="0" w:type="dxa"/>
            </w:tcMar>
            <w:vAlign w:val="bottom"/>
          </w:tcPr>
          <w:p w14:paraId="6E55D1FE" w14:textId="1D827480"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17.2</w:t>
            </w:r>
          </w:p>
        </w:tc>
        <w:tc>
          <w:tcPr>
            <w:tcW w:w="617" w:type="pct"/>
            <w:tcBorders>
              <w:top w:val="nil"/>
              <w:left w:val="nil"/>
              <w:bottom w:val="nil"/>
              <w:right w:val="nil"/>
            </w:tcBorders>
            <w:tcMar>
              <w:top w:w="0" w:type="dxa"/>
              <w:left w:w="0" w:type="dxa"/>
              <w:bottom w:w="0" w:type="dxa"/>
              <w:right w:w="0" w:type="dxa"/>
            </w:tcMar>
            <w:vAlign w:val="bottom"/>
          </w:tcPr>
          <w:p w14:paraId="6D65F5E8" w14:textId="39212F47"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26.3</w:t>
            </w:r>
          </w:p>
        </w:tc>
        <w:tc>
          <w:tcPr>
            <w:tcW w:w="463" w:type="pct"/>
            <w:tcBorders>
              <w:top w:val="nil"/>
              <w:left w:val="nil"/>
              <w:bottom w:val="nil"/>
              <w:right w:val="nil"/>
            </w:tcBorders>
            <w:tcMar>
              <w:top w:w="0" w:type="dxa"/>
              <w:left w:w="0" w:type="dxa"/>
              <w:bottom w:w="0" w:type="dxa"/>
              <w:right w:w="0" w:type="dxa"/>
            </w:tcMar>
            <w:vAlign w:val="bottom"/>
          </w:tcPr>
          <w:p w14:paraId="7B97B033" w14:textId="581F6980"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11.0</w:t>
            </w:r>
          </w:p>
        </w:tc>
        <w:tc>
          <w:tcPr>
            <w:tcW w:w="462" w:type="pct"/>
            <w:tcBorders>
              <w:top w:val="nil"/>
              <w:left w:val="nil"/>
              <w:bottom w:val="nil"/>
              <w:right w:val="nil"/>
            </w:tcBorders>
            <w:vAlign w:val="bottom"/>
          </w:tcPr>
          <w:p w14:paraId="7D10659B" w14:textId="714BBB0E"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26.3</w:t>
            </w:r>
          </w:p>
        </w:tc>
        <w:tc>
          <w:tcPr>
            <w:tcW w:w="77" w:type="pct"/>
            <w:tcBorders>
              <w:top w:val="nil"/>
              <w:left w:val="nil"/>
              <w:bottom w:val="nil"/>
              <w:right w:val="nil"/>
            </w:tcBorders>
            <w:tcMar>
              <w:top w:w="0" w:type="dxa"/>
              <w:left w:w="0" w:type="dxa"/>
              <w:bottom w:w="0" w:type="dxa"/>
              <w:right w:w="0" w:type="dxa"/>
            </w:tcMar>
            <w:vAlign w:val="bottom"/>
          </w:tcPr>
          <w:p w14:paraId="054F9C87" w14:textId="672E7A22" w:rsidR="006C496A" w:rsidRPr="00221F5C" w:rsidRDefault="006C496A" w:rsidP="006C496A">
            <w:pPr>
              <w:spacing w:after="0" w:line="276" w:lineRule="auto"/>
              <w:jc w:val="right"/>
              <w:rPr>
                <w:rFonts w:ascii="Arial" w:eastAsia="Times New Roman" w:hAnsi="Arial" w:cs="Arial"/>
                <w:sz w:val="16"/>
                <w:szCs w:val="16"/>
                <w:lang w:eastAsia="en-AU"/>
              </w:rPr>
            </w:pPr>
          </w:p>
        </w:tc>
        <w:tc>
          <w:tcPr>
            <w:tcW w:w="468" w:type="pct"/>
            <w:tcBorders>
              <w:top w:val="nil"/>
              <w:left w:val="nil"/>
              <w:bottom w:val="nil"/>
              <w:right w:val="nil"/>
            </w:tcBorders>
            <w:vAlign w:val="bottom"/>
          </w:tcPr>
          <w:p w14:paraId="5A348E3B" w14:textId="41877E73"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hAnsi="Arial" w:cs="Arial"/>
                <w:sz w:val="16"/>
                <w:szCs w:val="16"/>
              </w:rPr>
              <w:t>9.7</w:t>
            </w:r>
          </w:p>
        </w:tc>
        <w:tc>
          <w:tcPr>
            <w:tcW w:w="76" w:type="pct"/>
            <w:tcBorders>
              <w:top w:val="nil"/>
              <w:left w:val="nil"/>
              <w:bottom w:val="nil"/>
              <w:right w:val="nil"/>
            </w:tcBorders>
            <w:tcMar>
              <w:top w:w="0" w:type="dxa"/>
              <w:left w:w="0" w:type="dxa"/>
              <w:bottom w:w="0" w:type="dxa"/>
              <w:right w:w="0" w:type="dxa"/>
            </w:tcMar>
            <w:vAlign w:val="bottom"/>
          </w:tcPr>
          <w:p w14:paraId="2D414733" w14:textId="77777777" w:rsidR="006C496A" w:rsidRPr="00221F5C" w:rsidRDefault="006C496A" w:rsidP="006C496A">
            <w:pPr>
              <w:spacing w:after="0" w:line="276" w:lineRule="auto"/>
              <w:jc w:val="right"/>
              <w:rPr>
                <w:rFonts w:ascii="Arial" w:eastAsia="Times New Roman" w:hAnsi="Arial" w:cs="Arial"/>
                <w:sz w:val="16"/>
                <w:szCs w:val="16"/>
                <w:lang w:eastAsia="en-AU"/>
              </w:rPr>
            </w:pPr>
          </w:p>
        </w:tc>
        <w:tc>
          <w:tcPr>
            <w:tcW w:w="601" w:type="pct"/>
            <w:tcBorders>
              <w:top w:val="nil"/>
              <w:left w:val="nil"/>
              <w:bottom w:val="nil"/>
              <w:right w:val="nil"/>
            </w:tcBorders>
            <w:tcMar>
              <w:top w:w="0" w:type="dxa"/>
              <w:left w:w="0" w:type="dxa"/>
              <w:bottom w:w="0" w:type="dxa"/>
              <w:right w:w="0" w:type="dxa"/>
            </w:tcMar>
            <w:vAlign w:val="bottom"/>
          </w:tcPr>
          <w:p w14:paraId="3C553A3B" w14:textId="77777777" w:rsidR="006C496A" w:rsidRPr="00221F5C" w:rsidRDefault="006C496A" w:rsidP="006C496A">
            <w:pPr>
              <w:spacing w:after="0" w:line="276" w:lineRule="auto"/>
              <w:jc w:val="right"/>
              <w:rPr>
                <w:rFonts w:ascii="Arial" w:eastAsia="Times New Roman" w:hAnsi="Arial" w:cs="Arial"/>
                <w:sz w:val="16"/>
                <w:szCs w:val="16"/>
                <w:lang w:eastAsia="en-AU"/>
              </w:rPr>
            </w:pPr>
            <w:r w:rsidRPr="00221F5C">
              <w:rPr>
                <w:rFonts w:ascii="Arial" w:eastAsia="Times New Roman" w:hAnsi="Arial" w:cs="Arial"/>
                <w:color w:val="000000"/>
                <w:sz w:val="16"/>
                <w:szCs w:val="16"/>
                <w:lang w:eastAsia="en-AU"/>
              </w:rPr>
              <w:t>n/a</w:t>
            </w:r>
          </w:p>
        </w:tc>
      </w:tr>
      <w:tr w:rsidR="006C496A" w:rsidRPr="00617599" w14:paraId="10CCD8B8" w14:textId="77777777" w:rsidTr="00026F0E">
        <w:trPr>
          <w:trHeight w:val="227"/>
          <w:tblCellSpacing w:w="0" w:type="dxa"/>
        </w:trPr>
        <w:tc>
          <w:tcPr>
            <w:tcW w:w="693" w:type="pct"/>
            <w:gridSpan w:val="2"/>
            <w:tcBorders>
              <w:top w:val="nil"/>
              <w:left w:val="nil"/>
              <w:bottom w:val="single" w:sz="12" w:space="0" w:color="000000"/>
              <w:right w:val="nil"/>
            </w:tcBorders>
            <w:tcMar>
              <w:top w:w="0" w:type="dxa"/>
              <w:left w:w="0" w:type="dxa"/>
              <w:bottom w:w="28" w:type="dxa"/>
              <w:right w:w="0" w:type="dxa"/>
            </w:tcMar>
            <w:vAlign w:val="center"/>
          </w:tcPr>
          <w:p w14:paraId="3B87FFC4" w14:textId="77777777" w:rsidR="006C496A" w:rsidRPr="00087467" w:rsidRDefault="006C496A" w:rsidP="006C496A">
            <w:pPr>
              <w:spacing w:after="0" w:line="276" w:lineRule="auto"/>
              <w:rPr>
                <w:rFonts w:ascii="Arial" w:eastAsia="Times New Roman" w:hAnsi="Arial" w:cs="Arial"/>
                <w:b/>
                <w:sz w:val="16"/>
                <w:szCs w:val="16"/>
                <w:lang w:eastAsia="en-AU"/>
              </w:rPr>
            </w:pPr>
            <w:r w:rsidRPr="00087467">
              <w:rPr>
                <w:rFonts w:ascii="Arial" w:eastAsia="Times New Roman" w:hAnsi="Arial" w:cs="Arial"/>
                <w:b/>
                <w:sz w:val="16"/>
                <w:szCs w:val="16"/>
                <w:lang w:eastAsia="en-AU"/>
              </w:rPr>
              <w:t>Total</w:t>
            </w:r>
          </w:p>
        </w:tc>
        <w:tc>
          <w:tcPr>
            <w:tcW w:w="540" w:type="pct"/>
            <w:tcBorders>
              <w:top w:val="nil"/>
              <w:left w:val="nil"/>
              <w:bottom w:val="single" w:sz="12" w:space="0" w:color="000000"/>
              <w:right w:val="nil"/>
            </w:tcBorders>
            <w:tcMar>
              <w:top w:w="0" w:type="dxa"/>
              <w:left w:w="0" w:type="dxa"/>
              <w:bottom w:w="28" w:type="dxa"/>
              <w:right w:w="0" w:type="dxa"/>
            </w:tcMar>
            <w:vAlign w:val="bottom"/>
          </w:tcPr>
          <w:p w14:paraId="6B6BD17A" w14:textId="2CA22DA4" w:rsidR="006C496A" w:rsidRPr="00087467" w:rsidRDefault="006C496A" w:rsidP="006C496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63" w:type="pct"/>
            <w:tcBorders>
              <w:top w:val="nil"/>
              <w:left w:val="nil"/>
              <w:bottom w:val="single" w:sz="12" w:space="0" w:color="000000"/>
              <w:right w:val="nil"/>
            </w:tcBorders>
            <w:tcMar>
              <w:top w:w="0" w:type="dxa"/>
              <w:left w:w="0" w:type="dxa"/>
              <w:bottom w:w="28" w:type="dxa"/>
              <w:right w:w="0" w:type="dxa"/>
            </w:tcMar>
            <w:vAlign w:val="bottom"/>
          </w:tcPr>
          <w:p w14:paraId="225015E8" w14:textId="5FA58637" w:rsidR="006C496A" w:rsidRPr="00087467" w:rsidRDefault="006C496A" w:rsidP="006C496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77" w:type="pct"/>
            <w:tcBorders>
              <w:top w:val="nil"/>
              <w:left w:val="nil"/>
              <w:bottom w:val="single" w:sz="12" w:space="0" w:color="000000"/>
              <w:right w:val="nil"/>
            </w:tcBorders>
            <w:tcMar>
              <w:top w:w="0" w:type="dxa"/>
              <w:left w:w="0" w:type="dxa"/>
              <w:bottom w:w="28" w:type="dxa"/>
              <w:right w:w="0" w:type="dxa"/>
            </w:tcMar>
            <w:vAlign w:val="bottom"/>
          </w:tcPr>
          <w:p w14:paraId="75651E00" w14:textId="77777777" w:rsidR="006C496A" w:rsidRPr="00087467" w:rsidRDefault="006C496A" w:rsidP="006C496A">
            <w:pPr>
              <w:spacing w:after="0" w:line="276" w:lineRule="auto"/>
              <w:jc w:val="right"/>
              <w:rPr>
                <w:rFonts w:ascii="Arial" w:eastAsia="Times New Roman" w:hAnsi="Arial" w:cs="Arial"/>
                <w:b/>
                <w:sz w:val="16"/>
                <w:szCs w:val="16"/>
                <w:lang w:eastAsia="en-AU"/>
              </w:rPr>
            </w:pPr>
          </w:p>
        </w:tc>
        <w:tc>
          <w:tcPr>
            <w:tcW w:w="463" w:type="pct"/>
            <w:tcBorders>
              <w:top w:val="nil"/>
              <w:left w:val="nil"/>
              <w:bottom w:val="single" w:sz="12" w:space="0" w:color="000000"/>
              <w:right w:val="nil"/>
            </w:tcBorders>
            <w:tcMar>
              <w:top w:w="0" w:type="dxa"/>
              <w:left w:w="0" w:type="dxa"/>
              <w:bottom w:w="28" w:type="dxa"/>
              <w:right w:w="0" w:type="dxa"/>
            </w:tcMar>
            <w:vAlign w:val="bottom"/>
          </w:tcPr>
          <w:p w14:paraId="433CD319" w14:textId="100B2DD8" w:rsidR="006C496A" w:rsidRPr="00087467" w:rsidRDefault="006C496A" w:rsidP="006C496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617" w:type="pct"/>
            <w:tcBorders>
              <w:top w:val="nil"/>
              <w:left w:val="nil"/>
              <w:bottom w:val="single" w:sz="12" w:space="0" w:color="000000"/>
              <w:right w:val="nil"/>
            </w:tcBorders>
            <w:tcMar>
              <w:top w:w="0" w:type="dxa"/>
              <w:left w:w="0" w:type="dxa"/>
              <w:bottom w:w="28" w:type="dxa"/>
              <w:right w:w="0" w:type="dxa"/>
            </w:tcMar>
            <w:vAlign w:val="bottom"/>
          </w:tcPr>
          <w:p w14:paraId="0F7B2B8B" w14:textId="158BD4CF" w:rsidR="006C496A" w:rsidRPr="00087467" w:rsidRDefault="006C496A" w:rsidP="006C496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63" w:type="pct"/>
            <w:tcBorders>
              <w:top w:val="nil"/>
              <w:left w:val="nil"/>
              <w:bottom w:val="single" w:sz="12" w:space="0" w:color="000000"/>
              <w:right w:val="nil"/>
            </w:tcBorders>
            <w:tcMar>
              <w:top w:w="0" w:type="dxa"/>
              <w:left w:w="0" w:type="dxa"/>
              <w:bottom w:w="28" w:type="dxa"/>
              <w:right w:w="0" w:type="dxa"/>
            </w:tcMar>
            <w:vAlign w:val="bottom"/>
          </w:tcPr>
          <w:p w14:paraId="03423596" w14:textId="4A25F4C4" w:rsidR="006C496A" w:rsidRPr="00087467" w:rsidRDefault="006C496A" w:rsidP="006C496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62" w:type="pct"/>
            <w:tcBorders>
              <w:top w:val="nil"/>
              <w:left w:val="nil"/>
              <w:bottom w:val="single" w:sz="12" w:space="0" w:color="000000"/>
              <w:right w:val="nil"/>
            </w:tcBorders>
            <w:vAlign w:val="bottom"/>
          </w:tcPr>
          <w:p w14:paraId="7E2DBF94" w14:textId="051E03F8" w:rsidR="006C496A" w:rsidRPr="00087467" w:rsidRDefault="006C496A" w:rsidP="006C496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77" w:type="pct"/>
            <w:tcBorders>
              <w:top w:val="nil"/>
              <w:left w:val="nil"/>
              <w:bottom w:val="single" w:sz="12" w:space="0" w:color="000000"/>
              <w:right w:val="nil"/>
            </w:tcBorders>
            <w:tcMar>
              <w:top w:w="0" w:type="dxa"/>
              <w:left w:w="0" w:type="dxa"/>
              <w:bottom w:w="28" w:type="dxa"/>
              <w:right w:w="0" w:type="dxa"/>
            </w:tcMar>
            <w:vAlign w:val="bottom"/>
          </w:tcPr>
          <w:p w14:paraId="1E0E76EA" w14:textId="7916E3CA" w:rsidR="006C496A" w:rsidRPr="00087467" w:rsidRDefault="006C496A" w:rsidP="006C496A">
            <w:pPr>
              <w:spacing w:after="0" w:line="276" w:lineRule="auto"/>
              <w:jc w:val="right"/>
              <w:rPr>
                <w:rFonts w:ascii="Arial" w:eastAsia="Times New Roman" w:hAnsi="Arial" w:cs="Arial"/>
                <w:b/>
                <w:sz w:val="16"/>
                <w:szCs w:val="16"/>
                <w:lang w:eastAsia="en-AU"/>
              </w:rPr>
            </w:pPr>
          </w:p>
        </w:tc>
        <w:tc>
          <w:tcPr>
            <w:tcW w:w="468" w:type="pct"/>
            <w:tcBorders>
              <w:top w:val="nil"/>
              <w:left w:val="nil"/>
              <w:bottom w:val="single" w:sz="12" w:space="0" w:color="000000"/>
              <w:right w:val="nil"/>
            </w:tcBorders>
            <w:vAlign w:val="bottom"/>
          </w:tcPr>
          <w:p w14:paraId="2BF4A410" w14:textId="66ACAFB1" w:rsidR="006C496A" w:rsidRPr="00087467" w:rsidRDefault="006C496A" w:rsidP="006C496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76" w:type="pct"/>
            <w:tcBorders>
              <w:top w:val="nil"/>
              <w:left w:val="nil"/>
              <w:bottom w:val="single" w:sz="12" w:space="0" w:color="000000"/>
              <w:right w:val="nil"/>
            </w:tcBorders>
            <w:tcMar>
              <w:top w:w="0" w:type="dxa"/>
              <w:left w:w="0" w:type="dxa"/>
              <w:bottom w:w="28" w:type="dxa"/>
              <w:right w:w="0" w:type="dxa"/>
            </w:tcMar>
            <w:vAlign w:val="bottom"/>
          </w:tcPr>
          <w:p w14:paraId="6346B501" w14:textId="77777777" w:rsidR="006C496A" w:rsidRPr="00087467" w:rsidRDefault="006C496A" w:rsidP="006C496A">
            <w:pPr>
              <w:spacing w:after="0" w:line="276" w:lineRule="auto"/>
              <w:jc w:val="right"/>
              <w:rPr>
                <w:rFonts w:ascii="Arial" w:eastAsia="Times New Roman" w:hAnsi="Arial" w:cs="Arial"/>
                <w:b/>
                <w:sz w:val="16"/>
                <w:szCs w:val="16"/>
                <w:lang w:eastAsia="en-AU"/>
              </w:rPr>
            </w:pPr>
          </w:p>
        </w:tc>
        <w:tc>
          <w:tcPr>
            <w:tcW w:w="601" w:type="pct"/>
            <w:tcBorders>
              <w:top w:val="nil"/>
              <w:left w:val="nil"/>
              <w:bottom w:val="single" w:sz="12" w:space="0" w:color="000000"/>
              <w:right w:val="nil"/>
            </w:tcBorders>
            <w:tcMar>
              <w:top w:w="0" w:type="dxa"/>
              <w:left w:w="0" w:type="dxa"/>
              <w:bottom w:w="28" w:type="dxa"/>
              <w:right w:w="0" w:type="dxa"/>
            </w:tcMar>
            <w:vAlign w:val="bottom"/>
          </w:tcPr>
          <w:p w14:paraId="2A9AD43C" w14:textId="77777777" w:rsidR="006C496A" w:rsidRPr="00087467" w:rsidRDefault="006C496A" w:rsidP="006C496A">
            <w:pPr>
              <w:spacing w:after="0" w:line="276" w:lineRule="auto"/>
              <w:jc w:val="right"/>
              <w:rPr>
                <w:rFonts w:ascii="Arial" w:eastAsia="Times New Roman" w:hAnsi="Arial" w:cs="Arial"/>
                <w:b/>
                <w:sz w:val="16"/>
                <w:szCs w:val="16"/>
                <w:lang w:eastAsia="en-AU"/>
              </w:rPr>
            </w:pPr>
            <w:r w:rsidRPr="00F50268">
              <w:rPr>
                <w:rFonts w:ascii="Arial" w:eastAsia="Times New Roman" w:hAnsi="Arial" w:cs="Arial"/>
                <w:color w:val="000000"/>
                <w:sz w:val="16"/>
                <w:szCs w:val="16"/>
                <w:lang w:eastAsia="en-AU"/>
              </w:rPr>
              <w:t>n/a</w:t>
            </w:r>
          </w:p>
        </w:tc>
      </w:tr>
    </w:tbl>
    <w:p w14:paraId="24F19652" w14:textId="77777777" w:rsidR="002F507F" w:rsidRDefault="002F507F" w:rsidP="002F507F">
      <w:pPr>
        <w:pStyle w:val="TableSourcefootnotes"/>
        <w:tabs>
          <w:tab w:val="left" w:pos="284"/>
        </w:tabs>
        <w:spacing w:before="0" w:after="0" w:line="240" w:lineRule="auto"/>
        <w:rPr>
          <w:rFonts w:cs="Arial"/>
        </w:rPr>
      </w:pPr>
    </w:p>
    <w:p w14:paraId="65D049FA" w14:textId="1CDC87E3" w:rsidR="00917E1F" w:rsidRDefault="00917E1F" w:rsidP="00814AD1">
      <w:pPr>
        <w:pStyle w:val="TableSourcefootnotes"/>
        <w:numPr>
          <w:ilvl w:val="0"/>
          <w:numId w:val="29"/>
        </w:numPr>
        <w:tabs>
          <w:tab w:val="left" w:pos="284"/>
        </w:tabs>
        <w:spacing w:before="0" w:after="0" w:line="240" w:lineRule="auto"/>
        <w:ind w:left="426"/>
        <w:rPr>
          <w:rFonts w:cs="Arial"/>
        </w:rPr>
      </w:pPr>
      <w:r>
        <w:rPr>
          <w:rFonts w:cs="Arial"/>
        </w:rPr>
        <w:t>Ethnicity groups descriptions are sourced from the Ministry of Health, New Zealand website</w:t>
      </w:r>
      <w:r w:rsidR="00724722">
        <w:rPr>
          <w:rFonts w:cs="Arial"/>
        </w:rPr>
        <w:t>.</w:t>
      </w:r>
    </w:p>
    <w:p w14:paraId="2B88F420" w14:textId="0A70F38E" w:rsidR="00435B5B" w:rsidRPr="00435B5B" w:rsidRDefault="00435B5B" w:rsidP="00814AD1">
      <w:pPr>
        <w:pStyle w:val="TableSourcefootnotes"/>
        <w:numPr>
          <w:ilvl w:val="0"/>
          <w:numId w:val="29"/>
        </w:numPr>
        <w:tabs>
          <w:tab w:val="left" w:pos="284"/>
        </w:tabs>
        <w:spacing w:before="0" w:after="0" w:line="240" w:lineRule="auto"/>
        <w:ind w:left="426"/>
        <w:rPr>
          <w:rFonts w:cs="Arial"/>
        </w:rPr>
      </w:pPr>
      <w:r w:rsidRPr="00617599">
        <w:rPr>
          <w:rFonts w:cs="Arial"/>
        </w:rPr>
        <w:t>Age at start of</w:t>
      </w:r>
      <w:r>
        <w:rPr>
          <w:rFonts w:cs="Arial"/>
        </w:rPr>
        <w:t xml:space="preserve"> initiated</w:t>
      </w:r>
      <w:r w:rsidRPr="00617599">
        <w:rPr>
          <w:rFonts w:cs="Arial"/>
        </w:rPr>
        <w:t xml:space="preserve"> treatment cycle.</w:t>
      </w:r>
    </w:p>
    <w:p w14:paraId="299357AE" w14:textId="1A10BD3B" w:rsidR="00435B5B" w:rsidRDefault="00435B5B" w:rsidP="00814AD1">
      <w:pPr>
        <w:pStyle w:val="TableSourcefootnotes"/>
        <w:numPr>
          <w:ilvl w:val="0"/>
          <w:numId w:val="29"/>
        </w:numPr>
        <w:tabs>
          <w:tab w:val="clear" w:pos="397"/>
          <w:tab w:val="left" w:pos="284"/>
        </w:tabs>
        <w:spacing w:before="0" w:after="0" w:line="240" w:lineRule="auto"/>
        <w:ind w:left="284" w:hanging="218"/>
        <w:rPr>
          <w:rFonts w:cs="Arial"/>
        </w:rPr>
      </w:pPr>
      <w:r>
        <w:rPr>
          <w:rFonts w:cs="Arial"/>
        </w:rPr>
        <w:t>Cycles where ethnicity data was not provided by ART Units or was reported as “Don’t know”, “Refused to answer”, “Response unidentifiable” or “Not stated”</w:t>
      </w:r>
      <w:r w:rsidR="00724722">
        <w:rPr>
          <w:rFonts w:cs="Arial"/>
        </w:rPr>
        <w:t>.</w:t>
      </w:r>
    </w:p>
    <w:p w14:paraId="13E02D17" w14:textId="516E3188" w:rsidR="00771B9F" w:rsidRPr="00952173" w:rsidRDefault="00771B9F" w:rsidP="00952173">
      <w:pPr>
        <w:pStyle w:val="NPESUbodytext"/>
        <w:rPr>
          <w:rFonts w:cs="Arial"/>
          <w:i/>
          <w:iCs/>
        </w:rPr>
      </w:pPr>
      <w:r w:rsidRPr="00952173">
        <w:rPr>
          <w:rFonts w:cs="Arial"/>
          <w:i/>
          <w:iCs/>
          <w:sz w:val="14"/>
        </w:rPr>
        <w:t>Note: Data are collected for each treatment cycle. Therefore, some individuals may be counted more than once</w:t>
      </w:r>
    </w:p>
    <w:p w14:paraId="04A37128" w14:textId="0B0907DD" w:rsidR="00204391" w:rsidRDefault="00204391">
      <w:pPr>
        <w:spacing w:after="160" w:line="259" w:lineRule="auto"/>
        <w:rPr>
          <w:rFonts w:ascii="Arial" w:eastAsia="Times New Roman" w:hAnsi="Arial" w:cs="Times New Roman"/>
          <w:sz w:val="22"/>
          <w:szCs w:val="20"/>
        </w:rPr>
      </w:pPr>
      <w:r>
        <w:rPr>
          <w:rFonts w:ascii="Arial" w:eastAsia="Times New Roman" w:hAnsi="Arial" w:cs="Times New Roman"/>
          <w:sz w:val="22"/>
          <w:szCs w:val="20"/>
        </w:rPr>
        <w:br w:type="page"/>
      </w:r>
    </w:p>
    <w:p w14:paraId="747F70FD" w14:textId="468CC45E" w:rsidR="002F507F" w:rsidRPr="00952173" w:rsidRDefault="00890F78">
      <w:pPr>
        <w:spacing w:after="160" w:line="259" w:lineRule="auto"/>
        <w:rPr>
          <w:rFonts w:ascii="Arial" w:eastAsia="Times New Roman" w:hAnsi="Arial" w:cs="Arial"/>
          <w:sz w:val="22"/>
          <w:szCs w:val="20"/>
          <w:lang w:eastAsia="en-AU"/>
        </w:rPr>
      </w:pPr>
      <w:r>
        <w:rPr>
          <w:rFonts w:ascii="Arial" w:eastAsia="Times New Roman" w:hAnsi="Arial" w:cs="Arial"/>
          <w:sz w:val="22"/>
          <w:szCs w:val="20"/>
          <w:lang w:eastAsia="en-AU"/>
        </w:rPr>
        <w:lastRenderedPageBreak/>
        <w:t>In 2021, a total of</w:t>
      </w:r>
      <w:r w:rsidR="00204391">
        <w:rPr>
          <w:rFonts w:ascii="Arial" w:eastAsia="Times New Roman" w:hAnsi="Arial" w:cs="Arial"/>
          <w:sz w:val="22"/>
          <w:szCs w:val="20"/>
          <w:lang w:eastAsia="en-AU"/>
        </w:rPr>
        <w:t xml:space="preserve"> </w:t>
      </w:r>
      <w:r w:rsidR="00336AF9">
        <w:rPr>
          <w:rFonts w:ascii="Arial" w:eastAsia="Times New Roman" w:hAnsi="Arial" w:cs="Arial"/>
          <w:sz w:val="22"/>
          <w:szCs w:val="20"/>
          <w:lang w:eastAsia="en-AU"/>
        </w:rPr>
        <w:t>5,192</w:t>
      </w:r>
      <w:r w:rsidR="00204391">
        <w:rPr>
          <w:rFonts w:ascii="Arial" w:eastAsia="Times New Roman" w:hAnsi="Arial" w:cs="Arial"/>
          <w:sz w:val="22"/>
          <w:szCs w:val="20"/>
          <w:lang w:eastAsia="en-AU"/>
        </w:rPr>
        <w:t xml:space="preserve"> women undertook </w:t>
      </w:r>
      <w:r w:rsidR="00E761EB">
        <w:rPr>
          <w:rFonts w:ascii="Arial" w:eastAsia="Times New Roman" w:hAnsi="Arial" w:cs="Arial"/>
          <w:sz w:val="22"/>
          <w:szCs w:val="20"/>
          <w:lang w:eastAsia="en-AU"/>
        </w:rPr>
        <w:t xml:space="preserve">at least one </w:t>
      </w:r>
      <w:r w:rsidR="00204391">
        <w:rPr>
          <w:rFonts w:ascii="Arial" w:eastAsia="Times New Roman" w:hAnsi="Arial" w:cs="Arial"/>
          <w:sz w:val="22"/>
          <w:szCs w:val="20"/>
          <w:lang w:eastAsia="en-AU"/>
        </w:rPr>
        <w:t>ART treatment cycle</w:t>
      </w:r>
      <w:r w:rsidR="00724722">
        <w:rPr>
          <w:rFonts w:ascii="Arial" w:eastAsia="Times New Roman" w:hAnsi="Arial" w:cs="Arial"/>
          <w:sz w:val="22"/>
          <w:szCs w:val="20"/>
          <w:lang w:eastAsia="en-AU"/>
        </w:rPr>
        <w:t xml:space="preserve"> (excluding surrogacy)</w:t>
      </w:r>
      <w:r w:rsidR="00204391">
        <w:rPr>
          <w:rFonts w:ascii="Arial" w:eastAsia="Times New Roman" w:hAnsi="Arial" w:cs="Arial"/>
          <w:sz w:val="22"/>
          <w:szCs w:val="20"/>
          <w:lang w:eastAsia="en-AU"/>
        </w:rPr>
        <w:t>. Of these,</w:t>
      </w:r>
      <w:r w:rsidR="00204391" w:rsidRPr="00952173">
        <w:rPr>
          <w:rFonts w:ascii="Arial" w:eastAsia="Times New Roman" w:hAnsi="Arial" w:cs="Arial"/>
          <w:sz w:val="22"/>
          <w:szCs w:val="20"/>
          <w:lang w:eastAsia="en-AU"/>
        </w:rPr>
        <w:t xml:space="preserve"> </w:t>
      </w:r>
      <w:r w:rsidR="00336AF9">
        <w:rPr>
          <w:rFonts w:ascii="Arial" w:eastAsia="Times New Roman" w:hAnsi="Arial" w:cs="Arial"/>
          <w:sz w:val="22"/>
          <w:szCs w:val="20"/>
          <w:lang w:eastAsia="en-AU"/>
        </w:rPr>
        <w:t>2,000</w:t>
      </w:r>
      <w:r w:rsidR="00724722" w:rsidRPr="00952173">
        <w:rPr>
          <w:rFonts w:ascii="Arial" w:eastAsia="Times New Roman" w:hAnsi="Arial" w:cs="Arial"/>
          <w:sz w:val="22"/>
          <w:szCs w:val="20"/>
          <w:lang w:eastAsia="en-AU"/>
        </w:rPr>
        <w:t xml:space="preserve"> </w:t>
      </w:r>
      <w:r w:rsidR="00204391" w:rsidRPr="00952173">
        <w:rPr>
          <w:rFonts w:ascii="Arial" w:eastAsia="Times New Roman" w:hAnsi="Arial" w:cs="Arial"/>
          <w:sz w:val="22"/>
          <w:szCs w:val="20"/>
          <w:lang w:eastAsia="en-AU"/>
        </w:rPr>
        <w:t xml:space="preserve">women </w:t>
      </w:r>
      <w:r w:rsidR="00204391">
        <w:rPr>
          <w:rFonts w:ascii="Arial" w:eastAsia="Times New Roman" w:hAnsi="Arial" w:cs="Arial"/>
          <w:sz w:val="22"/>
          <w:szCs w:val="20"/>
          <w:lang w:eastAsia="en-AU"/>
        </w:rPr>
        <w:t>(</w:t>
      </w:r>
      <w:r w:rsidR="00336AF9">
        <w:rPr>
          <w:rFonts w:ascii="Arial" w:eastAsia="Times New Roman" w:hAnsi="Arial" w:cs="Arial"/>
          <w:sz w:val="22"/>
          <w:szCs w:val="20"/>
          <w:lang w:eastAsia="en-AU"/>
        </w:rPr>
        <w:t>38.5</w:t>
      </w:r>
      <w:r w:rsidR="00204391">
        <w:rPr>
          <w:rFonts w:ascii="Arial" w:eastAsia="Times New Roman" w:hAnsi="Arial" w:cs="Arial"/>
          <w:sz w:val="22"/>
          <w:szCs w:val="20"/>
          <w:lang w:eastAsia="en-AU"/>
        </w:rPr>
        <w:t xml:space="preserve">%) </w:t>
      </w:r>
      <w:r w:rsidR="00204391" w:rsidRPr="00952173">
        <w:rPr>
          <w:rFonts w:ascii="Arial" w:eastAsia="Times New Roman" w:hAnsi="Arial" w:cs="Arial"/>
          <w:sz w:val="22"/>
          <w:szCs w:val="20"/>
          <w:lang w:eastAsia="en-AU"/>
        </w:rPr>
        <w:t>had a live birth</w:t>
      </w:r>
      <w:r w:rsidR="008B5079">
        <w:rPr>
          <w:rFonts w:ascii="Arial" w:eastAsia="Times New Roman" w:hAnsi="Arial" w:cs="Arial"/>
          <w:sz w:val="22"/>
          <w:szCs w:val="20"/>
          <w:lang w:eastAsia="en-AU"/>
        </w:rPr>
        <w:t xml:space="preserve">. </w:t>
      </w:r>
      <w:r w:rsidR="00922ED9">
        <w:rPr>
          <w:rFonts w:ascii="Arial" w:eastAsia="Times New Roman" w:hAnsi="Arial" w:cs="Arial"/>
          <w:sz w:val="22"/>
          <w:szCs w:val="20"/>
          <w:lang w:eastAsia="en-AU"/>
        </w:rPr>
        <w:t>The mean age of women undertaking ART treatment cycles was 35.</w:t>
      </w:r>
      <w:r w:rsidR="00336AF9">
        <w:rPr>
          <w:rFonts w:ascii="Arial" w:eastAsia="Times New Roman" w:hAnsi="Arial" w:cs="Arial"/>
          <w:sz w:val="22"/>
          <w:szCs w:val="20"/>
          <w:lang w:eastAsia="en-AU"/>
        </w:rPr>
        <w:t>4</w:t>
      </w:r>
      <w:r w:rsidR="00922ED9">
        <w:rPr>
          <w:rFonts w:ascii="Arial" w:eastAsia="Times New Roman" w:hAnsi="Arial" w:cs="Arial"/>
          <w:sz w:val="22"/>
          <w:szCs w:val="20"/>
          <w:lang w:eastAsia="en-AU"/>
        </w:rPr>
        <w:t xml:space="preserve"> years. </w:t>
      </w:r>
      <w:r w:rsidR="008B5079">
        <w:rPr>
          <w:rFonts w:ascii="Arial" w:eastAsia="Times New Roman" w:hAnsi="Arial" w:cs="Arial"/>
          <w:sz w:val="22"/>
          <w:szCs w:val="20"/>
          <w:lang w:eastAsia="en-AU"/>
        </w:rPr>
        <w:t xml:space="preserve">Women of European ethnicity made up </w:t>
      </w:r>
      <w:r w:rsidR="00724722">
        <w:rPr>
          <w:rFonts w:ascii="Arial" w:eastAsia="Times New Roman" w:hAnsi="Arial" w:cs="Arial"/>
          <w:sz w:val="22"/>
          <w:szCs w:val="20"/>
          <w:lang w:eastAsia="en-AU"/>
        </w:rPr>
        <w:t>more than half</w:t>
      </w:r>
      <w:r w:rsidR="008B5079">
        <w:rPr>
          <w:rFonts w:ascii="Arial" w:eastAsia="Times New Roman" w:hAnsi="Arial" w:cs="Arial"/>
          <w:sz w:val="22"/>
          <w:szCs w:val="20"/>
          <w:lang w:eastAsia="en-AU"/>
        </w:rPr>
        <w:t xml:space="preserve"> (</w:t>
      </w:r>
      <w:r w:rsidR="003B72D2">
        <w:rPr>
          <w:rFonts w:ascii="Arial" w:eastAsia="Times New Roman" w:hAnsi="Arial" w:cs="Arial"/>
          <w:sz w:val="22"/>
          <w:szCs w:val="20"/>
          <w:lang w:eastAsia="en-AU"/>
        </w:rPr>
        <w:t>5</w:t>
      </w:r>
      <w:r w:rsidR="00336AF9">
        <w:rPr>
          <w:rFonts w:ascii="Arial" w:eastAsia="Times New Roman" w:hAnsi="Arial" w:cs="Arial"/>
          <w:sz w:val="22"/>
          <w:szCs w:val="20"/>
          <w:lang w:eastAsia="en-AU"/>
        </w:rPr>
        <w:t>8</w:t>
      </w:r>
      <w:r w:rsidR="00204391" w:rsidRPr="00952173">
        <w:rPr>
          <w:rFonts w:ascii="Arial" w:eastAsia="Times New Roman" w:hAnsi="Arial" w:cs="Arial"/>
          <w:sz w:val="22"/>
          <w:szCs w:val="20"/>
          <w:lang w:eastAsia="en-AU"/>
        </w:rPr>
        <w:t>%</w:t>
      </w:r>
      <w:r w:rsidR="008B5079">
        <w:rPr>
          <w:rFonts w:ascii="Arial" w:eastAsia="Times New Roman" w:hAnsi="Arial" w:cs="Arial"/>
          <w:sz w:val="22"/>
          <w:szCs w:val="20"/>
          <w:lang w:eastAsia="en-AU"/>
        </w:rPr>
        <w:t xml:space="preserve">) </w:t>
      </w:r>
      <w:r w:rsidR="00204391" w:rsidRPr="00952173">
        <w:rPr>
          <w:rFonts w:ascii="Arial" w:eastAsia="Times New Roman" w:hAnsi="Arial" w:cs="Arial"/>
          <w:sz w:val="22"/>
          <w:szCs w:val="20"/>
          <w:lang w:eastAsia="en-AU"/>
        </w:rPr>
        <w:t>of</w:t>
      </w:r>
      <w:r w:rsidR="008B5079">
        <w:rPr>
          <w:rFonts w:ascii="Arial" w:eastAsia="Times New Roman" w:hAnsi="Arial" w:cs="Arial"/>
          <w:sz w:val="22"/>
          <w:szCs w:val="20"/>
          <w:lang w:eastAsia="en-AU"/>
        </w:rPr>
        <w:t xml:space="preserve"> the women that had a live birth</w:t>
      </w:r>
      <w:r w:rsidR="00204391" w:rsidRPr="00952173">
        <w:rPr>
          <w:rFonts w:ascii="Arial" w:eastAsia="Times New Roman" w:hAnsi="Arial" w:cs="Arial"/>
          <w:sz w:val="22"/>
          <w:szCs w:val="20"/>
          <w:lang w:eastAsia="en-AU"/>
        </w:rPr>
        <w:t xml:space="preserve">. </w:t>
      </w:r>
      <w:r w:rsidR="00336AF9">
        <w:rPr>
          <w:rFonts w:ascii="Arial" w:eastAsia="Times New Roman" w:hAnsi="Arial" w:cs="Arial"/>
          <w:sz w:val="22"/>
          <w:szCs w:val="20"/>
          <w:lang w:eastAsia="en-AU"/>
        </w:rPr>
        <w:t>Forty percent</w:t>
      </w:r>
      <w:r w:rsidR="00204391" w:rsidRPr="00952173">
        <w:rPr>
          <w:rFonts w:ascii="Arial" w:eastAsia="Times New Roman" w:hAnsi="Arial" w:cs="Arial"/>
          <w:sz w:val="22"/>
          <w:szCs w:val="20"/>
          <w:lang w:eastAsia="en-AU"/>
        </w:rPr>
        <w:t xml:space="preserve"> of women who reported more than one ethnicity had a live birth (Table 3).</w:t>
      </w:r>
    </w:p>
    <w:tbl>
      <w:tblPr>
        <w:tblW w:w="5000" w:type="pct"/>
        <w:tblCellMar>
          <w:top w:w="15" w:type="dxa"/>
          <w:left w:w="15" w:type="dxa"/>
          <w:bottom w:w="15" w:type="dxa"/>
          <w:right w:w="15" w:type="dxa"/>
        </w:tblCellMar>
        <w:tblLook w:val="04A0" w:firstRow="1" w:lastRow="0" w:firstColumn="1" w:lastColumn="0" w:noHBand="0" w:noVBand="1"/>
      </w:tblPr>
      <w:tblGrid>
        <w:gridCol w:w="2128"/>
        <w:gridCol w:w="1274"/>
        <w:gridCol w:w="1085"/>
        <w:gridCol w:w="49"/>
        <w:gridCol w:w="49"/>
        <w:gridCol w:w="1276"/>
        <w:gridCol w:w="1080"/>
        <w:gridCol w:w="54"/>
        <w:gridCol w:w="54"/>
        <w:gridCol w:w="1977"/>
      </w:tblGrid>
      <w:tr w:rsidR="002F507F" w:rsidRPr="00617599" w14:paraId="5AE7F7AE" w14:textId="77777777" w:rsidTr="00C03A13">
        <w:trPr>
          <w:tblHeader/>
        </w:trPr>
        <w:tc>
          <w:tcPr>
            <w:tcW w:w="5000" w:type="pct"/>
            <w:gridSpan w:val="10"/>
            <w:shd w:val="clear" w:color="auto" w:fill="auto"/>
            <w:tcMar>
              <w:top w:w="0" w:type="dxa"/>
              <w:left w:w="0" w:type="dxa"/>
              <w:bottom w:w="0" w:type="dxa"/>
              <w:right w:w="0" w:type="dxa"/>
            </w:tcMar>
            <w:vAlign w:val="center"/>
            <w:hideMark/>
          </w:tcPr>
          <w:p w14:paraId="55F609EF" w14:textId="21561B73" w:rsidR="002F507F" w:rsidRPr="00A518BC" w:rsidRDefault="002F507F" w:rsidP="008B2C29">
            <w:pPr>
              <w:pStyle w:val="Caption"/>
              <w:spacing w:before="60" w:line="260" w:lineRule="atLeast"/>
              <w:rPr>
                <w:rFonts w:eastAsia="Times New Roman"/>
                <w:lang w:eastAsia="en-AU"/>
              </w:rPr>
            </w:pPr>
            <w:bookmarkStart w:id="207" w:name="_Toc158026552"/>
            <w:r w:rsidRPr="00A518BC">
              <w:rPr>
                <w:rFonts w:eastAsia="Times New Roman"/>
                <w:lang w:eastAsia="en-AU"/>
              </w:rPr>
              <w:t xml:space="preserve">Table </w:t>
            </w:r>
            <w:r w:rsidR="007A0DFB">
              <w:rPr>
                <w:rFonts w:eastAsia="Times New Roman"/>
                <w:lang w:eastAsia="en-AU"/>
              </w:rPr>
              <w:t>3</w:t>
            </w:r>
            <w:r w:rsidRPr="00A518BC">
              <w:rPr>
                <w:rFonts w:eastAsia="Times New Roman"/>
                <w:lang w:eastAsia="en-AU"/>
              </w:rPr>
              <w:t>: Number of women undertaking ART treatment cycles</w:t>
            </w:r>
            <w:r w:rsidR="00E761EB">
              <w:rPr>
                <w:rFonts w:eastAsia="Times New Roman"/>
                <w:lang w:eastAsia="en-AU"/>
              </w:rPr>
              <w:t xml:space="preserve"> (excluding surrogacy)</w:t>
            </w:r>
            <w:r w:rsidRPr="00A518BC">
              <w:rPr>
                <w:rFonts w:eastAsia="Times New Roman"/>
                <w:lang w:eastAsia="en-AU"/>
              </w:rPr>
              <w:t xml:space="preserve"> by ethnicity, New Zealand, 20</w:t>
            </w:r>
            <w:r w:rsidR="00BD709D">
              <w:rPr>
                <w:rFonts w:eastAsia="Times New Roman"/>
                <w:lang w:eastAsia="en-AU"/>
              </w:rPr>
              <w:t>2</w:t>
            </w:r>
            <w:r w:rsidR="00197CB6">
              <w:rPr>
                <w:rFonts w:eastAsia="Times New Roman"/>
                <w:lang w:eastAsia="en-AU"/>
              </w:rPr>
              <w:t>1</w:t>
            </w:r>
            <w:bookmarkEnd w:id="207"/>
          </w:p>
        </w:tc>
      </w:tr>
      <w:tr w:rsidR="00F5174E" w:rsidRPr="00617599" w14:paraId="630DFAC7" w14:textId="77777777" w:rsidTr="00CA5EE3">
        <w:trPr>
          <w:trHeight w:val="284"/>
          <w:tblHeader/>
        </w:trPr>
        <w:tc>
          <w:tcPr>
            <w:tcW w:w="1179" w:type="pct"/>
            <w:tcBorders>
              <w:top w:val="single" w:sz="12" w:space="0" w:color="auto"/>
            </w:tcBorders>
            <w:shd w:val="clear" w:color="auto" w:fill="auto"/>
            <w:tcMar>
              <w:top w:w="0" w:type="dxa"/>
              <w:left w:w="0" w:type="dxa"/>
              <w:bottom w:w="0" w:type="dxa"/>
              <w:right w:w="0" w:type="dxa"/>
            </w:tcMar>
            <w:vAlign w:val="center"/>
            <w:hideMark/>
          </w:tcPr>
          <w:p w14:paraId="1015B098" w14:textId="77777777" w:rsidR="00F5174E" w:rsidRPr="00617599" w:rsidRDefault="00F5174E" w:rsidP="00C03A13">
            <w:pPr>
              <w:spacing w:after="0" w:line="276" w:lineRule="auto"/>
              <w:jc w:val="center"/>
              <w:rPr>
                <w:rFonts w:ascii="Arial" w:eastAsia="Times New Roman" w:hAnsi="Arial" w:cs="Arial"/>
                <w:b/>
                <w:bCs/>
                <w:sz w:val="16"/>
                <w:szCs w:val="16"/>
                <w:lang w:eastAsia="en-AU"/>
              </w:rPr>
            </w:pPr>
          </w:p>
        </w:tc>
        <w:tc>
          <w:tcPr>
            <w:tcW w:w="1307" w:type="pct"/>
            <w:gridSpan w:val="2"/>
            <w:tcBorders>
              <w:top w:val="single" w:sz="12" w:space="0" w:color="auto"/>
              <w:bottom w:val="single" w:sz="6" w:space="0" w:color="808080"/>
            </w:tcBorders>
            <w:shd w:val="clear" w:color="auto" w:fill="auto"/>
            <w:tcMar>
              <w:top w:w="0" w:type="dxa"/>
              <w:left w:w="0" w:type="dxa"/>
              <w:bottom w:w="0" w:type="dxa"/>
              <w:right w:w="0" w:type="dxa"/>
            </w:tcMar>
            <w:vAlign w:val="center"/>
            <w:hideMark/>
          </w:tcPr>
          <w:p w14:paraId="2B247DA7" w14:textId="77777777" w:rsidR="00F5174E" w:rsidRPr="00617599" w:rsidRDefault="00F5174E" w:rsidP="00C03A13">
            <w:pPr>
              <w:spacing w:after="0" w:line="276" w:lineRule="auto"/>
              <w:jc w:val="center"/>
              <w:rPr>
                <w:rFonts w:ascii="Arial" w:eastAsia="Times New Roman" w:hAnsi="Arial" w:cs="Arial"/>
                <w:b/>
                <w:bCs/>
                <w:sz w:val="16"/>
                <w:szCs w:val="16"/>
                <w:lang w:eastAsia="en-AU"/>
              </w:rPr>
            </w:pPr>
            <w:r>
              <w:rPr>
                <w:rFonts w:ascii="Arial" w:eastAsia="Times New Roman" w:hAnsi="Arial" w:cs="Arial"/>
                <w:b/>
                <w:bCs/>
                <w:sz w:val="16"/>
                <w:szCs w:val="16"/>
                <w:lang w:eastAsia="en-AU"/>
              </w:rPr>
              <w:t>Women</w:t>
            </w:r>
          </w:p>
        </w:tc>
        <w:tc>
          <w:tcPr>
            <w:tcW w:w="27" w:type="pct"/>
            <w:tcBorders>
              <w:top w:val="single" w:sz="12" w:space="0" w:color="auto"/>
            </w:tcBorders>
            <w:shd w:val="clear" w:color="auto" w:fill="auto"/>
            <w:tcMar>
              <w:top w:w="0" w:type="dxa"/>
              <w:left w:w="0" w:type="dxa"/>
              <w:bottom w:w="0" w:type="dxa"/>
              <w:right w:w="0" w:type="dxa"/>
            </w:tcMar>
            <w:vAlign w:val="center"/>
            <w:hideMark/>
          </w:tcPr>
          <w:p w14:paraId="31F53F9E" w14:textId="77777777" w:rsidR="00F5174E" w:rsidRPr="00617599" w:rsidRDefault="00F5174E"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1362" w:type="pct"/>
            <w:gridSpan w:val="4"/>
            <w:tcBorders>
              <w:top w:val="single" w:sz="12" w:space="0" w:color="auto"/>
              <w:bottom w:val="single" w:sz="6" w:space="0" w:color="808080"/>
            </w:tcBorders>
            <w:shd w:val="clear" w:color="auto" w:fill="auto"/>
            <w:tcMar>
              <w:top w:w="0" w:type="dxa"/>
              <w:left w:w="0" w:type="dxa"/>
              <w:bottom w:w="0" w:type="dxa"/>
              <w:right w:w="0" w:type="dxa"/>
            </w:tcMar>
            <w:vAlign w:val="center"/>
            <w:hideMark/>
          </w:tcPr>
          <w:p w14:paraId="289662F9" w14:textId="2F328D1E" w:rsidR="00F5174E" w:rsidRPr="00617599" w:rsidRDefault="00F5174E" w:rsidP="00C03A13">
            <w:pPr>
              <w:spacing w:after="0" w:line="276" w:lineRule="auto"/>
              <w:jc w:val="center"/>
              <w:rPr>
                <w:rFonts w:ascii="Arial" w:eastAsia="Times New Roman" w:hAnsi="Arial" w:cs="Arial"/>
                <w:b/>
                <w:bCs/>
                <w:sz w:val="16"/>
                <w:szCs w:val="16"/>
                <w:lang w:eastAsia="en-AU"/>
              </w:rPr>
            </w:pPr>
            <w:r>
              <w:rPr>
                <w:rFonts w:ascii="Arial" w:eastAsia="Times New Roman" w:hAnsi="Arial" w:cs="Arial"/>
                <w:b/>
                <w:bCs/>
                <w:sz w:val="16"/>
                <w:szCs w:val="16"/>
                <w:lang w:eastAsia="en-AU"/>
              </w:rPr>
              <w:t>W</w:t>
            </w:r>
            <w:r w:rsidRPr="00FC60C5">
              <w:rPr>
                <w:rFonts w:ascii="Arial" w:eastAsia="Times New Roman" w:hAnsi="Arial" w:cs="Arial"/>
                <w:b/>
                <w:bCs/>
                <w:sz w:val="16"/>
                <w:szCs w:val="16"/>
                <w:lang w:eastAsia="en-AU"/>
              </w:rPr>
              <w:t>omen who had a live birth</w:t>
            </w:r>
            <w:r w:rsidR="00435B5B" w:rsidRPr="0076446A">
              <w:rPr>
                <w:rFonts w:ascii="Arial" w:eastAsia="Times New Roman" w:hAnsi="Arial" w:cs="Arial"/>
                <w:b/>
                <w:bCs/>
                <w:sz w:val="16"/>
                <w:szCs w:val="16"/>
                <w:vertAlign w:val="superscript"/>
                <w:lang w:eastAsia="en-AU"/>
              </w:rPr>
              <w:t>(</w:t>
            </w:r>
            <w:r w:rsidR="00435B5B">
              <w:rPr>
                <w:rFonts w:ascii="Arial" w:eastAsia="Times New Roman" w:hAnsi="Arial" w:cs="Arial"/>
                <w:b/>
                <w:bCs/>
                <w:sz w:val="16"/>
                <w:szCs w:val="16"/>
                <w:vertAlign w:val="superscript"/>
                <w:lang w:eastAsia="en-AU"/>
              </w:rPr>
              <w:t>b</w:t>
            </w:r>
            <w:r w:rsidR="00435B5B" w:rsidRPr="00617599">
              <w:rPr>
                <w:rFonts w:ascii="Arial" w:eastAsia="Times New Roman" w:hAnsi="Arial" w:cs="Arial"/>
                <w:b/>
                <w:bCs/>
                <w:sz w:val="16"/>
                <w:szCs w:val="16"/>
                <w:vertAlign w:val="superscript"/>
                <w:lang w:eastAsia="en-AU"/>
              </w:rPr>
              <w:t>)</w:t>
            </w:r>
          </w:p>
        </w:tc>
        <w:tc>
          <w:tcPr>
            <w:tcW w:w="30" w:type="pct"/>
            <w:tcBorders>
              <w:top w:val="single" w:sz="12" w:space="0" w:color="auto"/>
            </w:tcBorders>
            <w:shd w:val="clear" w:color="auto" w:fill="auto"/>
            <w:tcMar>
              <w:top w:w="0" w:type="dxa"/>
              <w:left w:w="0" w:type="dxa"/>
              <w:bottom w:w="0" w:type="dxa"/>
              <w:right w:w="0" w:type="dxa"/>
            </w:tcMar>
            <w:vAlign w:val="center"/>
            <w:hideMark/>
          </w:tcPr>
          <w:p w14:paraId="2C5FA461" w14:textId="77777777" w:rsidR="00F5174E" w:rsidRPr="00617599" w:rsidRDefault="00F5174E"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1095" w:type="pct"/>
            <w:vMerge w:val="restart"/>
            <w:tcBorders>
              <w:top w:val="single" w:sz="12" w:space="0" w:color="auto"/>
            </w:tcBorders>
            <w:shd w:val="clear" w:color="auto" w:fill="auto"/>
            <w:tcMar>
              <w:top w:w="0" w:type="dxa"/>
              <w:left w:w="0" w:type="dxa"/>
              <w:bottom w:w="0" w:type="dxa"/>
              <w:right w:w="0" w:type="dxa"/>
            </w:tcMar>
          </w:tcPr>
          <w:p w14:paraId="5079931F" w14:textId="7CCED261" w:rsidR="00F5174E" w:rsidRPr="00617599" w:rsidRDefault="00A2466B" w:rsidP="00952173">
            <w:pPr>
              <w:tabs>
                <w:tab w:val="left" w:pos="255"/>
                <w:tab w:val="center" w:pos="1040"/>
              </w:tabs>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M</w:t>
            </w:r>
            <w:r w:rsidR="00F5174E" w:rsidRPr="0076446A">
              <w:rPr>
                <w:rFonts w:ascii="Arial" w:eastAsia="Times New Roman" w:hAnsi="Arial" w:cs="Arial"/>
                <w:b/>
                <w:bCs/>
                <w:sz w:val="16"/>
                <w:szCs w:val="16"/>
                <w:lang w:eastAsia="en-AU"/>
              </w:rPr>
              <w:t>ean age (years)</w:t>
            </w:r>
            <w:r w:rsidR="00F5174E" w:rsidRPr="0076446A">
              <w:rPr>
                <w:rFonts w:ascii="Arial" w:eastAsia="Times New Roman" w:hAnsi="Arial" w:cs="Arial"/>
                <w:b/>
                <w:bCs/>
                <w:sz w:val="16"/>
                <w:szCs w:val="16"/>
                <w:vertAlign w:val="superscript"/>
                <w:lang w:eastAsia="en-AU"/>
              </w:rPr>
              <w:t xml:space="preserve"> (</w:t>
            </w:r>
            <w:r w:rsidR="00435B5B">
              <w:rPr>
                <w:rFonts w:ascii="Arial" w:eastAsia="Times New Roman" w:hAnsi="Arial" w:cs="Arial"/>
                <w:b/>
                <w:bCs/>
                <w:sz w:val="16"/>
                <w:szCs w:val="16"/>
                <w:vertAlign w:val="superscript"/>
                <w:lang w:eastAsia="en-AU"/>
              </w:rPr>
              <w:t>c</w:t>
            </w:r>
            <w:r w:rsidR="00F5174E" w:rsidRPr="00617599">
              <w:rPr>
                <w:rFonts w:ascii="Arial" w:eastAsia="Times New Roman" w:hAnsi="Arial" w:cs="Arial"/>
                <w:b/>
                <w:bCs/>
                <w:sz w:val="16"/>
                <w:szCs w:val="16"/>
                <w:vertAlign w:val="superscript"/>
                <w:lang w:eastAsia="en-AU"/>
              </w:rPr>
              <w:t>)</w:t>
            </w:r>
          </w:p>
        </w:tc>
      </w:tr>
      <w:tr w:rsidR="00F5174E" w:rsidRPr="00617599" w14:paraId="3CB632FE" w14:textId="77777777" w:rsidTr="00CA5EE3">
        <w:trPr>
          <w:trHeight w:val="284"/>
          <w:tblHeader/>
        </w:trPr>
        <w:tc>
          <w:tcPr>
            <w:tcW w:w="1179" w:type="pct"/>
            <w:tcBorders>
              <w:bottom w:val="single" w:sz="6" w:space="0" w:color="808080"/>
            </w:tcBorders>
            <w:shd w:val="clear" w:color="auto" w:fill="auto"/>
            <w:tcMar>
              <w:top w:w="0" w:type="dxa"/>
              <w:left w:w="0" w:type="dxa"/>
              <w:bottom w:w="0" w:type="dxa"/>
              <w:right w:w="0" w:type="dxa"/>
            </w:tcMar>
            <w:vAlign w:val="center"/>
            <w:hideMark/>
          </w:tcPr>
          <w:p w14:paraId="2A5AA16D" w14:textId="0F2A6C05" w:rsidR="00F5174E" w:rsidRPr="0004464D" w:rsidRDefault="00F5174E" w:rsidP="00C03A13">
            <w:pPr>
              <w:spacing w:after="0" w:line="276" w:lineRule="auto"/>
              <w:rPr>
                <w:rFonts w:ascii="Arial" w:eastAsia="Times New Roman" w:hAnsi="Arial" w:cs="Arial"/>
                <w:b/>
                <w:bCs/>
                <w:sz w:val="16"/>
                <w:szCs w:val="16"/>
                <w:vertAlign w:val="superscript"/>
                <w:lang w:eastAsia="en-AU"/>
              </w:rPr>
            </w:pPr>
            <w:r w:rsidRPr="00FC60C5">
              <w:rPr>
                <w:rFonts w:ascii="Arial" w:eastAsia="Times New Roman" w:hAnsi="Arial" w:cs="Arial"/>
                <w:b/>
                <w:bCs/>
                <w:sz w:val="16"/>
                <w:szCs w:val="16"/>
                <w:lang w:eastAsia="en-AU"/>
              </w:rPr>
              <w:t>Ethnicity</w:t>
            </w:r>
            <w:r w:rsidR="00435B5B" w:rsidRPr="00CA5EE3">
              <w:rPr>
                <w:rFonts w:ascii="Arial" w:eastAsia="Times New Roman" w:hAnsi="Arial" w:cs="Arial"/>
                <w:b/>
                <w:bCs/>
                <w:sz w:val="16"/>
                <w:szCs w:val="16"/>
                <w:vertAlign w:val="superscript"/>
                <w:lang w:eastAsia="en-AU"/>
              </w:rPr>
              <w:t>(a)</w:t>
            </w:r>
          </w:p>
        </w:tc>
        <w:tc>
          <w:tcPr>
            <w:tcW w:w="706" w:type="pct"/>
            <w:tcBorders>
              <w:bottom w:val="single" w:sz="6" w:space="0" w:color="808080"/>
            </w:tcBorders>
            <w:shd w:val="clear" w:color="auto" w:fill="auto"/>
            <w:tcMar>
              <w:top w:w="0" w:type="dxa"/>
              <w:left w:w="0" w:type="dxa"/>
              <w:bottom w:w="0" w:type="dxa"/>
              <w:right w:w="0" w:type="dxa"/>
            </w:tcMar>
            <w:vAlign w:val="center"/>
            <w:hideMark/>
          </w:tcPr>
          <w:p w14:paraId="71EF931C" w14:textId="77777777" w:rsidR="00F5174E" w:rsidRPr="00617599" w:rsidRDefault="00F5174E" w:rsidP="00C03A13">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601" w:type="pct"/>
            <w:tcBorders>
              <w:bottom w:val="single" w:sz="6" w:space="0" w:color="808080"/>
            </w:tcBorders>
            <w:shd w:val="clear" w:color="auto" w:fill="auto"/>
            <w:tcMar>
              <w:top w:w="0" w:type="dxa"/>
              <w:left w:w="0" w:type="dxa"/>
              <w:bottom w:w="0" w:type="dxa"/>
              <w:right w:w="0" w:type="dxa"/>
            </w:tcMar>
            <w:vAlign w:val="center"/>
            <w:hideMark/>
          </w:tcPr>
          <w:p w14:paraId="0EEB8213" w14:textId="77777777" w:rsidR="00F5174E" w:rsidRPr="00617599" w:rsidRDefault="00F5174E" w:rsidP="00C03A13">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27" w:type="pct"/>
            <w:tcBorders>
              <w:bottom w:val="single" w:sz="6" w:space="0" w:color="808080"/>
            </w:tcBorders>
            <w:shd w:val="clear" w:color="auto" w:fill="auto"/>
            <w:tcMar>
              <w:top w:w="0" w:type="dxa"/>
              <w:left w:w="0" w:type="dxa"/>
              <w:bottom w:w="0" w:type="dxa"/>
              <w:right w:w="0" w:type="dxa"/>
            </w:tcMar>
            <w:vAlign w:val="center"/>
            <w:hideMark/>
          </w:tcPr>
          <w:p w14:paraId="7BE9D1C4" w14:textId="77777777" w:rsidR="00F5174E" w:rsidRPr="00617599" w:rsidRDefault="00F5174E" w:rsidP="00C03A13">
            <w:pPr>
              <w:spacing w:after="0" w:line="276" w:lineRule="auto"/>
              <w:jc w:val="right"/>
              <w:rPr>
                <w:rFonts w:ascii="Arial" w:eastAsia="Times New Roman" w:hAnsi="Arial" w:cs="Arial"/>
                <w:b/>
                <w:bCs/>
                <w:sz w:val="16"/>
                <w:szCs w:val="16"/>
                <w:lang w:eastAsia="en-AU"/>
              </w:rPr>
            </w:pPr>
          </w:p>
        </w:tc>
        <w:tc>
          <w:tcPr>
            <w:tcW w:w="734" w:type="pct"/>
            <w:gridSpan w:val="2"/>
            <w:tcBorders>
              <w:bottom w:val="single" w:sz="6" w:space="0" w:color="808080"/>
            </w:tcBorders>
            <w:shd w:val="clear" w:color="auto" w:fill="auto"/>
            <w:tcMar>
              <w:top w:w="0" w:type="dxa"/>
              <w:left w:w="0" w:type="dxa"/>
              <w:bottom w:w="0" w:type="dxa"/>
              <w:right w:w="0" w:type="dxa"/>
            </w:tcMar>
            <w:vAlign w:val="center"/>
            <w:hideMark/>
          </w:tcPr>
          <w:p w14:paraId="54213540" w14:textId="77777777" w:rsidR="00F5174E" w:rsidRPr="00617599" w:rsidRDefault="00F5174E" w:rsidP="00C03A13">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628" w:type="pct"/>
            <w:gridSpan w:val="2"/>
            <w:tcBorders>
              <w:bottom w:val="single" w:sz="6" w:space="0" w:color="808080"/>
            </w:tcBorders>
            <w:shd w:val="clear" w:color="auto" w:fill="auto"/>
            <w:tcMar>
              <w:top w:w="0" w:type="dxa"/>
              <w:left w:w="0" w:type="dxa"/>
              <w:bottom w:w="0" w:type="dxa"/>
              <w:right w:w="0" w:type="dxa"/>
            </w:tcMar>
            <w:vAlign w:val="center"/>
            <w:hideMark/>
          </w:tcPr>
          <w:p w14:paraId="1904CB91" w14:textId="77777777" w:rsidR="00F5174E" w:rsidRPr="00617599" w:rsidRDefault="00F5174E" w:rsidP="00C03A13">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30" w:type="pct"/>
            <w:tcBorders>
              <w:bottom w:val="single" w:sz="6" w:space="0" w:color="808080"/>
            </w:tcBorders>
            <w:shd w:val="clear" w:color="auto" w:fill="auto"/>
            <w:tcMar>
              <w:top w:w="0" w:type="dxa"/>
              <w:left w:w="0" w:type="dxa"/>
              <w:bottom w:w="0" w:type="dxa"/>
              <w:right w:w="0" w:type="dxa"/>
            </w:tcMar>
            <w:vAlign w:val="center"/>
            <w:hideMark/>
          </w:tcPr>
          <w:p w14:paraId="6802420E" w14:textId="77777777" w:rsidR="00F5174E" w:rsidRPr="00617599" w:rsidRDefault="00F5174E" w:rsidP="00C03A13">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1095" w:type="pct"/>
            <w:vMerge/>
            <w:tcBorders>
              <w:bottom w:val="single" w:sz="6" w:space="0" w:color="808080"/>
            </w:tcBorders>
            <w:shd w:val="clear" w:color="auto" w:fill="auto"/>
            <w:tcMar>
              <w:top w:w="0" w:type="dxa"/>
              <w:left w:w="0" w:type="dxa"/>
              <w:bottom w:w="0" w:type="dxa"/>
              <w:right w:w="0" w:type="dxa"/>
            </w:tcMar>
            <w:vAlign w:val="center"/>
          </w:tcPr>
          <w:p w14:paraId="39ACFEC2" w14:textId="234647D6" w:rsidR="00F5174E" w:rsidRPr="00617599" w:rsidRDefault="00F5174E" w:rsidP="00C03A13">
            <w:pPr>
              <w:spacing w:after="0" w:line="276" w:lineRule="auto"/>
              <w:jc w:val="right"/>
              <w:rPr>
                <w:rFonts w:ascii="Arial" w:eastAsia="Times New Roman" w:hAnsi="Arial" w:cs="Arial"/>
                <w:b/>
                <w:bCs/>
                <w:sz w:val="16"/>
                <w:szCs w:val="16"/>
                <w:lang w:eastAsia="en-AU"/>
              </w:rPr>
            </w:pPr>
          </w:p>
        </w:tc>
      </w:tr>
      <w:tr w:rsidR="00890F78" w:rsidRPr="00617599" w14:paraId="32EA2E82" w14:textId="77777777" w:rsidTr="00BB5310">
        <w:trPr>
          <w:trHeight w:val="284"/>
        </w:trPr>
        <w:tc>
          <w:tcPr>
            <w:tcW w:w="1179" w:type="pct"/>
            <w:shd w:val="clear" w:color="auto" w:fill="auto"/>
            <w:tcMar>
              <w:top w:w="0" w:type="dxa"/>
              <w:left w:w="0" w:type="dxa"/>
              <w:bottom w:w="0" w:type="dxa"/>
              <w:right w:w="0" w:type="dxa"/>
            </w:tcMar>
            <w:vAlign w:val="bottom"/>
          </w:tcPr>
          <w:p w14:paraId="34CEFDEF" w14:textId="1A668C8D" w:rsidR="00890F78" w:rsidRPr="00617599" w:rsidRDefault="00890F78" w:rsidP="00890F78">
            <w:pPr>
              <w:spacing w:after="0" w:line="276" w:lineRule="auto"/>
              <w:rPr>
                <w:rFonts w:ascii="Arial" w:eastAsia="Times New Roman" w:hAnsi="Arial" w:cs="Arial"/>
                <w:sz w:val="16"/>
                <w:szCs w:val="16"/>
                <w:lang w:eastAsia="en-AU"/>
              </w:rPr>
            </w:pPr>
            <w:r w:rsidRPr="00FC60C5">
              <w:rPr>
                <w:rFonts w:ascii="Arial" w:hAnsi="Arial" w:cs="Arial"/>
                <w:color w:val="000000"/>
                <w:sz w:val="16"/>
                <w:szCs w:val="16"/>
              </w:rPr>
              <w:t>European</w:t>
            </w:r>
          </w:p>
        </w:tc>
        <w:tc>
          <w:tcPr>
            <w:tcW w:w="706" w:type="pct"/>
            <w:shd w:val="clear" w:color="auto" w:fill="auto"/>
            <w:tcMar>
              <w:top w:w="0" w:type="dxa"/>
              <w:left w:w="0" w:type="dxa"/>
              <w:bottom w:w="0" w:type="dxa"/>
              <w:right w:w="0" w:type="dxa"/>
            </w:tcMar>
            <w:vAlign w:val="bottom"/>
          </w:tcPr>
          <w:p w14:paraId="03F0947E" w14:textId="7F67C152"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2,878</w:t>
            </w:r>
          </w:p>
        </w:tc>
        <w:tc>
          <w:tcPr>
            <w:tcW w:w="628" w:type="pct"/>
            <w:gridSpan w:val="2"/>
            <w:shd w:val="clear" w:color="auto" w:fill="auto"/>
            <w:tcMar>
              <w:top w:w="0" w:type="dxa"/>
              <w:left w:w="0" w:type="dxa"/>
              <w:bottom w:w="0" w:type="dxa"/>
              <w:right w:w="0" w:type="dxa"/>
            </w:tcMar>
            <w:vAlign w:val="bottom"/>
          </w:tcPr>
          <w:p w14:paraId="3F7D5102" w14:textId="4A706FFC"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55.4</w:t>
            </w:r>
          </w:p>
        </w:tc>
        <w:tc>
          <w:tcPr>
            <w:tcW w:w="27" w:type="pct"/>
            <w:shd w:val="clear" w:color="auto" w:fill="auto"/>
            <w:tcMar>
              <w:top w:w="0" w:type="dxa"/>
              <w:left w:w="0" w:type="dxa"/>
              <w:bottom w:w="0" w:type="dxa"/>
              <w:right w:w="0" w:type="dxa"/>
            </w:tcMar>
            <w:vAlign w:val="bottom"/>
          </w:tcPr>
          <w:p w14:paraId="45998C26" w14:textId="77777777" w:rsidR="00890F78" w:rsidRPr="00862E2D" w:rsidRDefault="00890F78" w:rsidP="00BB5310">
            <w:pPr>
              <w:spacing w:after="0" w:line="276" w:lineRule="auto"/>
              <w:jc w:val="right"/>
              <w:rPr>
                <w:rFonts w:ascii="Arial" w:eastAsia="Times New Roman" w:hAnsi="Arial" w:cs="Arial"/>
                <w:sz w:val="16"/>
                <w:szCs w:val="16"/>
                <w:lang w:eastAsia="en-AU"/>
              </w:rPr>
            </w:pPr>
          </w:p>
        </w:tc>
        <w:tc>
          <w:tcPr>
            <w:tcW w:w="707" w:type="pct"/>
            <w:shd w:val="clear" w:color="auto" w:fill="auto"/>
            <w:tcMar>
              <w:top w:w="0" w:type="dxa"/>
              <w:left w:w="0" w:type="dxa"/>
              <w:bottom w:w="0" w:type="dxa"/>
              <w:right w:w="0" w:type="dxa"/>
            </w:tcMar>
            <w:vAlign w:val="bottom"/>
          </w:tcPr>
          <w:p w14:paraId="2EA26027" w14:textId="5684E080"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1,159</w:t>
            </w:r>
          </w:p>
        </w:tc>
        <w:tc>
          <w:tcPr>
            <w:tcW w:w="598" w:type="pct"/>
            <w:shd w:val="clear" w:color="auto" w:fill="auto"/>
            <w:tcMar>
              <w:top w:w="0" w:type="dxa"/>
              <w:left w:w="0" w:type="dxa"/>
              <w:bottom w:w="0" w:type="dxa"/>
              <w:right w:w="0" w:type="dxa"/>
            </w:tcMar>
            <w:vAlign w:val="bottom"/>
          </w:tcPr>
          <w:p w14:paraId="264F838C" w14:textId="42A5730E"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58.0</w:t>
            </w:r>
          </w:p>
        </w:tc>
        <w:tc>
          <w:tcPr>
            <w:tcW w:w="30" w:type="pct"/>
            <w:shd w:val="clear" w:color="auto" w:fill="auto"/>
            <w:tcMar>
              <w:top w:w="0" w:type="dxa"/>
              <w:left w:w="0" w:type="dxa"/>
              <w:bottom w:w="0" w:type="dxa"/>
              <w:right w:w="0" w:type="dxa"/>
            </w:tcMar>
            <w:vAlign w:val="bottom"/>
            <w:hideMark/>
          </w:tcPr>
          <w:p w14:paraId="5376615C" w14:textId="77777777"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 </w:t>
            </w:r>
          </w:p>
        </w:tc>
        <w:tc>
          <w:tcPr>
            <w:tcW w:w="1125" w:type="pct"/>
            <w:gridSpan w:val="2"/>
            <w:shd w:val="clear" w:color="auto" w:fill="auto"/>
            <w:tcMar>
              <w:top w:w="0" w:type="dxa"/>
              <w:left w:w="0" w:type="dxa"/>
              <w:bottom w:w="0" w:type="dxa"/>
              <w:right w:w="0" w:type="dxa"/>
            </w:tcMar>
            <w:vAlign w:val="bottom"/>
          </w:tcPr>
          <w:p w14:paraId="7F81D58B" w14:textId="603BB0C8"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35.4</w:t>
            </w:r>
          </w:p>
        </w:tc>
      </w:tr>
      <w:tr w:rsidR="00890F78" w:rsidRPr="00617599" w14:paraId="78A45024" w14:textId="77777777" w:rsidTr="00BB5310">
        <w:trPr>
          <w:trHeight w:val="284"/>
        </w:trPr>
        <w:tc>
          <w:tcPr>
            <w:tcW w:w="1179" w:type="pct"/>
            <w:shd w:val="clear" w:color="auto" w:fill="auto"/>
            <w:tcMar>
              <w:top w:w="0" w:type="dxa"/>
              <w:left w:w="0" w:type="dxa"/>
              <w:bottom w:w="0" w:type="dxa"/>
              <w:right w:w="0" w:type="dxa"/>
            </w:tcMar>
            <w:vAlign w:val="bottom"/>
          </w:tcPr>
          <w:p w14:paraId="5D06F230" w14:textId="760320D2" w:rsidR="00890F78" w:rsidRPr="00617599" w:rsidRDefault="00116F21" w:rsidP="00890F78">
            <w:pPr>
              <w:spacing w:after="0" w:line="276" w:lineRule="auto"/>
              <w:rPr>
                <w:rFonts w:ascii="Arial" w:eastAsia="Times New Roman" w:hAnsi="Arial" w:cs="Arial"/>
                <w:sz w:val="16"/>
                <w:szCs w:val="16"/>
                <w:lang w:eastAsia="en-AU"/>
              </w:rPr>
            </w:pPr>
            <w:r>
              <w:rPr>
                <w:rFonts w:ascii="Arial" w:hAnsi="Arial" w:cs="Arial"/>
                <w:color w:val="000000"/>
                <w:sz w:val="16"/>
                <w:szCs w:val="16"/>
              </w:rPr>
              <w:t>Māori</w:t>
            </w:r>
          </w:p>
        </w:tc>
        <w:tc>
          <w:tcPr>
            <w:tcW w:w="706" w:type="pct"/>
            <w:shd w:val="clear" w:color="auto" w:fill="auto"/>
            <w:tcMar>
              <w:top w:w="0" w:type="dxa"/>
              <w:left w:w="0" w:type="dxa"/>
              <w:bottom w:w="0" w:type="dxa"/>
              <w:right w:w="0" w:type="dxa"/>
            </w:tcMar>
            <w:vAlign w:val="bottom"/>
          </w:tcPr>
          <w:p w14:paraId="6E8607C8" w14:textId="6CF9DA8B"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225</w:t>
            </w:r>
          </w:p>
        </w:tc>
        <w:tc>
          <w:tcPr>
            <w:tcW w:w="628" w:type="pct"/>
            <w:gridSpan w:val="2"/>
            <w:shd w:val="clear" w:color="auto" w:fill="auto"/>
            <w:tcMar>
              <w:top w:w="0" w:type="dxa"/>
              <w:left w:w="0" w:type="dxa"/>
              <w:bottom w:w="0" w:type="dxa"/>
              <w:right w:w="0" w:type="dxa"/>
            </w:tcMar>
            <w:vAlign w:val="bottom"/>
          </w:tcPr>
          <w:p w14:paraId="26E57686" w14:textId="48420A4B"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4.3</w:t>
            </w:r>
          </w:p>
        </w:tc>
        <w:tc>
          <w:tcPr>
            <w:tcW w:w="27" w:type="pct"/>
            <w:shd w:val="clear" w:color="auto" w:fill="auto"/>
            <w:tcMar>
              <w:top w:w="0" w:type="dxa"/>
              <w:left w:w="0" w:type="dxa"/>
              <w:bottom w:w="0" w:type="dxa"/>
              <w:right w:w="0" w:type="dxa"/>
            </w:tcMar>
            <w:vAlign w:val="bottom"/>
          </w:tcPr>
          <w:p w14:paraId="4C00B7B0" w14:textId="77777777" w:rsidR="00890F78" w:rsidRPr="00862E2D" w:rsidRDefault="00890F78" w:rsidP="00BB5310">
            <w:pPr>
              <w:spacing w:after="0" w:line="276" w:lineRule="auto"/>
              <w:jc w:val="right"/>
              <w:rPr>
                <w:rFonts w:ascii="Arial" w:eastAsia="Times New Roman" w:hAnsi="Arial" w:cs="Arial"/>
                <w:sz w:val="16"/>
                <w:szCs w:val="16"/>
                <w:lang w:eastAsia="en-AU"/>
              </w:rPr>
            </w:pPr>
          </w:p>
        </w:tc>
        <w:tc>
          <w:tcPr>
            <w:tcW w:w="707" w:type="pct"/>
            <w:shd w:val="clear" w:color="auto" w:fill="auto"/>
            <w:tcMar>
              <w:top w:w="0" w:type="dxa"/>
              <w:left w:w="0" w:type="dxa"/>
              <w:bottom w:w="0" w:type="dxa"/>
              <w:right w:w="0" w:type="dxa"/>
            </w:tcMar>
            <w:vAlign w:val="bottom"/>
          </w:tcPr>
          <w:p w14:paraId="5293BFF1" w14:textId="2891CC91"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89</w:t>
            </w:r>
          </w:p>
        </w:tc>
        <w:tc>
          <w:tcPr>
            <w:tcW w:w="598" w:type="pct"/>
            <w:shd w:val="clear" w:color="auto" w:fill="auto"/>
            <w:tcMar>
              <w:top w:w="0" w:type="dxa"/>
              <w:left w:w="0" w:type="dxa"/>
              <w:bottom w:w="0" w:type="dxa"/>
              <w:right w:w="0" w:type="dxa"/>
            </w:tcMar>
            <w:vAlign w:val="bottom"/>
          </w:tcPr>
          <w:p w14:paraId="093754B3" w14:textId="7C61B109"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4.5</w:t>
            </w:r>
          </w:p>
        </w:tc>
        <w:tc>
          <w:tcPr>
            <w:tcW w:w="30" w:type="pct"/>
            <w:shd w:val="clear" w:color="auto" w:fill="auto"/>
            <w:tcMar>
              <w:top w:w="0" w:type="dxa"/>
              <w:left w:w="0" w:type="dxa"/>
              <w:bottom w:w="0" w:type="dxa"/>
              <w:right w:w="0" w:type="dxa"/>
            </w:tcMar>
            <w:vAlign w:val="bottom"/>
            <w:hideMark/>
          </w:tcPr>
          <w:p w14:paraId="2AB909D5" w14:textId="77777777" w:rsidR="00890F78" w:rsidRPr="00890F78" w:rsidRDefault="00890F78" w:rsidP="00BB5310">
            <w:pPr>
              <w:spacing w:after="0" w:line="276" w:lineRule="auto"/>
              <w:jc w:val="right"/>
              <w:rPr>
                <w:rFonts w:ascii="Arial" w:hAnsi="Arial" w:cs="Arial"/>
                <w:color w:val="000000"/>
                <w:sz w:val="16"/>
                <w:szCs w:val="16"/>
              </w:rPr>
            </w:pPr>
          </w:p>
        </w:tc>
        <w:tc>
          <w:tcPr>
            <w:tcW w:w="1125" w:type="pct"/>
            <w:gridSpan w:val="2"/>
            <w:shd w:val="clear" w:color="auto" w:fill="auto"/>
            <w:tcMar>
              <w:top w:w="0" w:type="dxa"/>
              <w:left w:w="0" w:type="dxa"/>
              <w:bottom w:w="0" w:type="dxa"/>
              <w:right w:w="0" w:type="dxa"/>
            </w:tcMar>
            <w:vAlign w:val="bottom"/>
          </w:tcPr>
          <w:p w14:paraId="17BAE9B4" w14:textId="4AD1A8B8"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34.1</w:t>
            </w:r>
          </w:p>
        </w:tc>
      </w:tr>
      <w:tr w:rsidR="00890F78" w:rsidRPr="00617599" w14:paraId="12506C24" w14:textId="77777777" w:rsidTr="00BB5310">
        <w:trPr>
          <w:trHeight w:val="284"/>
        </w:trPr>
        <w:tc>
          <w:tcPr>
            <w:tcW w:w="1179" w:type="pct"/>
            <w:shd w:val="clear" w:color="auto" w:fill="auto"/>
            <w:tcMar>
              <w:top w:w="0" w:type="dxa"/>
              <w:left w:w="0" w:type="dxa"/>
              <w:bottom w:w="0" w:type="dxa"/>
              <w:right w:w="0" w:type="dxa"/>
            </w:tcMar>
            <w:vAlign w:val="bottom"/>
          </w:tcPr>
          <w:p w14:paraId="52A3664B" w14:textId="0E817F6D" w:rsidR="00890F78" w:rsidRPr="00617599" w:rsidRDefault="00890F78" w:rsidP="00890F78">
            <w:pPr>
              <w:spacing w:after="0" w:line="276" w:lineRule="auto"/>
              <w:rPr>
                <w:rFonts w:ascii="Arial" w:eastAsia="Times New Roman" w:hAnsi="Arial" w:cs="Arial"/>
                <w:sz w:val="16"/>
                <w:szCs w:val="16"/>
                <w:lang w:eastAsia="en-AU"/>
              </w:rPr>
            </w:pPr>
            <w:r w:rsidRPr="00FC60C5">
              <w:rPr>
                <w:rFonts w:ascii="Arial" w:hAnsi="Arial" w:cs="Arial"/>
                <w:color w:val="000000"/>
                <w:sz w:val="16"/>
                <w:szCs w:val="16"/>
              </w:rPr>
              <w:t>Pacific Peoples</w:t>
            </w:r>
          </w:p>
        </w:tc>
        <w:tc>
          <w:tcPr>
            <w:tcW w:w="706" w:type="pct"/>
            <w:shd w:val="clear" w:color="auto" w:fill="auto"/>
            <w:tcMar>
              <w:top w:w="0" w:type="dxa"/>
              <w:left w:w="0" w:type="dxa"/>
              <w:bottom w:w="0" w:type="dxa"/>
              <w:right w:w="0" w:type="dxa"/>
            </w:tcMar>
            <w:vAlign w:val="bottom"/>
          </w:tcPr>
          <w:p w14:paraId="619836C4" w14:textId="68427DD2"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112</w:t>
            </w:r>
          </w:p>
        </w:tc>
        <w:tc>
          <w:tcPr>
            <w:tcW w:w="628" w:type="pct"/>
            <w:gridSpan w:val="2"/>
            <w:shd w:val="clear" w:color="auto" w:fill="auto"/>
            <w:tcMar>
              <w:top w:w="0" w:type="dxa"/>
              <w:left w:w="0" w:type="dxa"/>
              <w:bottom w:w="0" w:type="dxa"/>
              <w:right w:w="0" w:type="dxa"/>
            </w:tcMar>
            <w:vAlign w:val="bottom"/>
          </w:tcPr>
          <w:p w14:paraId="2779F025" w14:textId="59E1DF78"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2.2</w:t>
            </w:r>
          </w:p>
        </w:tc>
        <w:tc>
          <w:tcPr>
            <w:tcW w:w="27" w:type="pct"/>
            <w:shd w:val="clear" w:color="auto" w:fill="auto"/>
            <w:tcMar>
              <w:top w:w="0" w:type="dxa"/>
              <w:left w:w="0" w:type="dxa"/>
              <w:bottom w:w="0" w:type="dxa"/>
              <w:right w:w="0" w:type="dxa"/>
            </w:tcMar>
            <w:vAlign w:val="bottom"/>
          </w:tcPr>
          <w:p w14:paraId="0BFE8759" w14:textId="77777777" w:rsidR="00890F78" w:rsidRPr="00862E2D" w:rsidRDefault="00890F78" w:rsidP="00BB5310">
            <w:pPr>
              <w:spacing w:after="0" w:line="276" w:lineRule="auto"/>
              <w:jc w:val="right"/>
              <w:rPr>
                <w:rFonts w:ascii="Arial" w:eastAsia="Times New Roman" w:hAnsi="Arial" w:cs="Arial"/>
                <w:sz w:val="16"/>
                <w:szCs w:val="16"/>
                <w:lang w:eastAsia="en-AU"/>
              </w:rPr>
            </w:pPr>
          </w:p>
        </w:tc>
        <w:tc>
          <w:tcPr>
            <w:tcW w:w="707" w:type="pct"/>
            <w:shd w:val="clear" w:color="auto" w:fill="auto"/>
            <w:tcMar>
              <w:top w:w="0" w:type="dxa"/>
              <w:left w:w="0" w:type="dxa"/>
              <w:bottom w:w="0" w:type="dxa"/>
              <w:right w:w="0" w:type="dxa"/>
            </w:tcMar>
            <w:vAlign w:val="bottom"/>
          </w:tcPr>
          <w:p w14:paraId="3E9B14E2" w14:textId="4946D3F0"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34</w:t>
            </w:r>
          </w:p>
        </w:tc>
        <w:tc>
          <w:tcPr>
            <w:tcW w:w="598" w:type="pct"/>
            <w:shd w:val="clear" w:color="auto" w:fill="auto"/>
            <w:tcMar>
              <w:top w:w="0" w:type="dxa"/>
              <w:left w:w="0" w:type="dxa"/>
              <w:bottom w:w="0" w:type="dxa"/>
              <w:right w:w="0" w:type="dxa"/>
            </w:tcMar>
            <w:vAlign w:val="bottom"/>
          </w:tcPr>
          <w:p w14:paraId="5E7CFABD" w14:textId="3D3D73C2"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1.7</w:t>
            </w:r>
          </w:p>
        </w:tc>
        <w:tc>
          <w:tcPr>
            <w:tcW w:w="30" w:type="pct"/>
            <w:shd w:val="clear" w:color="auto" w:fill="auto"/>
            <w:tcMar>
              <w:top w:w="0" w:type="dxa"/>
              <w:left w:w="0" w:type="dxa"/>
              <w:bottom w:w="0" w:type="dxa"/>
              <w:right w:w="0" w:type="dxa"/>
            </w:tcMar>
            <w:vAlign w:val="bottom"/>
            <w:hideMark/>
          </w:tcPr>
          <w:p w14:paraId="7BAC204A" w14:textId="77777777" w:rsidR="00890F78" w:rsidRPr="00890F78" w:rsidRDefault="00890F78" w:rsidP="00BB5310">
            <w:pPr>
              <w:spacing w:after="0" w:line="276" w:lineRule="auto"/>
              <w:jc w:val="right"/>
              <w:rPr>
                <w:rFonts w:ascii="Arial" w:hAnsi="Arial" w:cs="Arial"/>
                <w:color w:val="000000"/>
                <w:sz w:val="16"/>
                <w:szCs w:val="16"/>
              </w:rPr>
            </w:pPr>
          </w:p>
        </w:tc>
        <w:tc>
          <w:tcPr>
            <w:tcW w:w="1125" w:type="pct"/>
            <w:gridSpan w:val="2"/>
            <w:shd w:val="clear" w:color="auto" w:fill="auto"/>
            <w:tcMar>
              <w:top w:w="0" w:type="dxa"/>
              <w:left w:w="0" w:type="dxa"/>
              <w:bottom w:w="0" w:type="dxa"/>
              <w:right w:w="0" w:type="dxa"/>
            </w:tcMar>
            <w:vAlign w:val="bottom"/>
          </w:tcPr>
          <w:p w14:paraId="155FABD9" w14:textId="798E9D95"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34.6</w:t>
            </w:r>
          </w:p>
        </w:tc>
      </w:tr>
      <w:tr w:rsidR="00890F78" w:rsidRPr="00617599" w14:paraId="2751704E" w14:textId="77777777" w:rsidTr="00BB5310">
        <w:trPr>
          <w:trHeight w:val="284"/>
        </w:trPr>
        <w:tc>
          <w:tcPr>
            <w:tcW w:w="1179" w:type="pct"/>
            <w:shd w:val="clear" w:color="auto" w:fill="auto"/>
            <w:tcMar>
              <w:top w:w="0" w:type="dxa"/>
              <w:left w:w="0" w:type="dxa"/>
              <w:bottom w:w="0" w:type="dxa"/>
              <w:right w:w="0" w:type="dxa"/>
            </w:tcMar>
            <w:vAlign w:val="bottom"/>
          </w:tcPr>
          <w:p w14:paraId="32515F6B" w14:textId="2CC8B4F2" w:rsidR="00890F78" w:rsidRPr="00617599" w:rsidRDefault="00890F78" w:rsidP="00890F78">
            <w:pPr>
              <w:spacing w:after="0" w:line="276" w:lineRule="auto"/>
              <w:rPr>
                <w:rFonts w:ascii="Arial" w:eastAsia="Times New Roman" w:hAnsi="Arial" w:cs="Arial"/>
                <w:sz w:val="16"/>
                <w:szCs w:val="16"/>
                <w:lang w:eastAsia="en-AU"/>
              </w:rPr>
            </w:pPr>
            <w:r w:rsidRPr="00FC60C5">
              <w:rPr>
                <w:rFonts w:ascii="Arial" w:hAnsi="Arial" w:cs="Arial"/>
                <w:color w:val="000000"/>
                <w:sz w:val="16"/>
                <w:szCs w:val="16"/>
              </w:rPr>
              <w:t>Asian</w:t>
            </w:r>
          </w:p>
        </w:tc>
        <w:tc>
          <w:tcPr>
            <w:tcW w:w="706" w:type="pct"/>
            <w:shd w:val="clear" w:color="auto" w:fill="auto"/>
            <w:tcMar>
              <w:top w:w="0" w:type="dxa"/>
              <w:left w:w="0" w:type="dxa"/>
              <w:bottom w:w="0" w:type="dxa"/>
              <w:right w:w="0" w:type="dxa"/>
            </w:tcMar>
            <w:vAlign w:val="bottom"/>
          </w:tcPr>
          <w:p w14:paraId="76C66A81" w14:textId="6F406199"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1,201</w:t>
            </w:r>
          </w:p>
        </w:tc>
        <w:tc>
          <w:tcPr>
            <w:tcW w:w="628" w:type="pct"/>
            <w:gridSpan w:val="2"/>
            <w:shd w:val="clear" w:color="auto" w:fill="auto"/>
            <w:tcMar>
              <w:top w:w="0" w:type="dxa"/>
              <w:left w:w="0" w:type="dxa"/>
              <w:bottom w:w="0" w:type="dxa"/>
              <w:right w:w="0" w:type="dxa"/>
            </w:tcMar>
            <w:vAlign w:val="bottom"/>
          </w:tcPr>
          <w:p w14:paraId="34F0C083" w14:textId="13ED302F"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23.1</w:t>
            </w:r>
          </w:p>
        </w:tc>
        <w:tc>
          <w:tcPr>
            <w:tcW w:w="27" w:type="pct"/>
            <w:shd w:val="clear" w:color="auto" w:fill="auto"/>
            <w:tcMar>
              <w:top w:w="0" w:type="dxa"/>
              <w:left w:w="0" w:type="dxa"/>
              <w:bottom w:w="0" w:type="dxa"/>
              <w:right w:w="0" w:type="dxa"/>
            </w:tcMar>
            <w:vAlign w:val="bottom"/>
          </w:tcPr>
          <w:p w14:paraId="13163FED" w14:textId="77777777" w:rsidR="00890F78" w:rsidRPr="0092203C" w:rsidRDefault="00890F78" w:rsidP="00BB5310">
            <w:pPr>
              <w:spacing w:after="0" w:line="276" w:lineRule="auto"/>
              <w:jc w:val="right"/>
              <w:rPr>
                <w:rFonts w:ascii="Arial" w:eastAsia="Times New Roman" w:hAnsi="Arial" w:cs="Arial"/>
                <w:sz w:val="16"/>
                <w:szCs w:val="16"/>
                <w:lang w:eastAsia="en-AU"/>
              </w:rPr>
            </w:pPr>
          </w:p>
        </w:tc>
        <w:tc>
          <w:tcPr>
            <w:tcW w:w="707" w:type="pct"/>
            <w:shd w:val="clear" w:color="auto" w:fill="auto"/>
            <w:tcMar>
              <w:top w:w="0" w:type="dxa"/>
              <w:left w:w="0" w:type="dxa"/>
              <w:bottom w:w="0" w:type="dxa"/>
              <w:right w:w="0" w:type="dxa"/>
            </w:tcMar>
            <w:vAlign w:val="bottom"/>
          </w:tcPr>
          <w:p w14:paraId="579F34DF" w14:textId="0D5E2975"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446</w:t>
            </w:r>
          </w:p>
        </w:tc>
        <w:tc>
          <w:tcPr>
            <w:tcW w:w="598" w:type="pct"/>
            <w:shd w:val="clear" w:color="auto" w:fill="auto"/>
            <w:tcMar>
              <w:top w:w="0" w:type="dxa"/>
              <w:left w:w="0" w:type="dxa"/>
              <w:bottom w:w="0" w:type="dxa"/>
              <w:right w:w="0" w:type="dxa"/>
            </w:tcMar>
            <w:vAlign w:val="bottom"/>
          </w:tcPr>
          <w:p w14:paraId="11BC3DAF" w14:textId="706931B0"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22.3</w:t>
            </w:r>
          </w:p>
        </w:tc>
        <w:tc>
          <w:tcPr>
            <w:tcW w:w="30" w:type="pct"/>
            <w:shd w:val="clear" w:color="auto" w:fill="auto"/>
            <w:tcMar>
              <w:top w:w="0" w:type="dxa"/>
              <w:left w:w="0" w:type="dxa"/>
              <w:bottom w:w="0" w:type="dxa"/>
              <w:right w:w="0" w:type="dxa"/>
            </w:tcMar>
            <w:vAlign w:val="bottom"/>
            <w:hideMark/>
          </w:tcPr>
          <w:p w14:paraId="7D9720E9" w14:textId="77777777" w:rsidR="00890F78" w:rsidRPr="00890F78" w:rsidRDefault="00890F78" w:rsidP="00BB5310">
            <w:pPr>
              <w:spacing w:after="0" w:line="276" w:lineRule="auto"/>
              <w:jc w:val="right"/>
              <w:rPr>
                <w:rFonts w:ascii="Arial" w:hAnsi="Arial" w:cs="Arial"/>
                <w:color w:val="000000"/>
                <w:sz w:val="16"/>
                <w:szCs w:val="16"/>
              </w:rPr>
            </w:pPr>
          </w:p>
        </w:tc>
        <w:tc>
          <w:tcPr>
            <w:tcW w:w="1125" w:type="pct"/>
            <w:gridSpan w:val="2"/>
            <w:shd w:val="clear" w:color="auto" w:fill="auto"/>
            <w:tcMar>
              <w:top w:w="0" w:type="dxa"/>
              <w:left w:w="0" w:type="dxa"/>
              <w:bottom w:w="0" w:type="dxa"/>
              <w:right w:w="0" w:type="dxa"/>
            </w:tcMar>
            <w:vAlign w:val="bottom"/>
          </w:tcPr>
          <w:p w14:paraId="29D68FA5" w14:textId="0EA41205"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35.5</w:t>
            </w:r>
          </w:p>
        </w:tc>
      </w:tr>
      <w:tr w:rsidR="00890F78" w:rsidRPr="00617599" w14:paraId="270FE5BC" w14:textId="77777777" w:rsidTr="00BB5310">
        <w:trPr>
          <w:trHeight w:val="284"/>
        </w:trPr>
        <w:tc>
          <w:tcPr>
            <w:tcW w:w="1179" w:type="pct"/>
            <w:shd w:val="clear" w:color="auto" w:fill="auto"/>
            <w:tcMar>
              <w:top w:w="0" w:type="dxa"/>
              <w:left w:w="0" w:type="dxa"/>
              <w:bottom w:w="0" w:type="dxa"/>
              <w:right w:w="0" w:type="dxa"/>
            </w:tcMar>
            <w:vAlign w:val="bottom"/>
          </w:tcPr>
          <w:p w14:paraId="7A4E1F1F" w14:textId="3F6BFC04" w:rsidR="00890F78" w:rsidRPr="00617599" w:rsidRDefault="00890F78" w:rsidP="00890F78">
            <w:pPr>
              <w:spacing w:after="0" w:line="276" w:lineRule="auto"/>
              <w:rPr>
                <w:rFonts w:ascii="Arial" w:eastAsia="Times New Roman" w:hAnsi="Arial" w:cs="Arial"/>
                <w:sz w:val="16"/>
                <w:szCs w:val="16"/>
                <w:lang w:eastAsia="en-AU"/>
              </w:rPr>
            </w:pPr>
            <w:r w:rsidRPr="00FC60C5">
              <w:rPr>
                <w:rFonts w:ascii="Arial" w:hAnsi="Arial" w:cs="Arial"/>
                <w:color w:val="000000"/>
                <w:sz w:val="16"/>
                <w:szCs w:val="16"/>
              </w:rPr>
              <w:t>Middle Eastern/Latin American/African</w:t>
            </w:r>
          </w:p>
        </w:tc>
        <w:tc>
          <w:tcPr>
            <w:tcW w:w="706" w:type="pct"/>
            <w:shd w:val="clear" w:color="auto" w:fill="auto"/>
            <w:tcMar>
              <w:top w:w="0" w:type="dxa"/>
              <w:left w:w="0" w:type="dxa"/>
              <w:bottom w:w="0" w:type="dxa"/>
              <w:right w:w="0" w:type="dxa"/>
            </w:tcMar>
            <w:vAlign w:val="bottom"/>
          </w:tcPr>
          <w:p w14:paraId="220CF0B5" w14:textId="4753FEA4"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180</w:t>
            </w:r>
          </w:p>
        </w:tc>
        <w:tc>
          <w:tcPr>
            <w:tcW w:w="628" w:type="pct"/>
            <w:gridSpan w:val="2"/>
            <w:shd w:val="clear" w:color="auto" w:fill="auto"/>
            <w:tcMar>
              <w:top w:w="0" w:type="dxa"/>
              <w:left w:w="0" w:type="dxa"/>
              <w:bottom w:w="0" w:type="dxa"/>
              <w:right w:w="0" w:type="dxa"/>
            </w:tcMar>
            <w:vAlign w:val="bottom"/>
          </w:tcPr>
          <w:p w14:paraId="657B20C0" w14:textId="7C5CB596"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3.5</w:t>
            </w:r>
          </w:p>
        </w:tc>
        <w:tc>
          <w:tcPr>
            <w:tcW w:w="27" w:type="pct"/>
            <w:shd w:val="clear" w:color="auto" w:fill="auto"/>
            <w:tcMar>
              <w:top w:w="0" w:type="dxa"/>
              <w:left w:w="0" w:type="dxa"/>
              <w:bottom w:w="0" w:type="dxa"/>
              <w:right w:w="0" w:type="dxa"/>
            </w:tcMar>
            <w:vAlign w:val="bottom"/>
          </w:tcPr>
          <w:p w14:paraId="3FA44D27" w14:textId="77777777" w:rsidR="00890F78" w:rsidRPr="0092203C" w:rsidRDefault="00890F78" w:rsidP="00BB5310">
            <w:pPr>
              <w:spacing w:after="0" w:line="276" w:lineRule="auto"/>
              <w:jc w:val="right"/>
              <w:rPr>
                <w:rFonts w:ascii="Arial" w:eastAsia="Times New Roman" w:hAnsi="Arial" w:cs="Arial"/>
                <w:sz w:val="16"/>
                <w:szCs w:val="16"/>
                <w:lang w:eastAsia="en-AU"/>
              </w:rPr>
            </w:pPr>
          </w:p>
        </w:tc>
        <w:tc>
          <w:tcPr>
            <w:tcW w:w="707" w:type="pct"/>
            <w:shd w:val="clear" w:color="auto" w:fill="auto"/>
            <w:tcMar>
              <w:top w:w="0" w:type="dxa"/>
              <w:left w:w="0" w:type="dxa"/>
              <w:bottom w:w="0" w:type="dxa"/>
              <w:right w:w="0" w:type="dxa"/>
            </w:tcMar>
            <w:vAlign w:val="bottom"/>
          </w:tcPr>
          <w:p w14:paraId="1D309E1F" w14:textId="0BAF3DCC"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60</w:t>
            </w:r>
          </w:p>
        </w:tc>
        <w:tc>
          <w:tcPr>
            <w:tcW w:w="598" w:type="pct"/>
            <w:shd w:val="clear" w:color="auto" w:fill="auto"/>
            <w:tcMar>
              <w:top w:w="0" w:type="dxa"/>
              <w:left w:w="0" w:type="dxa"/>
              <w:bottom w:w="0" w:type="dxa"/>
              <w:right w:w="0" w:type="dxa"/>
            </w:tcMar>
            <w:vAlign w:val="bottom"/>
          </w:tcPr>
          <w:p w14:paraId="6D2ED3A4" w14:textId="5CE269CA"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3.0</w:t>
            </w:r>
          </w:p>
        </w:tc>
        <w:tc>
          <w:tcPr>
            <w:tcW w:w="30" w:type="pct"/>
            <w:shd w:val="clear" w:color="auto" w:fill="auto"/>
            <w:tcMar>
              <w:top w:w="0" w:type="dxa"/>
              <w:left w:w="0" w:type="dxa"/>
              <w:bottom w:w="0" w:type="dxa"/>
              <w:right w:w="0" w:type="dxa"/>
            </w:tcMar>
            <w:vAlign w:val="bottom"/>
          </w:tcPr>
          <w:p w14:paraId="387A2640" w14:textId="77777777" w:rsidR="00890F78" w:rsidRPr="00890F78" w:rsidRDefault="00890F78" w:rsidP="00BB5310">
            <w:pPr>
              <w:spacing w:after="0" w:line="276" w:lineRule="auto"/>
              <w:jc w:val="right"/>
              <w:rPr>
                <w:rFonts w:ascii="Arial" w:hAnsi="Arial" w:cs="Arial"/>
                <w:color w:val="000000"/>
                <w:sz w:val="16"/>
                <w:szCs w:val="16"/>
              </w:rPr>
            </w:pPr>
          </w:p>
        </w:tc>
        <w:tc>
          <w:tcPr>
            <w:tcW w:w="1125" w:type="pct"/>
            <w:gridSpan w:val="2"/>
            <w:shd w:val="clear" w:color="auto" w:fill="auto"/>
            <w:tcMar>
              <w:top w:w="0" w:type="dxa"/>
              <w:left w:w="0" w:type="dxa"/>
              <w:bottom w:w="0" w:type="dxa"/>
              <w:right w:w="0" w:type="dxa"/>
            </w:tcMar>
            <w:vAlign w:val="bottom"/>
          </w:tcPr>
          <w:p w14:paraId="411A3FD7" w14:textId="75014A70"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35.7</w:t>
            </w:r>
          </w:p>
        </w:tc>
      </w:tr>
      <w:tr w:rsidR="00890F78" w:rsidRPr="00617599" w14:paraId="6C458A46" w14:textId="77777777" w:rsidTr="00BB5310">
        <w:trPr>
          <w:trHeight w:val="284"/>
        </w:trPr>
        <w:tc>
          <w:tcPr>
            <w:tcW w:w="1179" w:type="pct"/>
            <w:shd w:val="clear" w:color="auto" w:fill="auto"/>
            <w:tcMar>
              <w:top w:w="0" w:type="dxa"/>
              <w:left w:w="0" w:type="dxa"/>
              <w:bottom w:w="0" w:type="dxa"/>
              <w:right w:w="0" w:type="dxa"/>
            </w:tcMar>
            <w:vAlign w:val="bottom"/>
          </w:tcPr>
          <w:p w14:paraId="27ED33D7" w14:textId="6321531C" w:rsidR="00890F78" w:rsidRPr="00617599" w:rsidRDefault="00890F78" w:rsidP="00890F78">
            <w:pPr>
              <w:spacing w:after="0" w:line="276" w:lineRule="auto"/>
              <w:rPr>
                <w:rFonts w:ascii="Arial" w:eastAsia="Times New Roman" w:hAnsi="Arial" w:cs="Arial"/>
                <w:sz w:val="16"/>
                <w:szCs w:val="16"/>
                <w:lang w:eastAsia="en-AU"/>
              </w:rPr>
            </w:pPr>
            <w:r w:rsidRPr="00FC60C5">
              <w:rPr>
                <w:rFonts w:ascii="Arial" w:hAnsi="Arial" w:cs="Arial"/>
                <w:color w:val="000000"/>
                <w:sz w:val="16"/>
                <w:szCs w:val="16"/>
              </w:rPr>
              <w:t>Other ethnicity</w:t>
            </w:r>
          </w:p>
        </w:tc>
        <w:tc>
          <w:tcPr>
            <w:tcW w:w="706" w:type="pct"/>
            <w:shd w:val="clear" w:color="auto" w:fill="auto"/>
            <w:tcMar>
              <w:top w:w="0" w:type="dxa"/>
              <w:left w:w="0" w:type="dxa"/>
              <w:bottom w:w="0" w:type="dxa"/>
              <w:right w:w="0" w:type="dxa"/>
            </w:tcMar>
            <w:vAlign w:val="bottom"/>
          </w:tcPr>
          <w:p w14:paraId="51EA9114" w14:textId="4D91A5A5"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78</w:t>
            </w:r>
          </w:p>
        </w:tc>
        <w:tc>
          <w:tcPr>
            <w:tcW w:w="628" w:type="pct"/>
            <w:gridSpan w:val="2"/>
            <w:shd w:val="clear" w:color="auto" w:fill="auto"/>
            <w:tcMar>
              <w:top w:w="0" w:type="dxa"/>
              <w:left w:w="0" w:type="dxa"/>
              <w:bottom w:w="0" w:type="dxa"/>
              <w:right w:w="0" w:type="dxa"/>
            </w:tcMar>
            <w:vAlign w:val="bottom"/>
          </w:tcPr>
          <w:p w14:paraId="2ECC7B2B" w14:textId="678C87A0"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1.5</w:t>
            </w:r>
          </w:p>
        </w:tc>
        <w:tc>
          <w:tcPr>
            <w:tcW w:w="27" w:type="pct"/>
            <w:shd w:val="clear" w:color="auto" w:fill="auto"/>
            <w:tcMar>
              <w:top w:w="0" w:type="dxa"/>
              <w:left w:w="0" w:type="dxa"/>
              <w:bottom w:w="0" w:type="dxa"/>
              <w:right w:w="0" w:type="dxa"/>
            </w:tcMar>
            <w:vAlign w:val="bottom"/>
          </w:tcPr>
          <w:p w14:paraId="759DDE5C" w14:textId="77777777" w:rsidR="00890F78" w:rsidRPr="0092203C" w:rsidRDefault="00890F78" w:rsidP="00BB5310">
            <w:pPr>
              <w:spacing w:after="0" w:line="276" w:lineRule="auto"/>
              <w:jc w:val="right"/>
              <w:rPr>
                <w:rFonts w:ascii="Arial" w:eastAsia="Times New Roman" w:hAnsi="Arial" w:cs="Arial"/>
                <w:sz w:val="16"/>
                <w:szCs w:val="16"/>
                <w:lang w:eastAsia="en-AU"/>
              </w:rPr>
            </w:pPr>
          </w:p>
        </w:tc>
        <w:tc>
          <w:tcPr>
            <w:tcW w:w="707" w:type="pct"/>
            <w:shd w:val="clear" w:color="auto" w:fill="auto"/>
            <w:tcMar>
              <w:top w:w="0" w:type="dxa"/>
              <w:left w:w="0" w:type="dxa"/>
              <w:bottom w:w="0" w:type="dxa"/>
              <w:right w:w="0" w:type="dxa"/>
            </w:tcMar>
            <w:vAlign w:val="bottom"/>
          </w:tcPr>
          <w:p w14:paraId="44686309" w14:textId="153BF96B"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26</w:t>
            </w:r>
          </w:p>
        </w:tc>
        <w:tc>
          <w:tcPr>
            <w:tcW w:w="598" w:type="pct"/>
            <w:shd w:val="clear" w:color="auto" w:fill="auto"/>
            <w:tcMar>
              <w:top w:w="0" w:type="dxa"/>
              <w:left w:w="0" w:type="dxa"/>
              <w:bottom w:w="0" w:type="dxa"/>
              <w:right w:w="0" w:type="dxa"/>
            </w:tcMar>
            <w:vAlign w:val="bottom"/>
          </w:tcPr>
          <w:p w14:paraId="73AC3498" w14:textId="38DC2DC0"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1.3</w:t>
            </w:r>
          </w:p>
        </w:tc>
        <w:tc>
          <w:tcPr>
            <w:tcW w:w="30" w:type="pct"/>
            <w:shd w:val="clear" w:color="auto" w:fill="auto"/>
            <w:tcMar>
              <w:top w:w="0" w:type="dxa"/>
              <w:left w:w="0" w:type="dxa"/>
              <w:bottom w:w="0" w:type="dxa"/>
              <w:right w:w="0" w:type="dxa"/>
            </w:tcMar>
            <w:vAlign w:val="bottom"/>
          </w:tcPr>
          <w:p w14:paraId="306AB3BD" w14:textId="77777777" w:rsidR="00890F78" w:rsidRPr="00890F78" w:rsidRDefault="00890F78" w:rsidP="00BB5310">
            <w:pPr>
              <w:spacing w:after="0" w:line="276" w:lineRule="auto"/>
              <w:jc w:val="right"/>
              <w:rPr>
                <w:rFonts w:ascii="Arial" w:hAnsi="Arial" w:cs="Arial"/>
                <w:color w:val="000000"/>
                <w:sz w:val="16"/>
                <w:szCs w:val="16"/>
              </w:rPr>
            </w:pPr>
          </w:p>
        </w:tc>
        <w:tc>
          <w:tcPr>
            <w:tcW w:w="1125" w:type="pct"/>
            <w:gridSpan w:val="2"/>
            <w:shd w:val="clear" w:color="auto" w:fill="auto"/>
            <w:tcMar>
              <w:top w:w="0" w:type="dxa"/>
              <w:left w:w="0" w:type="dxa"/>
              <w:bottom w:w="0" w:type="dxa"/>
              <w:right w:w="0" w:type="dxa"/>
            </w:tcMar>
            <w:vAlign w:val="bottom"/>
          </w:tcPr>
          <w:p w14:paraId="087E31B4" w14:textId="71D3FB35"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35.8</w:t>
            </w:r>
          </w:p>
        </w:tc>
      </w:tr>
      <w:tr w:rsidR="00890F78" w:rsidRPr="00617599" w14:paraId="55883F1C" w14:textId="77777777" w:rsidTr="00BB5310">
        <w:trPr>
          <w:trHeight w:val="284"/>
        </w:trPr>
        <w:tc>
          <w:tcPr>
            <w:tcW w:w="1179" w:type="pct"/>
            <w:shd w:val="clear" w:color="auto" w:fill="auto"/>
            <w:tcMar>
              <w:top w:w="0" w:type="dxa"/>
              <w:left w:w="0" w:type="dxa"/>
              <w:bottom w:w="0" w:type="dxa"/>
              <w:right w:w="0" w:type="dxa"/>
            </w:tcMar>
            <w:vAlign w:val="bottom"/>
          </w:tcPr>
          <w:p w14:paraId="42D68F00" w14:textId="5ABCE36D" w:rsidR="00890F78" w:rsidRPr="00617599" w:rsidRDefault="00890F78" w:rsidP="00890F78">
            <w:pPr>
              <w:spacing w:after="0" w:line="276" w:lineRule="auto"/>
              <w:rPr>
                <w:rFonts w:ascii="Arial" w:eastAsia="Times New Roman" w:hAnsi="Arial" w:cs="Arial"/>
                <w:sz w:val="16"/>
                <w:szCs w:val="16"/>
                <w:lang w:eastAsia="en-AU"/>
              </w:rPr>
            </w:pPr>
            <w:r w:rsidRPr="00FC60C5">
              <w:rPr>
                <w:rFonts w:ascii="Arial" w:hAnsi="Arial" w:cs="Arial"/>
                <w:color w:val="000000"/>
                <w:sz w:val="16"/>
                <w:szCs w:val="16"/>
              </w:rPr>
              <w:t>Residual categories</w:t>
            </w:r>
          </w:p>
        </w:tc>
        <w:tc>
          <w:tcPr>
            <w:tcW w:w="706" w:type="pct"/>
            <w:shd w:val="clear" w:color="auto" w:fill="auto"/>
            <w:tcMar>
              <w:top w:w="0" w:type="dxa"/>
              <w:left w:w="0" w:type="dxa"/>
              <w:bottom w:w="0" w:type="dxa"/>
              <w:right w:w="0" w:type="dxa"/>
            </w:tcMar>
            <w:vAlign w:val="bottom"/>
          </w:tcPr>
          <w:p w14:paraId="3C38B84F" w14:textId="6C592600"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508</w:t>
            </w:r>
          </w:p>
        </w:tc>
        <w:tc>
          <w:tcPr>
            <w:tcW w:w="628" w:type="pct"/>
            <w:gridSpan w:val="2"/>
            <w:shd w:val="clear" w:color="auto" w:fill="auto"/>
            <w:tcMar>
              <w:top w:w="0" w:type="dxa"/>
              <w:left w:w="0" w:type="dxa"/>
              <w:bottom w:w="0" w:type="dxa"/>
              <w:right w:w="0" w:type="dxa"/>
            </w:tcMar>
            <w:vAlign w:val="bottom"/>
          </w:tcPr>
          <w:p w14:paraId="67038936" w14:textId="3313B0AF"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9.8</w:t>
            </w:r>
          </w:p>
        </w:tc>
        <w:tc>
          <w:tcPr>
            <w:tcW w:w="27" w:type="pct"/>
            <w:shd w:val="clear" w:color="auto" w:fill="auto"/>
            <w:tcMar>
              <w:top w:w="0" w:type="dxa"/>
              <w:left w:w="0" w:type="dxa"/>
              <w:bottom w:w="0" w:type="dxa"/>
              <w:right w:w="0" w:type="dxa"/>
            </w:tcMar>
            <w:vAlign w:val="bottom"/>
          </w:tcPr>
          <w:p w14:paraId="0DB3C6A5" w14:textId="77777777" w:rsidR="00890F78" w:rsidRPr="0092203C" w:rsidRDefault="00890F78" w:rsidP="00BB5310">
            <w:pPr>
              <w:spacing w:after="0" w:line="276" w:lineRule="auto"/>
              <w:jc w:val="right"/>
              <w:rPr>
                <w:rFonts w:ascii="Arial" w:eastAsia="Times New Roman" w:hAnsi="Arial" w:cs="Arial"/>
                <w:sz w:val="16"/>
                <w:szCs w:val="16"/>
                <w:lang w:eastAsia="en-AU"/>
              </w:rPr>
            </w:pPr>
          </w:p>
        </w:tc>
        <w:tc>
          <w:tcPr>
            <w:tcW w:w="707" w:type="pct"/>
            <w:shd w:val="clear" w:color="auto" w:fill="auto"/>
            <w:tcMar>
              <w:top w:w="0" w:type="dxa"/>
              <w:left w:w="0" w:type="dxa"/>
              <w:bottom w:w="0" w:type="dxa"/>
              <w:right w:w="0" w:type="dxa"/>
            </w:tcMar>
            <w:vAlign w:val="bottom"/>
          </w:tcPr>
          <w:p w14:paraId="44D85C3E" w14:textId="156DE598"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182</w:t>
            </w:r>
          </w:p>
        </w:tc>
        <w:tc>
          <w:tcPr>
            <w:tcW w:w="598" w:type="pct"/>
            <w:shd w:val="clear" w:color="auto" w:fill="auto"/>
            <w:tcMar>
              <w:top w:w="0" w:type="dxa"/>
              <w:left w:w="0" w:type="dxa"/>
              <w:bottom w:w="0" w:type="dxa"/>
              <w:right w:w="0" w:type="dxa"/>
            </w:tcMar>
            <w:vAlign w:val="bottom"/>
          </w:tcPr>
          <w:p w14:paraId="3B57881F" w14:textId="340DBEA7"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9.1</w:t>
            </w:r>
          </w:p>
        </w:tc>
        <w:tc>
          <w:tcPr>
            <w:tcW w:w="30" w:type="pct"/>
            <w:shd w:val="clear" w:color="auto" w:fill="auto"/>
            <w:tcMar>
              <w:top w:w="0" w:type="dxa"/>
              <w:left w:w="0" w:type="dxa"/>
              <w:bottom w:w="0" w:type="dxa"/>
              <w:right w:w="0" w:type="dxa"/>
            </w:tcMar>
            <w:vAlign w:val="bottom"/>
          </w:tcPr>
          <w:p w14:paraId="280DDFAF" w14:textId="77777777" w:rsidR="00890F78" w:rsidRPr="00890F78" w:rsidRDefault="00890F78" w:rsidP="00BB5310">
            <w:pPr>
              <w:spacing w:after="0" w:line="276" w:lineRule="auto"/>
              <w:jc w:val="right"/>
              <w:rPr>
                <w:rFonts w:ascii="Arial" w:hAnsi="Arial" w:cs="Arial"/>
                <w:color w:val="000000"/>
                <w:sz w:val="16"/>
                <w:szCs w:val="16"/>
              </w:rPr>
            </w:pPr>
          </w:p>
        </w:tc>
        <w:tc>
          <w:tcPr>
            <w:tcW w:w="1125" w:type="pct"/>
            <w:gridSpan w:val="2"/>
            <w:shd w:val="clear" w:color="auto" w:fill="auto"/>
            <w:tcMar>
              <w:top w:w="0" w:type="dxa"/>
              <w:left w:w="0" w:type="dxa"/>
              <w:bottom w:w="0" w:type="dxa"/>
              <w:right w:w="0" w:type="dxa"/>
            </w:tcMar>
            <w:vAlign w:val="bottom"/>
          </w:tcPr>
          <w:p w14:paraId="374B0EEC" w14:textId="0E57DC9F"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36.3</w:t>
            </w:r>
          </w:p>
        </w:tc>
      </w:tr>
      <w:tr w:rsidR="00890F78" w:rsidRPr="00617599" w14:paraId="159A3593" w14:textId="77777777" w:rsidTr="00BB5310">
        <w:trPr>
          <w:trHeight w:val="284"/>
        </w:trPr>
        <w:tc>
          <w:tcPr>
            <w:tcW w:w="1179" w:type="pct"/>
            <w:shd w:val="clear" w:color="auto" w:fill="auto"/>
            <w:tcMar>
              <w:top w:w="0" w:type="dxa"/>
              <w:left w:w="0" w:type="dxa"/>
              <w:bottom w:w="0" w:type="dxa"/>
              <w:right w:w="0" w:type="dxa"/>
            </w:tcMar>
            <w:vAlign w:val="bottom"/>
          </w:tcPr>
          <w:p w14:paraId="66EA0B08" w14:textId="655E9DCE" w:rsidR="00890F78" w:rsidRPr="00617599" w:rsidRDefault="00890F78" w:rsidP="00890F78">
            <w:pPr>
              <w:spacing w:after="0" w:line="276" w:lineRule="auto"/>
              <w:rPr>
                <w:rFonts w:ascii="Arial" w:eastAsia="Times New Roman" w:hAnsi="Arial" w:cs="Arial"/>
                <w:sz w:val="16"/>
                <w:szCs w:val="16"/>
                <w:lang w:eastAsia="en-AU"/>
              </w:rPr>
            </w:pPr>
            <w:r>
              <w:rPr>
                <w:rFonts w:ascii="Arial" w:hAnsi="Arial" w:cs="Arial"/>
                <w:color w:val="000000"/>
                <w:sz w:val="16"/>
                <w:szCs w:val="16"/>
              </w:rPr>
              <w:t>Multiple ethnicities</w:t>
            </w:r>
            <w:r>
              <w:rPr>
                <w:rFonts w:ascii="Arial" w:hAnsi="Arial" w:cs="Arial"/>
                <w:color w:val="000000"/>
                <w:sz w:val="16"/>
                <w:szCs w:val="16"/>
                <w:vertAlign w:val="superscript"/>
              </w:rPr>
              <w:t>(d</w:t>
            </w:r>
            <w:r w:rsidRPr="00952173">
              <w:rPr>
                <w:rFonts w:ascii="Arial" w:hAnsi="Arial" w:cs="Arial"/>
                <w:color w:val="000000"/>
                <w:sz w:val="16"/>
                <w:szCs w:val="16"/>
                <w:vertAlign w:val="superscript"/>
              </w:rPr>
              <w:t>)</w:t>
            </w:r>
          </w:p>
        </w:tc>
        <w:tc>
          <w:tcPr>
            <w:tcW w:w="706" w:type="pct"/>
            <w:shd w:val="clear" w:color="auto" w:fill="auto"/>
            <w:tcMar>
              <w:top w:w="0" w:type="dxa"/>
              <w:left w:w="0" w:type="dxa"/>
              <w:bottom w:w="0" w:type="dxa"/>
              <w:right w:w="0" w:type="dxa"/>
            </w:tcMar>
            <w:vAlign w:val="bottom"/>
          </w:tcPr>
          <w:p w14:paraId="3BB62765" w14:textId="5BB76BF8"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10</w:t>
            </w:r>
          </w:p>
        </w:tc>
        <w:tc>
          <w:tcPr>
            <w:tcW w:w="628" w:type="pct"/>
            <w:gridSpan w:val="2"/>
            <w:shd w:val="clear" w:color="auto" w:fill="auto"/>
            <w:tcMar>
              <w:top w:w="0" w:type="dxa"/>
              <w:left w:w="0" w:type="dxa"/>
              <w:bottom w:w="0" w:type="dxa"/>
              <w:right w:w="0" w:type="dxa"/>
            </w:tcMar>
            <w:vAlign w:val="bottom"/>
          </w:tcPr>
          <w:p w14:paraId="56122056" w14:textId="26B5E961"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0.2</w:t>
            </w:r>
          </w:p>
        </w:tc>
        <w:tc>
          <w:tcPr>
            <w:tcW w:w="27" w:type="pct"/>
            <w:shd w:val="clear" w:color="auto" w:fill="auto"/>
            <w:tcMar>
              <w:top w:w="0" w:type="dxa"/>
              <w:left w:w="0" w:type="dxa"/>
              <w:bottom w:w="0" w:type="dxa"/>
              <w:right w:w="0" w:type="dxa"/>
            </w:tcMar>
            <w:vAlign w:val="bottom"/>
          </w:tcPr>
          <w:p w14:paraId="106F6A7F" w14:textId="77777777" w:rsidR="00890F78" w:rsidRPr="0092203C" w:rsidRDefault="00890F78" w:rsidP="00BB5310">
            <w:pPr>
              <w:spacing w:after="0" w:line="276" w:lineRule="auto"/>
              <w:jc w:val="right"/>
              <w:rPr>
                <w:rFonts w:ascii="Arial" w:eastAsia="Times New Roman" w:hAnsi="Arial" w:cs="Arial"/>
                <w:sz w:val="16"/>
                <w:szCs w:val="16"/>
                <w:lang w:eastAsia="en-AU"/>
              </w:rPr>
            </w:pPr>
          </w:p>
        </w:tc>
        <w:tc>
          <w:tcPr>
            <w:tcW w:w="707" w:type="pct"/>
            <w:shd w:val="clear" w:color="auto" w:fill="auto"/>
            <w:tcMar>
              <w:top w:w="0" w:type="dxa"/>
              <w:left w:w="0" w:type="dxa"/>
              <w:bottom w:w="0" w:type="dxa"/>
              <w:right w:w="0" w:type="dxa"/>
            </w:tcMar>
            <w:vAlign w:val="bottom"/>
          </w:tcPr>
          <w:p w14:paraId="1D554927" w14:textId="2BC6F160" w:rsidR="00890F78" w:rsidRPr="00890F78" w:rsidRDefault="00890F78" w:rsidP="00BB5310">
            <w:pPr>
              <w:spacing w:after="0" w:line="276" w:lineRule="auto"/>
              <w:jc w:val="right"/>
              <w:rPr>
                <w:rFonts w:ascii="Arial" w:hAnsi="Arial" w:cs="Arial"/>
                <w:color w:val="000000"/>
                <w:sz w:val="16"/>
                <w:szCs w:val="16"/>
              </w:rPr>
            </w:pPr>
            <w:r w:rsidRPr="00890F78">
              <w:rPr>
                <w:rFonts w:ascii="Arial" w:hAnsi="Arial" w:cs="Arial"/>
                <w:color w:val="000000"/>
                <w:sz w:val="16"/>
                <w:szCs w:val="16"/>
              </w:rPr>
              <w:t>4</w:t>
            </w:r>
          </w:p>
        </w:tc>
        <w:tc>
          <w:tcPr>
            <w:tcW w:w="598" w:type="pct"/>
            <w:shd w:val="clear" w:color="auto" w:fill="auto"/>
            <w:tcMar>
              <w:top w:w="0" w:type="dxa"/>
              <w:left w:w="0" w:type="dxa"/>
              <w:bottom w:w="0" w:type="dxa"/>
              <w:right w:w="0" w:type="dxa"/>
            </w:tcMar>
            <w:vAlign w:val="bottom"/>
          </w:tcPr>
          <w:p w14:paraId="6BE42DCA" w14:textId="0A26C020"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0.2</w:t>
            </w:r>
          </w:p>
        </w:tc>
        <w:tc>
          <w:tcPr>
            <w:tcW w:w="30" w:type="pct"/>
            <w:shd w:val="clear" w:color="auto" w:fill="auto"/>
            <w:tcMar>
              <w:top w:w="0" w:type="dxa"/>
              <w:left w:w="0" w:type="dxa"/>
              <w:bottom w:w="0" w:type="dxa"/>
              <w:right w:w="0" w:type="dxa"/>
            </w:tcMar>
            <w:vAlign w:val="bottom"/>
            <w:hideMark/>
          </w:tcPr>
          <w:p w14:paraId="2BBD894F" w14:textId="77777777" w:rsidR="00890F78" w:rsidRPr="00890F78" w:rsidRDefault="00890F78" w:rsidP="00BB5310">
            <w:pPr>
              <w:spacing w:after="0" w:line="276" w:lineRule="auto"/>
              <w:jc w:val="right"/>
              <w:rPr>
                <w:rFonts w:ascii="Arial" w:hAnsi="Arial" w:cs="Arial"/>
                <w:color w:val="000000"/>
                <w:sz w:val="16"/>
                <w:szCs w:val="16"/>
              </w:rPr>
            </w:pPr>
          </w:p>
        </w:tc>
        <w:tc>
          <w:tcPr>
            <w:tcW w:w="1125" w:type="pct"/>
            <w:gridSpan w:val="2"/>
            <w:shd w:val="clear" w:color="auto" w:fill="auto"/>
            <w:tcMar>
              <w:top w:w="0" w:type="dxa"/>
              <w:left w:w="0" w:type="dxa"/>
              <w:bottom w:w="0" w:type="dxa"/>
              <w:right w:w="0" w:type="dxa"/>
            </w:tcMar>
            <w:vAlign w:val="bottom"/>
          </w:tcPr>
          <w:p w14:paraId="214956F8" w14:textId="0BA553B6" w:rsidR="00890F78" w:rsidRPr="00890F78" w:rsidRDefault="00890F78" w:rsidP="00BB5310">
            <w:pPr>
              <w:spacing w:after="0" w:line="276" w:lineRule="auto"/>
              <w:jc w:val="right"/>
              <w:rPr>
                <w:rFonts w:ascii="Arial" w:hAnsi="Arial" w:cs="Arial"/>
                <w:color w:val="000000"/>
                <w:sz w:val="16"/>
                <w:szCs w:val="16"/>
              </w:rPr>
            </w:pPr>
            <w:r>
              <w:rPr>
                <w:rFonts w:ascii="Arial" w:hAnsi="Arial" w:cs="Arial"/>
                <w:color w:val="000000"/>
                <w:sz w:val="16"/>
                <w:szCs w:val="16"/>
              </w:rPr>
              <w:t>35.9</w:t>
            </w:r>
          </w:p>
        </w:tc>
      </w:tr>
      <w:tr w:rsidR="00890F78" w:rsidRPr="00617599" w14:paraId="6B203099" w14:textId="77777777" w:rsidTr="00BB5310">
        <w:trPr>
          <w:trHeight w:val="284"/>
        </w:trPr>
        <w:tc>
          <w:tcPr>
            <w:tcW w:w="1179" w:type="pct"/>
            <w:tcBorders>
              <w:bottom w:val="single" w:sz="12" w:space="0" w:color="auto"/>
            </w:tcBorders>
            <w:shd w:val="clear" w:color="auto" w:fill="auto"/>
            <w:tcMar>
              <w:top w:w="0" w:type="dxa"/>
              <w:left w:w="0" w:type="dxa"/>
              <w:bottom w:w="0" w:type="dxa"/>
              <w:right w:w="0" w:type="dxa"/>
            </w:tcMar>
            <w:vAlign w:val="bottom"/>
            <w:hideMark/>
          </w:tcPr>
          <w:p w14:paraId="5805F4D5" w14:textId="77777777" w:rsidR="00890F78" w:rsidRPr="00617599" w:rsidRDefault="00890F78" w:rsidP="00890F78">
            <w:pPr>
              <w:spacing w:after="0" w:line="276" w:lineRule="auto"/>
              <w:rPr>
                <w:rFonts w:ascii="Arial" w:eastAsia="Times New Roman" w:hAnsi="Arial" w:cs="Arial"/>
                <w:b/>
                <w:sz w:val="16"/>
                <w:szCs w:val="16"/>
                <w:lang w:eastAsia="en-AU"/>
              </w:rPr>
            </w:pPr>
            <w:r w:rsidRPr="00617599">
              <w:rPr>
                <w:rFonts w:ascii="Arial" w:eastAsia="Times New Roman" w:hAnsi="Arial" w:cs="Arial"/>
                <w:b/>
                <w:sz w:val="16"/>
                <w:szCs w:val="16"/>
                <w:lang w:eastAsia="en-AU"/>
              </w:rPr>
              <w:t>Total</w:t>
            </w:r>
          </w:p>
        </w:tc>
        <w:tc>
          <w:tcPr>
            <w:tcW w:w="706" w:type="pct"/>
            <w:tcBorders>
              <w:bottom w:val="single" w:sz="12" w:space="0" w:color="auto"/>
            </w:tcBorders>
            <w:shd w:val="clear" w:color="auto" w:fill="auto"/>
            <w:tcMar>
              <w:top w:w="0" w:type="dxa"/>
              <w:left w:w="0" w:type="dxa"/>
              <w:bottom w:w="0" w:type="dxa"/>
              <w:right w:w="0" w:type="dxa"/>
            </w:tcMar>
            <w:vAlign w:val="bottom"/>
            <w:hideMark/>
          </w:tcPr>
          <w:p w14:paraId="778E8490" w14:textId="6089168D" w:rsidR="00890F78" w:rsidRPr="00890F78" w:rsidRDefault="00890F78" w:rsidP="00BB5310">
            <w:pPr>
              <w:spacing w:after="0" w:line="276" w:lineRule="auto"/>
              <w:jc w:val="right"/>
              <w:rPr>
                <w:rFonts w:ascii="Arial" w:hAnsi="Arial" w:cs="Arial"/>
                <w:b/>
                <w:bCs/>
                <w:color w:val="000000"/>
                <w:sz w:val="16"/>
                <w:szCs w:val="16"/>
              </w:rPr>
            </w:pPr>
            <w:r w:rsidRPr="00890F78">
              <w:rPr>
                <w:rFonts w:ascii="Arial" w:hAnsi="Arial" w:cs="Arial"/>
                <w:b/>
                <w:bCs/>
                <w:color w:val="000000"/>
                <w:sz w:val="16"/>
                <w:szCs w:val="16"/>
              </w:rPr>
              <w:t>5,192</w:t>
            </w:r>
          </w:p>
        </w:tc>
        <w:tc>
          <w:tcPr>
            <w:tcW w:w="628" w:type="pct"/>
            <w:gridSpan w:val="2"/>
            <w:tcBorders>
              <w:bottom w:val="single" w:sz="12" w:space="0" w:color="auto"/>
            </w:tcBorders>
            <w:shd w:val="clear" w:color="auto" w:fill="auto"/>
            <w:tcMar>
              <w:top w:w="0" w:type="dxa"/>
              <w:left w:w="0" w:type="dxa"/>
              <w:bottom w:w="0" w:type="dxa"/>
              <w:right w:w="0" w:type="dxa"/>
            </w:tcMar>
            <w:vAlign w:val="bottom"/>
            <w:hideMark/>
          </w:tcPr>
          <w:p w14:paraId="31808BD0" w14:textId="06330A39" w:rsidR="00890F78" w:rsidRPr="00890F78" w:rsidRDefault="00890F78" w:rsidP="00BB5310">
            <w:pPr>
              <w:spacing w:after="0" w:line="276" w:lineRule="auto"/>
              <w:jc w:val="right"/>
              <w:rPr>
                <w:rFonts w:ascii="Arial" w:hAnsi="Arial" w:cs="Arial"/>
                <w:b/>
                <w:bCs/>
                <w:color w:val="000000"/>
                <w:sz w:val="16"/>
                <w:szCs w:val="16"/>
              </w:rPr>
            </w:pPr>
            <w:r w:rsidRPr="00890F78">
              <w:rPr>
                <w:rFonts w:ascii="Arial" w:hAnsi="Arial" w:cs="Arial"/>
                <w:b/>
                <w:bCs/>
                <w:color w:val="000000"/>
                <w:sz w:val="16"/>
                <w:szCs w:val="16"/>
              </w:rPr>
              <w:t>100.0</w:t>
            </w:r>
          </w:p>
        </w:tc>
        <w:tc>
          <w:tcPr>
            <w:tcW w:w="27" w:type="pct"/>
            <w:tcBorders>
              <w:bottom w:val="single" w:sz="12" w:space="0" w:color="auto"/>
            </w:tcBorders>
            <w:shd w:val="clear" w:color="auto" w:fill="auto"/>
            <w:tcMar>
              <w:top w:w="0" w:type="dxa"/>
              <w:left w:w="0" w:type="dxa"/>
              <w:bottom w:w="0" w:type="dxa"/>
              <w:right w:w="0" w:type="dxa"/>
            </w:tcMar>
            <w:vAlign w:val="bottom"/>
            <w:hideMark/>
          </w:tcPr>
          <w:p w14:paraId="2B807C03" w14:textId="77777777" w:rsidR="00890F78" w:rsidRPr="00862E2D" w:rsidRDefault="00890F78" w:rsidP="00BB5310">
            <w:pPr>
              <w:spacing w:after="0" w:line="276" w:lineRule="auto"/>
              <w:jc w:val="right"/>
              <w:rPr>
                <w:rFonts w:ascii="Arial" w:eastAsia="Times New Roman" w:hAnsi="Arial" w:cs="Arial"/>
                <w:b/>
                <w:sz w:val="16"/>
                <w:szCs w:val="16"/>
                <w:lang w:eastAsia="en-AU"/>
              </w:rPr>
            </w:pPr>
            <w:r w:rsidRPr="00862E2D">
              <w:rPr>
                <w:rFonts w:ascii="Arial" w:hAnsi="Arial" w:cs="Arial"/>
                <w:b/>
                <w:bCs/>
                <w:sz w:val="16"/>
                <w:szCs w:val="16"/>
              </w:rPr>
              <w:t> </w:t>
            </w:r>
          </w:p>
        </w:tc>
        <w:tc>
          <w:tcPr>
            <w:tcW w:w="707" w:type="pct"/>
            <w:tcBorders>
              <w:bottom w:val="single" w:sz="12" w:space="0" w:color="auto"/>
            </w:tcBorders>
            <w:shd w:val="clear" w:color="auto" w:fill="auto"/>
            <w:tcMar>
              <w:top w:w="0" w:type="dxa"/>
              <w:left w:w="0" w:type="dxa"/>
              <w:bottom w:w="0" w:type="dxa"/>
              <w:right w:w="0" w:type="dxa"/>
            </w:tcMar>
            <w:vAlign w:val="bottom"/>
            <w:hideMark/>
          </w:tcPr>
          <w:p w14:paraId="7B224392" w14:textId="6F1BEEDE" w:rsidR="00890F78" w:rsidRPr="00890F78" w:rsidRDefault="00890F78" w:rsidP="00BB5310">
            <w:pPr>
              <w:spacing w:after="0" w:line="276" w:lineRule="auto"/>
              <w:jc w:val="right"/>
              <w:rPr>
                <w:rFonts w:ascii="Arial" w:hAnsi="Arial" w:cs="Arial"/>
                <w:b/>
                <w:bCs/>
                <w:color w:val="000000"/>
                <w:sz w:val="16"/>
                <w:szCs w:val="16"/>
              </w:rPr>
            </w:pPr>
            <w:r w:rsidRPr="00890F78">
              <w:rPr>
                <w:rFonts w:ascii="Arial" w:hAnsi="Arial" w:cs="Arial"/>
                <w:b/>
                <w:bCs/>
                <w:color w:val="000000"/>
                <w:sz w:val="16"/>
                <w:szCs w:val="16"/>
              </w:rPr>
              <w:t>2,000</w:t>
            </w:r>
          </w:p>
        </w:tc>
        <w:tc>
          <w:tcPr>
            <w:tcW w:w="598" w:type="pct"/>
            <w:tcBorders>
              <w:bottom w:val="single" w:sz="12" w:space="0" w:color="auto"/>
            </w:tcBorders>
            <w:shd w:val="clear" w:color="auto" w:fill="auto"/>
            <w:tcMar>
              <w:top w:w="0" w:type="dxa"/>
              <w:left w:w="0" w:type="dxa"/>
              <w:bottom w:w="0" w:type="dxa"/>
              <w:right w:w="0" w:type="dxa"/>
            </w:tcMar>
            <w:vAlign w:val="bottom"/>
            <w:hideMark/>
          </w:tcPr>
          <w:p w14:paraId="6C8738FD" w14:textId="1DA7A367" w:rsidR="00890F78" w:rsidRPr="00890F78" w:rsidRDefault="00890F78" w:rsidP="00BB5310">
            <w:pPr>
              <w:spacing w:after="0" w:line="276" w:lineRule="auto"/>
              <w:jc w:val="right"/>
              <w:rPr>
                <w:rFonts w:ascii="Arial" w:hAnsi="Arial" w:cs="Arial"/>
                <w:b/>
                <w:bCs/>
                <w:color w:val="000000"/>
                <w:sz w:val="16"/>
                <w:szCs w:val="16"/>
              </w:rPr>
            </w:pPr>
            <w:r w:rsidRPr="00890F78">
              <w:rPr>
                <w:rFonts w:ascii="Arial" w:hAnsi="Arial" w:cs="Arial"/>
                <w:b/>
                <w:bCs/>
                <w:color w:val="000000"/>
                <w:sz w:val="16"/>
                <w:szCs w:val="16"/>
              </w:rPr>
              <w:t>100.0</w:t>
            </w:r>
          </w:p>
        </w:tc>
        <w:tc>
          <w:tcPr>
            <w:tcW w:w="30" w:type="pct"/>
            <w:tcBorders>
              <w:bottom w:val="single" w:sz="12" w:space="0" w:color="auto"/>
            </w:tcBorders>
            <w:shd w:val="clear" w:color="auto" w:fill="auto"/>
            <w:tcMar>
              <w:top w:w="0" w:type="dxa"/>
              <w:left w:w="0" w:type="dxa"/>
              <w:bottom w:w="0" w:type="dxa"/>
              <w:right w:w="0" w:type="dxa"/>
            </w:tcMar>
            <w:vAlign w:val="bottom"/>
            <w:hideMark/>
          </w:tcPr>
          <w:p w14:paraId="1AA232FB" w14:textId="77777777" w:rsidR="00890F78" w:rsidRPr="00890F78" w:rsidRDefault="00890F78" w:rsidP="00BB5310">
            <w:pPr>
              <w:spacing w:after="0" w:line="276" w:lineRule="auto"/>
              <w:jc w:val="right"/>
              <w:rPr>
                <w:rFonts w:ascii="Arial" w:hAnsi="Arial" w:cs="Arial"/>
                <w:b/>
                <w:bCs/>
                <w:color w:val="000000"/>
                <w:sz w:val="16"/>
                <w:szCs w:val="16"/>
              </w:rPr>
            </w:pPr>
            <w:r w:rsidRPr="00890F78">
              <w:rPr>
                <w:rFonts w:ascii="Arial" w:hAnsi="Arial" w:cs="Arial"/>
                <w:b/>
                <w:bCs/>
                <w:color w:val="000000"/>
                <w:sz w:val="16"/>
                <w:szCs w:val="16"/>
              </w:rPr>
              <w:t> </w:t>
            </w:r>
          </w:p>
        </w:tc>
        <w:tc>
          <w:tcPr>
            <w:tcW w:w="1125" w:type="pct"/>
            <w:gridSpan w:val="2"/>
            <w:tcBorders>
              <w:bottom w:val="single" w:sz="12" w:space="0" w:color="auto"/>
            </w:tcBorders>
            <w:shd w:val="clear" w:color="auto" w:fill="auto"/>
            <w:tcMar>
              <w:top w:w="0" w:type="dxa"/>
              <w:left w:w="0" w:type="dxa"/>
              <w:bottom w:w="0" w:type="dxa"/>
              <w:right w:w="0" w:type="dxa"/>
            </w:tcMar>
            <w:vAlign w:val="bottom"/>
          </w:tcPr>
          <w:p w14:paraId="5B8A7E68" w14:textId="4334577F" w:rsidR="00890F78" w:rsidRPr="00890F78" w:rsidRDefault="00890F78" w:rsidP="00BB5310">
            <w:pPr>
              <w:spacing w:after="0" w:line="276" w:lineRule="auto"/>
              <w:jc w:val="right"/>
              <w:rPr>
                <w:rFonts w:ascii="Arial" w:hAnsi="Arial" w:cs="Arial"/>
                <w:b/>
                <w:bCs/>
                <w:color w:val="000000"/>
                <w:sz w:val="16"/>
                <w:szCs w:val="16"/>
              </w:rPr>
            </w:pPr>
            <w:r w:rsidRPr="00890F78">
              <w:rPr>
                <w:rFonts w:ascii="Arial" w:hAnsi="Arial" w:cs="Arial"/>
                <w:b/>
                <w:bCs/>
                <w:color w:val="000000"/>
                <w:sz w:val="16"/>
                <w:szCs w:val="16"/>
              </w:rPr>
              <w:t>35.4</w:t>
            </w:r>
          </w:p>
        </w:tc>
      </w:tr>
    </w:tbl>
    <w:p w14:paraId="42CF8DCE" w14:textId="0A4E475E" w:rsidR="00CA5EE3" w:rsidRDefault="00CA5EE3" w:rsidP="00814AD1">
      <w:pPr>
        <w:pStyle w:val="TableSourcefootnotes"/>
        <w:numPr>
          <w:ilvl w:val="0"/>
          <w:numId w:val="28"/>
        </w:numPr>
        <w:tabs>
          <w:tab w:val="left" w:pos="284"/>
        </w:tabs>
        <w:spacing w:after="0" w:line="240" w:lineRule="auto"/>
        <w:ind w:left="425" w:hanging="357"/>
        <w:rPr>
          <w:rFonts w:cs="Arial"/>
        </w:rPr>
      </w:pPr>
      <w:r>
        <w:rPr>
          <w:rFonts w:cs="Arial"/>
        </w:rPr>
        <w:t>Ethnicity groups descriptions are sourced from the Ministry of Health, New Zealand website</w:t>
      </w:r>
      <w:r w:rsidR="00724722">
        <w:rPr>
          <w:rFonts w:cs="Arial"/>
        </w:rPr>
        <w:t>.</w:t>
      </w:r>
    </w:p>
    <w:p w14:paraId="4D6C08F6" w14:textId="69F5104E" w:rsidR="00724722" w:rsidRDefault="00724722" w:rsidP="00814AD1">
      <w:pPr>
        <w:pStyle w:val="TableSourcefootnotes"/>
        <w:numPr>
          <w:ilvl w:val="0"/>
          <w:numId w:val="28"/>
        </w:numPr>
        <w:tabs>
          <w:tab w:val="left" w:pos="284"/>
        </w:tabs>
        <w:spacing w:before="0" w:after="0" w:line="240" w:lineRule="auto"/>
        <w:ind w:left="425" w:hanging="357"/>
        <w:rPr>
          <w:rFonts w:cs="Arial"/>
        </w:rPr>
      </w:pPr>
      <w:r>
        <w:rPr>
          <w:rFonts w:cs="Arial"/>
        </w:rPr>
        <w:t>Excludes oocyte donation cycles because oocyte donation cycles do not involve and embryo transfer in that woman.</w:t>
      </w:r>
    </w:p>
    <w:p w14:paraId="4CF54F19" w14:textId="756561F6" w:rsidR="002F507F" w:rsidRDefault="002F507F" w:rsidP="00814AD1">
      <w:pPr>
        <w:pStyle w:val="TableSourcefootnotes"/>
        <w:numPr>
          <w:ilvl w:val="0"/>
          <w:numId w:val="28"/>
        </w:numPr>
        <w:tabs>
          <w:tab w:val="left" w:pos="284"/>
        </w:tabs>
        <w:spacing w:before="0" w:after="0" w:line="240" w:lineRule="auto"/>
        <w:ind w:left="425" w:hanging="357"/>
        <w:rPr>
          <w:rFonts w:cs="Arial"/>
        </w:rPr>
      </w:pPr>
      <w:r w:rsidRPr="00617599">
        <w:rPr>
          <w:rFonts w:cs="Arial"/>
        </w:rPr>
        <w:t xml:space="preserve">Age at start of </w:t>
      </w:r>
      <w:r w:rsidR="00BF0EBA">
        <w:rPr>
          <w:rFonts w:cs="Arial"/>
        </w:rPr>
        <w:t xml:space="preserve">the first initiated </w:t>
      </w:r>
      <w:r w:rsidRPr="00617599">
        <w:rPr>
          <w:rFonts w:cs="Arial"/>
        </w:rPr>
        <w:t>treatment cycle</w:t>
      </w:r>
      <w:r w:rsidR="00BF0EBA">
        <w:rPr>
          <w:rFonts w:cs="Arial"/>
        </w:rPr>
        <w:t xml:space="preserve"> in the treatment year</w:t>
      </w:r>
      <w:r w:rsidRPr="00617599">
        <w:rPr>
          <w:rFonts w:cs="Arial"/>
        </w:rPr>
        <w:t>.</w:t>
      </w:r>
    </w:p>
    <w:p w14:paraId="3CD03F07" w14:textId="1616C29C" w:rsidR="008555B5" w:rsidRPr="00952173" w:rsidRDefault="004E0AB8" w:rsidP="00814AD1">
      <w:pPr>
        <w:pStyle w:val="TableSourcefootnotes"/>
        <w:numPr>
          <w:ilvl w:val="0"/>
          <w:numId w:val="28"/>
        </w:numPr>
        <w:tabs>
          <w:tab w:val="left" w:pos="284"/>
        </w:tabs>
        <w:spacing w:before="0" w:after="0" w:line="240" w:lineRule="auto"/>
        <w:ind w:left="425" w:hanging="357"/>
        <w:rPr>
          <w:rFonts w:cs="Arial"/>
        </w:rPr>
      </w:pPr>
      <w:r>
        <w:rPr>
          <w:rFonts w:cs="Arial"/>
        </w:rPr>
        <w:t>The</w:t>
      </w:r>
      <w:r w:rsidR="00771B9F">
        <w:rPr>
          <w:rFonts w:cs="Arial"/>
        </w:rPr>
        <w:t xml:space="preserve"> woman reported</w:t>
      </w:r>
      <w:r w:rsidR="008555B5" w:rsidRPr="00771B9F">
        <w:rPr>
          <w:rFonts w:cs="Arial"/>
        </w:rPr>
        <w:t xml:space="preserve"> more than one ethnicity. </w:t>
      </w:r>
    </w:p>
    <w:p w14:paraId="6CBA4A23" w14:textId="77777777" w:rsidR="002F507F" w:rsidRPr="002F507F" w:rsidRDefault="002F507F" w:rsidP="00952173">
      <w:pPr>
        <w:pStyle w:val="NPESUbodytext"/>
      </w:pPr>
    </w:p>
    <w:p w14:paraId="4732ADC0" w14:textId="4DC45920" w:rsidR="009303CD" w:rsidRPr="00360E75" w:rsidRDefault="009303CD" w:rsidP="00814AD1">
      <w:pPr>
        <w:pStyle w:val="Heading1"/>
        <w:numPr>
          <w:ilvl w:val="0"/>
          <w:numId w:val="3"/>
        </w:numPr>
        <w:ind w:left="851" w:hanging="491"/>
        <w:rPr>
          <w:rFonts w:cs="Arial"/>
        </w:rPr>
      </w:pPr>
      <w:bookmarkStart w:id="208" w:name="_Toc106604221"/>
      <w:bookmarkStart w:id="209" w:name="_Toc106604399"/>
      <w:bookmarkStart w:id="210" w:name="_Toc453054827"/>
      <w:bookmarkStart w:id="211" w:name="_Toc452112614"/>
      <w:bookmarkStart w:id="212" w:name="_Toc159568720"/>
      <w:bookmarkEnd w:id="208"/>
      <w:bookmarkEnd w:id="209"/>
      <w:r w:rsidRPr="00360E75">
        <w:rPr>
          <w:rFonts w:cs="Arial"/>
        </w:rPr>
        <w:lastRenderedPageBreak/>
        <w:t xml:space="preserve">Autologous and donation/recipient cycles in </w:t>
      </w:r>
      <w:r w:rsidR="002C669F" w:rsidRPr="00360E75">
        <w:rPr>
          <w:rFonts w:cs="Arial"/>
        </w:rPr>
        <w:t>20</w:t>
      </w:r>
      <w:r w:rsidR="006400E9">
        <w:rPr>
          <w:rFonts w:cs="Arial"/>
        </w:rPr>
        <w:t>2</w:t>
      </w:r>
      <w:bookmarkEnd w:id="210"/>
      <w:bookmarkEnd w:id="211"/>
      <w:r w:rsidR="00FE3B92">
        <w:rPr>
          <w:rFonts w:cs="Arial"/>
        </w:rPr>
        <w:t>1</w:t>
      </w:r>
      <w:bookmarkEnd w:id="212"/>
    </w:p>
    <w:p w14:paraId="1F1B14B4" w14:textId="181D1B58" w:rsidR="0069790F" w:rsidRDefault="0069790F" w:rsidP="009303CD">
      <w:pPr>
        <w:spacing w:before="60" w:after="120" w:line="260" w:lineRule="atLeast"/>
        <w:rPr>
          <w:rFonts w:ascii="Arial" w:eastAsia="Times New Roman" w:hAnsi="Arial" w:cs="Arial"/>
          <w:sz w:val="22"/>
          <w:szCs w:val="20"/>
          <w:lang w:eastAsia="en-AU"/>
        </w:rPr>
      </w:pPr>
      <w:r w:rsidRPr="000D75B4">
        <w:rPr>
          <w:rFonts w:ascii="Arial" w:eastAsia="Times New Roman" w:hAnsi="Arial" w:cs="Arial"/>
          <w:sz w:val="22"/>
          <w:szCs w:val="20"/>
          <w:lang w:eastAsia="en-AU"/>
        </w:rPr>
        <w:t xml:space="preserve">This chapter presents data on initiated autologous cycles, oocyte/embryo donation cycles and oocyte/embryo recipient cycles. </w:t>
      </w:r>
    </w:p>
    <w:p w14:paraId="1DB75899" w14:textId="77777777" w:rsidR="00DC5358" w:rsidRDefault="0069790F" w:rsidP="009303CD">
      <w:pPr>
        <w:spacing w:before="60" w:after="120" w:line="260" w:lineRule="atLeast"/>
        <w:rPr>
          <w:rFonts w:ascii="Arial" w:eastAsia="Times New Roman" w:hAnsi="Arial" w:cs="Arial"/>
          <w:sz w:val="22"/>
          <w:szCs w:val="20"/>
          <w:lang w:eastAsia="en-AU"/>
        </w:rPr>
      </w:pPr>
      <w:r w:rsidRPr="000D75B4">
        <w:rPr>
          <w:rFonts w:ascii="Arial" w:eastAsia="Times New Roman" w:hAnsi="Arial" w:cs="Arial"/>
          <w:sz w:val="22"/>
          <w:szCs w:val="20"/>
          <w:lang w:eastAsia="en-AU"/>
        </w:rPr>
        <w:t xml:space="preserve">An ‘autologous cycle’ is defined as an ART treatment cycle in which a female intending parent intends to use or uses her own oocytes or embryos to achieve a pregnancy. </w:t>
      </w:r>
    </w:p>
    <w:p w14:paraId="68027A42" w14:textId="4A0D7C00" w:rsidR="00DC5358" w:rsidRDefault="0069790F" w:rsidP="009303CD">
      <w:pPr>
        <w:spacing w:before="60" w:after="120" w:line="260" w:lineRule="atLeast"/>
        <w:rPr>
          <w:rFonts w:ascii="Arial" w:eastAsia="Times New Roman" w:hAnsi="Arial" w:cs="Arial"/>
          <w:sz w:val="22"/>
          <w:szCs w:val="20"/>
          <w:lang w:eastAsia="en-AU"/>
        </w:rPr>
      </w:pPr>
      <w:r w:rsidRPr="000D75B4">
        <w:rPr>
          <w:rFonts w:ascii="Arial" w:eastAsia="Times New Roman" w:hAnsi="Arial" w:cs="Arial"/>
          <w:sz w:val="22"/>
          <w:szCs w:val="20"/>
          <w:lang w:eastAsia="en-AU"/>
        </w:rPr>
        <w:t>A ‘donation cycle’ is defined as an ART treatment cycle in which a female patient</w:t>
      </w:r>
      <w:r w:rsidR="001267A1">
        <w:rPr>
          <w:rFonts w:ascii="Arial" w:eastAsia="Times New Roman" w:hAnsi="Arial" w:cs="Arial"/>
          <w:sz w:val="22"/>
          <w:szCs w:val="20"/>
          <w:lang w:eastAsia="en-AU"/>
        </w:rPr>
        <w:t xml:space="preserve"> who is not an intending parent,</w:t>
      </w:r>
      <w:r w:rsidRPr="000D75B4">
        <w:rPr>
          <w:rFonts w:ascii="Arial" w:eastAsia="Times New Roman" w:hAnsi="Arial" w:cs="Arial"/>
          <w:sz w:val="22"/>
          <w:szCs w:val="20"/>
          <w:lang w:eastAsia="en-AU"/>
        </w:rPr>
        <w:t xml:space="preserve"> intends to donate or donates</w:t>
      </w:r>
      <w:r w:rsidR="001267A1">
        <w:rPr>
          <w:rFonts w:ascii="Arial" w:eastAsia="Times New Roman" w:hAnsi="Arial" w:cs="Arial"/>
          <w:sz w:val="22"/>
          <w:szCs w:val="20"/>
          <w:lang w:eastAsia="en-AU"/>
        </w:rPr>
        <w:t>,</w:t>
      </w:r>
      <w:r w:rsidRPr="000D75B4">
        <w:rPr>
          <w:rFonts w:ascii="Arial" w:eastAsia="Times New Roman" w:hAnsi="Arial" w:cs="Arial"/>
          <w:sz w:val="22"/>
          <w:szCs w:val="20"/>
          <w:lang w:eastAsia="en-AU"/>
        </w:rPr>
        <w:t xml:space="preserve"> her oocytes</w:t>
      </w:r>
      <w:r w:rsidR="001267A1">
        <w:rPr>
          <w:rFonts w:ascii="Arial" w:eastAsia="Times New Roman" w:hAnsi="Arial" w:cs="Arial"/>
          <w:sz w:val="22"/>
          <w:szCs w:val="20"/>
          <w:lang w:eastAsia="en-AU"/>
        </w:rPr>
        <w:t>/embryos</w:t>
      </w:r>
      <w:r w:rsidRPr="000D75B4">
        <w:rPr>
          <w:rFonts w:ascii="Arial" w:eastAsia="Times New Roman" w:hAnsi="Arial" w:cs="Arial"/>
          <w:sz w:val="22"/>
          <w:szCs w:val="20"/>
          <w:lang w:eastAsia="en-AU"/>
        </w:rPr>
        <w:t xml:space="preserve"> to others</w:t>
      </w:r>
      <w:r w:rsidR="001267A1">
        <w:rPr>
          <w:rFonts w:ascii="Arial" w:eastAsia="Times New Roman" w:hAnsi="Arial" w:cs="Arial"/>
          <w:sz w:val="22"/>
          <w:szCs w:val="20"/>
          <w:lang w:eastAsia="en-AU"/>
        </w:rPr>
        <w:t xml:space="preserve"> or where a female intending parent provides oocytes/embryos to a female partner who is also an intending parent</w:t>
      </w:r>
      <w:r w:rsidRPr="000D75B4">
        <w:rPr>
          <w:rFonts w:ascii="Arial" w:eastAsia="Times New Roman" w:hAnsi="Arial" w:cs="Arial"/>
          <w:sz w:val="22"/>
          <w:szCs w:val="20"/>
          <w:lang w:eastAsia="en-AU"/>
        </w:rPr>
        <w:t xml:space="preserve">. The use of donor sperm does not influence the donor status of the cycle. </w:t>
      </w:r>
    </w:p>
    <w:p w14:paraId="12157786" w14:textId="76A2DE95" w:rsidR="00DC5358" w:rsidRDefault="0069790F" w:rsidP="009303CD">
      <w:pPr>
        <w:spacing w:before="60" w:after="120" w:line="260" w:lineRule="atLeast"/>
        <w:rPr>
          <w:rFonts w:ascii="Arial" w:eastAsia="Times New Roman" w:hAnsi="Arial" w:cs="Arial"/>
          <w:sz w:val="22"/>
          <w:szCs w:val="20"/>
          <w:lang w:eastAsia="en-AU"/>
        </w:rPr>
      </w:pPr>
      <w:r w:rsidRPr="000D75B4">
        <w:rPr>
          <w:rFonts w:ascii="Arial" w:eastAsia="Times New Roman" w:hAnsi="Arial" w:cs="Arial"/>
          <w:sz w:val="22"/>
          <w:szCs w:val="20"/>
          <w:lang w:eastAsia="en-AU"/>
        </w:rPr>
        <w:t>A ‘recipient cycle’ is defined as an ART treatment cycle in which a female</w:t>
      </w:r>
      <w:r w:rsidR="001267A1">
        <w:rPr>
          <w:rFonts w:ascii="Arial" w:eastAsia="Times New Roman" w:hAnsi="Arial" w:cs="Arial"/>
          <w:sz w:val="22"/>
          <w:szCs w:val="20"/>
          <w:lang w:eastAsia="en-AU"/>
        </w:rPr>
        <w:t xml:space="preserve"> patient who is an</w:t>
      </w:r>
      <w:r w:rsidRPr="000D75B4">
        <w:rPr>
          <w:rFonts w:ascii="Arial" w:eastAsia="Times New Roman" w:hAnsi="Arial" w:cs="Arial"/>
          <w:sz w:val="22"/>
          <w:szCs w:val="20"/>
          <w:lang w:eastAsia="en-AU"/>
        </w:rPr>
        <w:t xml:space="preserve"> intending parent</w:t>
      </w:r>
      <w:r w:rsidR="001267A1">
        <w:rPr>
          <w:rFonts w:ascii="Arial" w:eastAsia="Times New Roman" w:hAnsi="Arial" w:cs="Arial"/>
          <w:sz w:val="22"/>
          <w:szCs w:val="20"/>
          <w:lang w:eastAsia="en-AU"/>
        </w:rPr>
        <w:t>,</w:t>
      </w:r>
      <w:r w:rsidRPr="000D75B4">
        <w:rPr>
          <w:rFonts w:ascii="Arial" w:eastAsia="Times New Roman" w:hAnsi="Arial" w:cs="Arial"/>
          <w:sz w:val="22"/>
          <w:szCs w:val="20"/>
          <w:lang w:eastAsia="en-AU"/>
        </w:rPr>
        <w:t xml:space="preserve"> receives oocytes or embryos from another </w:t>
      </w:r>
      <w:r w:rsidR="001267A1">
        <w:rPr>
          <w:rFonts w:ascii="Arial" w:eastAsia="Times New Roman" w:hAnsi="Arial" w:cs="Arial"/>
          <w:sz w:val="22"/>
          <w:szCs w:val="20"/>
          <w:lang w:eastAsia="en-AU"/>
        </w:rPr>
        <w:t>individual/couple who is not an intending parent, or where a female intending parent receives oocytes or embryos from a female partner who is also an intending parent, to achieve a pregnancy</w:t>
      </w:r>
      <w:r w:rsidRPr="000D75B4">
        <w:rPr>
          <w:rFonts w:ascii="Arial" w:eastAsia="Times New Roman" w:hAnsi="Arial" w:cs="Arial"/>
          <w:sz w:val="22"/>
          <w:szCs w:val="20"/>
          <w:lang w:eastAsia="en-AU"/>
        </w:rPr>
        <w:t xml:space="preserve">. </w:t>
      </w:r>
    </w:p>
    <w:p w14:paraId="4B18A3D4" w14:textId="0EEE44C3" w:rsidR="009303CD" w:rsidRPr="00617599" w:rsidRDefault="0069790F" w:rsidP="009303CD">
      <w:pPr>
        <w:spacing w:before="60" w:after="120" w:line="260" w:lineRule="atLeast"/>
        <w:rPr>
          <w:rFonts w:ascii="Arial" w:eastAsia="Times New Roman" w:hAnsi="Arial" w:cs="Arial"/>
          <w:b/>
          <w:sz w:val="28"/>
          <w:szCs w:val="20"/>
        </w:rPr>
      </w:pPr>
      <w:r w:rsidRPr="000D75B4">
        <w:rPr>
          <w:rFonts w:ascii="Arial" w:eastAsia="Times New Roman" w:hAnsi="Arial" w:cs="Arial"/>
          <w:sz w:val="22"/>
          <w:szCs w:val="20"/>
          <w:lang w:eastAsia="en-AU"/>
        </w:rPr>
        <w:t>Autologous and donor/recipient cycles can involve the use of, or intended use of, either fresh or frozen/thawed oocytes or embryos.</w:t>
      </w:r>
      <w:r>
        <w:t xml:space="preserve"> </w:t>
      </w:r>
      <w:r w:rsidR="009303CD" w:rsidRPr="00617599">
        <w:rPr>
          <w:rFonts w:ascii="Arial" w:eastAsia="Times New Roman" w:hAnsi="Arial" w:cs="Arial"/>
          <w:szCs w:val="20"/>
        </w:rPr>
        <w:br w:type="page"/>
      </w:r>
    </w:p>
    <w:p w14:paraId="0B51DB8E" w14:textId="77777777" w:rsidR="009303CD" w:rsidRPr="00617599" w:rsidRDefault="009303CD" w:rsidP="009303CD">
      <w:pPr>
        <w:pStyle w:val="Heading2"/>
        <w:rPr>
          <w:rFonts w:eastAsia="Times New Roman" w:cs="Arial"/>
        </w:rPr>
      </w:pPr>
      <w:bookmarkStart w:id="213" w:name="_Toc453061458"/>
      <w:bookmarkStart w:id="214" w:name="_Toc453054828"/>
      <w:bookmarkStart w:id="215" w:name="_Toc452112615"/>
      <w:bookmarkStart w:id="216" w:name="_Toc422220198"/>
      <w:bookmarkStart w:id="217" w:name="_Toc398883003"/>
      <w:bookmarkStart w:id="218" w:name="_Toc362443842"/>
      <w:r w:rsidRPr="00617599">
        <w:rPr>
          <w:rFonts w:eastAsia="Times New Roman" w:cs="Arial"/>
        </w:rPr>
        <w:lastRenderedPageBreak/>
        <w:t>3.1</w:t>
      </w:r>
      <w:r w:rsidRPr="00617599">
        <w:rPr>
          <w:rFonts w:eastAsia="Times New Roman" w:cs="Arial"/>
        </w:rPr>
        <w:tab/>
        <w:t>Overview of autologous and recipient cycles</w:t>
      </w:r>
      <w:bookmarkEnd w:id="213"/>
      <w:bookmarkEnd w:id="214"/>
      <w:bookmarkEnd w:id="215"/>
      <w:bookmarkEnd w:id="216"/>
      <w:bookmarkEnd w:id="217"/>
      <w:bookmarkEnd w:id="218"/>
    </w:p>
    <w:p w14:paraId="5E607A66" w14:textId="517F361F" w:rsidR="009303CD" w:rsidRPr="00617599" w:rsidRDefault="009303CD" w:rsidP="009303CD">
      <w:pPr>
        <w:pStyle w:val="Heading3"/>
        <w:rPr>
          <w:rFonts w:eastAsia="Times New Roman" w:cs="Arial"/>
        </w:rPr>
      </w:pPr>
      <w:bookmarkStart w:id="219" w:name="_Toc453061459"/>
      <w:bookmarkStart w:id="220" w:name="_Toc453059056"/>
      <w:bookmarkStart w:id="221" w:name="_Toc453057388"/>
      <w:bookmarkStart w:id="222" w:name="_Toc453055603"/>
      <w:bookmarkStart w:id="223" w:name="_Toc453054829"/>
      <w:r w:rsidRPr="00617599">
        <w:rPr>
          <w:rFonts w:eastAsia="Times New Roman" w:cs="Arial"/>
        </w:rPr>
        <w:t>Age of women and their partners</w:t>
      </w:r>
      <w:bookmarkEnd w:id="219"/>
      <w:bookmarkEnd w:id="220"/>
      <w:bookmarkEnd w:id="221"/>
      <w:bookmarkEnd w:id="222"/>
      <w:bookmarkEnd w:id="223"/>
    </w:p>
    <w:p w14:paraId="76CBAD95" w14:textId="34F0D34A" w:rsidR="00FE372A" w:rsidRDefault="009303CD" w:rsidP="00584635">
      <w:pPr>
        <w:pStyle w:val="NPESUbodytext"/>
        <w:spacing w:before="0"/>
        <w:rPr>
          <w:rFonts w:cs="Arial"/>
          <w:color w:val="FF0000"/>
          <w:lang w:eastAsia="en-AU"/>
        </w:rPr>
      </w:pPr>
      <w:r w:rsidRPr="00A66492">
        <w:rPr>
          <w:rFonts w:cs="Arial"/>
          <w:lang w:eastAsia="en-AU"/>
        </w:rPr>
        <w:t xml:space="preserve">The average age of women undertaking autologous and oocyte/embryo recipient cycles was </w:t>
      </w:r>
      <w:r w:rsidR="00262E97" w:rsidRPr="00FD1368">
        <w:rPr>
          <w:rFonts w:cs="Arial"/>
          <w:lang w:eastAsia="en-AU"/>
        </w:rPr>
        <w:t>35.</w:t>
      </w:r>
      <w:r w:rsidR="00B1582F">
        <w:rPr>
          <w:rFonts w:cs="Arial"/>
          <w:lang w:eastAsia="en-AU"/>
        </w:rPr>
        <w:t>6</w:t>
      </w:r>
      <w:r w:rsidRPr="00FD1368">
        <w:rPr>
          <w:rFonts w:cs="Arial"/>
          <w:lang w:eastAsia="en-AU"/>
        </w:rPr>
        <w:t xml:space="preserve"> years</w:t>
      </w:r>
      <w:r w:rsidR="00EC4BB6" w:rsidRPr="00FD1368">
        <w:rPr>
          <w:rFonts w:cs="Arial"/>
          <w:lang w:eastAsia="en-AU"/>
        </w:rPr>
        <w:t xml:space="preserve"> (SD 4.</w:t>
      </w:r>
      <w:r w:rsidR="006400E9">
        <w:rPr>
          <w:rFonts w:cs="Arial"/>
          <w:lang w:eastAsia="en-AU"/>
        </w:rPr>
        <w:t>5</w:t>
      </w:r>
      <w:r w:rsidR="00EC4BB6" w:rsidRPr="00FD1368">
        <w:rPr>
          <w:rFonts w:cs="Arial"/>
          <w:lang w:eastAsia="en-AU"/>
        </w:rPr>
        <w:t>)</w:t>
      </w:r>
      <w:r w:rsidRPr="00FD1368">
        <w:rPr>
          <w:rFonts w:cs="Arial"/>
          <w:lang w:eastAsia="en-AU"/>
        </w:rPr>
        <w:t xml:space="preserve">. For women undergoing oocyte/embryo recipient cycles, the mean age was </w:t>
      </w:r>
      <w:r w:rsidR="003F5BA7" w:rsidRPr="00FD1368">
        <w:rPr>
          <w:rFonts w:cs="Arial"/>
          <w:lang w:eastAsia="en-AU"/>
        </w:rPr>
        <w:t>39.</w:t>
      </w:r>
      <w:r w:rsidR="00B1582F">
        <w:rPr>
          <w:rFonts w:cs="Arial"/>
          <w:lang w:eastAsia="en-AU"/>
        </w:rPr>
        <w:t>8</w:t>
      </w:r>
      <w:r w:rsidRPr="00FD1368">
        <w:rPr>
          <w:rFonts w:cs="Arial"/>
          <w:lang w:eastAsia="en-AU"/>
        </w:rPr>
        <w:t xml:space="preserve"> years</w:t>
      </w:r>
      <w:r w:rsidR="00EC4BB6" w:rsidRPr="00FD1368">
        <w:rPr>
          <w:rFonts w:cs="Arial"/>
          <w:lang w:eastAsia="en-AU"/>
        </w:rPr>
        <w:t xml:space="preserve"> (SD </w:t>
      </w:r>
      <w:r w:rsidR="00FD1368" w:rsidRPr="00FD1368">
        <w:rPr>
          <w:rFonts w:cs="Arial"/>
          <w:lang w:eastAsia="en-AU"/>
        </w:rPr>
        <w:t>5.</w:t>
      </w:r>
      <w:r w:rsidR="00B1582F">
        <w:rPr>
          <w:rFonts w:cs="Arial"/>
          <w:lang w:eastAsia="en-AU"/>
        </w:rPr>
        <w:t>5</w:t>
      </w:r>
      <w:r w:rsidR="00EC4BB6" w:rsidRPr="00FD1368">
        <w:rPr>
          <w:rFonts w:cs="Arial"/>
          <w:lang w:eastAsia="en-AU"/>
        </w:rPr>
        <w:t xml:space="preserve">); </w:t>
      </w:r>
      <w:r w:rsidR="00A66492" w:rsidRPr="00FD1368">
        <w:rPr>
          <w:rFonts w:cs="Arial"/>
          <w:lang w:eastAsia="en-AU"/>
        </w:rPr>
        <w:t>f</w:t>
      </w:r>
      <w:r w:rsidR="0073223C" w:rsidRPr="00FD1368">
        <w:rPr>
          <w:rFonts w:cs="Arial"/>
          <w:lang w:eastAsia="en-AU"/>
        </w:rPr>
        <w:t>our</w:t>
      </w:r>
      <w:r w:rsidRPr="00FD1368">
        <w:rPr>
          <w:rFonts w:cs="Arial"/>
          <w:lang w:eastAsia="en-AU"/>
        </w:rPr>
        <w:t xml:space="preserve"> years older than </w:t>
      </w:r>
      <w:r w:rsidR="00EC4BB6" w:rsidRPr="00FD1368">
        <w:rPr>
          <w:rFonts w:cs="Arial"/>
          <w:lang w:eastAsia="en-AU"/>
        </w:rPr>
        <w:t>women undertaking</w:t>
      </w:r>
      <w:r w:rsidRPr="00FD1368">
        <w:rPr>
          <w:rFonts w:cs="Arial"/>
          <w:lang w:eastAsia="en-AU"/>
        </w:rPr>
        <w:t xml:space="preserve"> autologous cycles</w:t>
      </w:r>
      <w:r w:rsidR="00EF133C" w:rsidRPr="00FD1368">
        <w:rPr>
          <w:rFonts w:cs="Arial"/>
          <w:lang w:eastAsia="en-AU"/>
        </w:rPr>
        <w:t xml:space="preserve"> (</w:t>
      </w:r>
      <w:r w:rsidR="00596C8A" w:rsidRPr="00FD1368">
        <w:rPr>
          <w:rFonts w:cs="Arial"/>
          <w:lang w:eastAsia="en-AU"/>
        </w:rPr>
        <w:t>mean 35.</w:t>
      </w:r>
      <w:r w:rsidR="00A434CE">
        <w:rPr>
          <w:rFonts w:cs="Arial"/>
          <w:lang w:eastAsia="en-AU"/>
        </w:rPr>
        <w:t>2</w:t>
      </w:r>
      <w:r w:rsidR="00596C8A" w:rsidRPr="00FD1368">
        <w:rPr>
          <w:rFonts w:cs="Arial"/>
          <w:lang w:eastAsia="en-AU"/>
        </w:rPr>
        <w:t xml:space="preserve"> years</w:t>
      </w:r>
      <w:r w:rsidR="007A0E93" w:rsidRPr="00FD1368">
        <w:rPr>
          <w:rFonts w:cs="Arial"/>
          <w:lang w:eastAsia="en-AU"/>
        </w:rPr>
        <w:t xml:space="preserve">; SD </w:t>
      </w:r>
      <w:r w:rsidR="00FD1368" w:rsidRPr="00FD1368">
        <w:rPr>
          <w:rFonts w:cs="Arial"/>
          <w:lang w:eastAsia="en-AU"/>
        </w:rPr>
        <w:t>4.</w:t>
      </w:r>
      <w:r w:rsidR="00A434CE">
        <w:rPr>
          <w:rFonts w:cs="Arial"/>
          <w:lang w:eastAsia="en-AU"/>
        </w:rPr>
        <w:t>2</w:t>
      </w:r>
      <w:r w:rsidR="00FD1368" w:rsidRPr="00FD1368">
        <w:rPr>
          <w:rFonts w:cs="Arial"/>
          <w:lang w:eastAsia="en-AU"/>
        </w:rPr>
        <w:t xml:space="preserve">). </w:t>
      </w:r>
      <w:r w:rsidRPr="00473733">
        <w:rPr>
          <w:rFonts w:cs="Arial"/>
          <w:lang w:eastAsia="en-AU"/>
        </w:rPr>
        <w:t>Of all autologous and oocyte/embryo recipient cycles,</w:t>
      </w:r>
      <w:r w:rsidR="00A434CE">
        <w:rPr>
          <w:rFonts w:cs="Arial"/>
          <w:lang w:eastAsia="en-AU"/>
        </w:rPr>
        <w:t xml:space="preserve"> </w:t>
      </w:r>
      <w:r w:rsidR="00E95A6C">
        <w:rPr>
          <w:rFonts w:cs="Arial"/>
          <w:lang w:eastAsia="en-AU"/>
        </w:rPr>
        <w:t>19.</w:t>
      </w:r>
      <w:r w:rsidR="00C67FBC">
        <w:rPr>
          <w:rFonts w:cs="Arial"/>
          <w:lang w:eastAsia="en-AU"/>
        </w:rPr>
        <w:t>9</w:t>
      </w:r>
      <w:r w:rsidR="009A6EEB" w:rsidRPr="00473733">
        <w:rPr>
          <w:rFonts w:cs="Arial"/>
          <w:lang w:eastAsia="en-AU"/>
        </w:rPr>
        <w:t xml:space="preserve">% </w:t>
      </w:r>
      <w:r w:rsidRPr="00473733">
        <w:rPr>
          <w:rFonts w:cs="Arial"/>
          <w:lang w:eastAsia="en-AU"/>
        </w:rPr>
        <w:t>w</w:t>
      </w:r>
      <w:r w:rsidR="00A434CE">
        <w:rPr>
          <w:rFonts w:cs="Arial"/>
          <w:lang w:eastAsia="en-AU"/>
        </w:rPr>
        <w:t>ere</w:t>
      </w:r>
      <w:r w:rsidRPr="00473733">
        <w:rPr>
          <w:rFonts w:cs="Arial"/>
          <w:lang w:eastAsia="en-AU"/>
        </w:rPr>
        <w:t xml:space="preserve"> undertaken by women aged 40 years or older (Table </w:t>
      </w:r>
      <w:r w:rsidR="00080E2E">
        <w:rPr>
          <w:rFonts w:cs="Arial"/>
          <w:lang w:eastAsia="en-AU"/>
        </w:rPr>
        <w:t>4</w:t>
      </w:r>
      <w:r w:rsidRPr="00473733">
        <w:rPr>
          <w:rFonts w:cs="Arial"/>
          <w:lang w:eastAsia="en-AU"/>
        </w:rPr>
        <w:t xml:space="preserve">). </w:t>
      </w:r>
      <w:r w:rsidRPr="00314BF8">
        <w:rPr>
          <w:rFonts w:cs="Arial"/>
          <w:lang w:eastAsia="en-AU"/>
        </w:rPr>
        <w:t xml:space="preserve">The average age of </w:t>
      </w:r>
      <w:r w:rsidR="00A434CE">
        <w:rPr>
          <w:rFonts w:cs="Arial"/>
          <w:lang w:eastAsia="en-AU"/>
        </w:rPr>
        <w:t xml:space="preserve">male </w:t>
      </w:r>
      <w:r w:rsidRPr="00314BF8">
        <w:rPr>
          <w:rFonts w:cs="Arial"/>
          <w:lang w:eastAsia="en-AU"/>
        </w:rPr>
        <w:t xml:space="preserve">partners was </w:t>
      </w:r>
      <w:r w:rsidR="00FD1368" w:rsidRPr="00314BF8">
        <w:rPr>
          <w:rFonts w:cs="Arial"/>
          <w:lang w:eastAsia="en-AU"/>
        </w:rPr>
        <w:t>37.9</w:t>
      </w:r>
      <w:r w:rsidRPr="00314BF8">
        <w:rPr>
          <w:rFonts w:cs="Arial"/>
          <w:lang w:eastAsia="en-AU"/>
        </w:rPr>
        <w:t xml:space="preserve"> years</w:t>
      </w:r>
      <w:r w:rsidR="00EC4BB6" w:rsidRPr="00314BF8">
        <w:rPr>
          <w:rFonts w:cs="Arial"/>
          <w:lang w:eastAsia="en-AU"/>
        </w:rPr>
        <w:t xml:space="preserve"> (SD 6.</w:t>
      </w:r>
      <w:r w:rsidR="006575F3">
        <w:rPr>
          <w:rFonts w:cs="Arial"/>
          <w:lang w:eastAsia="en-AU"/>
        </w:rPr>
        <w:t>4</w:t>
      </w:r>
      <w:r w:rsidR="00EC4BB6" w:rsidRPr="00314BF8">
        <w:rPr>
          <w:rFonts w:cs="Arial"/>
          <w:lang w:eastAsia="en-AU"/>
        </w:rPr>
        <w:t>)</w:t>
      </w:r>
      <w:r w:rsidRPr="00314BF8">
        <w:rPr>
          <w:rFonts w:cs="Arial"/>
          <w:lang w:eastAsia="en-AU"/>
        </w:rPr>
        <w:t>,</w:t>
      </w:r>
      <w:r w:rsidRPr="00DF509C">
        <w:rPr>
          <w:rFonts w:cs="Arial"/>
          <w:color w:val="FF0000"/>
          <w:lang w:eastAsia="en-AU"/>
        </w:rPr>
        <w:t xml:space="preserve"> </w:t>
      </w:r>
      <w:r w:rsidRPr="00F231E4">
        <w:rPr>
          <w:rFonts w:cs="Arial"/>
          <w:lang w:eastAsia="en-AU"/>
        </w:rPr>
        <w:t>with one-third (</w:t>
      </w:r>
      <w:r w:rsidR="00E95A6C">
        <w:rPr>
          <w:rFonts w:cs="Arial"/>
          <w:lang w:eastAsia="en-AU"/>
        </w:rPr>
        <w:t>30.6</w:t>
      </w:r>
      <w:r w:rsidRPr="00F231E4">
        <w:rPr>
          <w:rFonts w:cs="Arial"/>
          <w:lang w:eastAsia="en-AU"/>
        </w:rPr>
        <w:t xml:space="preserve">%) aged 40 years or older (Table </w:t>
      </w:r>
      <w:r w:rsidR="00080E2E">
        <w:rPr>
          <w:rFonts w:cs="Arial"/>
          <w:lang w:eastAsia="en-AU"/>
        </w:rPr>
        <w:t>5</w:t>
      </w:r>
      <w:r w:rsidRPr="00F231E4">
        <w:rPr>
          <w:rFonts w:cs="Arial"/>
          <w:lang w:eastAsia="en-AU"/>
        </w:rPr>
        <w:t>).</w:t>
      </w:r>
      <w:r w:rsidR="0039056D" w:rsidRPr="00DF509C">
        <w:rPr>
          <w:rFonts w:cs="Arial"/>
          <w:color w:val="FF0000"/>
          <w:lang w:eastAsia="en-AU"/>
        </w:rPr>
        <w:t xml:space="preserve"> </w:t>
      </w:r>
      <w:r w:rsidR="0039056D" w:rsidRPr="00F231E4">
        <w:rPr>
          <w:rFonts w:cs="Arial"/>
          <w:lang w:eastAsia="en-AU"/>
        </w:rPr>
        <w:t xml:space="preserve">For </w:t>
      </w:r>
      <w:r w:rsidR="00E95A6C">
        <w:rPr>
          <w:rFonts w:cs="Arial"/>
          <w:lang w:eastAsia="en-AU"/>
        </w:rPr>
        <w:t>11</w:t>
      </w:r>
      <w:r w:rsidR="0039056D" w:rsidRPr="00F231E4">
        <w:rPr>
          <w:rFonts w:cs="Arial"/>
          <w:lang w:eastAsia="en-AU"/>
        </w:rPr>
        <w:t>% of autologous and oocyte/embryo recipient cycles, the partner’s age was not stated</w:t>
      </w:r>
      <w:r w:rsidR="00F96118" w:rsidRPr="00F231E4">
        <w:rPr>
          <w:rFonts w:cs="Arial"/>
          <w:lang w:eastAsia="en-AU"/>
        </w:rPr>
        <w:t>,</w:t>
      </w:r>
      <w:r w:rsidR="0039056D" w:rsidRPr="00F231E4">
        <w:rPr>
          <w:rFonts w:cs="Arial"/>
          <w:lang w:eastAsia="en-AU"/>
        </w:rPr>
        <w:t xml:space="preserve"> or no partner was involved.</w:t>
      </w:r>
    </w:p>
    <w:p w14:paraId="7FF22E96" w14:textId="047954C5" w:rsidR="00AE2748" w:rsidRPr="00952173" w:rsidRDefault="00AE2748" w:rsidP="00952173">
      <w:pPr>
        <w:pStyle w:val="TableSourcefootnotes"/>
        <w:tabs>
          <w:tab w:val="clear" w:pos="397"/>
          <w:tab w:val="left" w:pos="142"/>
          <w:tab w:val="left" w:pos="284"/>
        </w:tabs>
        <w:spacing w:before="0" w:after="0" w:line="240" w:lineRule="auto"/>
        <w:rPr>
          <w:rFonts w:cs="Arial"/>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26"/>
      </w:tblGrid>
      <w:tr w:rsidR="00F84A12" w:rsidRPr="00617599" w14:paraId="22E5BD81" w14:textId="77777777" w:rsidTr="009303CD">
        <w:trPr>
          <w:tblHeader/>
          <w:tblCellSpacing w:w="0" w:type="dxa"/>
        </w:trPr>
        <w:tc>
          <w:tcPr>
            <w:tcW w:w="5000" w:type="pct"/>
            <w:tcMar>
              <w:top w:w="0" w:type="dxa"/>
              <w:left w:w="0" w:type="dxa"/>
              <w:bottom w:w="0" w:type="dxa"/>
              <w:right w:w="0" w:type="dxa"/>
            </w:tcMar>
            <w:vAlign w:val="center"/>
            <w:hideMark/>
          </w:tcPr>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830"/>
              <w:gridCol w:w="802"/>
              <w:gridCol w:w="919"/>
              <w:gridCol w:w="88"/>
              <w:gridCol w:w="802"/>
              <w:gridCol w:w="803"/>
              <w:gridCol w:w="88"/>
              <w:gridCol w:w="1016"/>
              <w:gridCol w:w="986"/>
              <w:gridCol w:w="88"/>
              <w:gridCol w:w="802"/>
              <w:gridCol w:w="802"/>
            </w:tblGrid>
            <w:tr w:rsidR="00F84A12" w:rsidRPr="00617599" w14:paraId="73CEF388" w14:textId="77777777" w:rsidTr="00F84A12">
              <w:trPr>
                <w:tblHeader/>
              </w:trPr>
              <w:tc>
                <w:tcPr>
                  <w:tcW w:w="5000" w:type="pct"/>
                  <w:gridSpan w:val="12"/>
                  <w:shd w:val="clear" w:color="auto" w:fill="FFFFFF"/>
                  <w:tcMar>
                    <w:top w:w="0" w:type="dxa"/>
                    <w:left w:w="0" w:type="dxa"/>
                    <w:bottom w:w="0" w:type="dxa"/>
                    <w:right w:w="0" w:type="dxa"/>
                  </w:tcMar>
                  <w:vAlign w:val="center"/>
                  <w:hideMark/>
                </w:tcPr>
                <w:p w14:paraId="0002504B" w14:textId="7CBEC38F" w:rsidR="00F84A12" w:rsidRPr="00617599" w:rsidRDefault="00F84A12" w:rsidP="00360E75">
                  <w:pPr>
                    <w:pStyle w:val="Caption"/>
                    <w:spacing w:before="60" w:line="260" w:lineRule="atLeast"/>
                    <w:rPr>
                      <w:rFonts w:eastAsia="Times New Roman"/>
                      <w:lang w:eastAsia="en-AU"/>
                    </w:rPr>
                  </w:pPr>
                  <w:bookmarkStart w:id="224" w:name="_Toc158026553"/>
                  <w:bookmarkStart w:id="225" w:name="_Toc453055840"/>
                  <w:bookmarkStart w:id="226" w:name="_Toc453056135"/>
                  <w:bookmarkStart w:id="227" w:name="_Toc453057226"/>
                  <w:bookmarkStart w:id="228" w:name="_Hlk105066222"/>
                  <w:r w:rsidRPr="00617599">
                    <w:rPr>
                      <w:rFonts w:eastAsia="Times New Roman"/>
                      <w:lang w:eastAsia="en-AU"/>
                    </w:rPr>
                    <w:t xml:space="preserve">Table </w:t>
                  </w:r>
                  <w:r w:rsidR="00080E2E">
                    <w:rPr>
                      <w:rFonts w:eastAsia="Times New Roman"/>
                      <w:lang w:eastAsia="en-AU"/>
                    </w:rPr>
                    <w:t>4</w:t>
                  </w:r>
                  <w:r w:rsidRPr="00617599">
                    <w:rPr>
                      <w:rFonts w:eastAsia="Times New Roman"/>
                      <w:lang w:eastAsia="en-AU"/>
                    </w:rPr>
                    <w:t xml:space="preserve">: Number of autologous and recipient cycles by women’s age group and treatment type, </w:t>
                  </w:r>
                  <w:r w:rsidR="00A501CE">
                    <w:rPr>
                      <w:rFonts w:eastAsia="Times New Roman"/>
                      <w:lang w:eastAsia="en-AU"/>
                    </w:rPr>
                    <w:t>New Zealand, 20</w:t>
                  </w:r>
                  <w:r w:rsidR="006400E9">
                    <w:rPr>
                      <w:rFonts w:eastAsia="Times New Roman"/>
                      <w:lang w:eastAsia="en-AU"/>
                    </w:rPr>
                    <w:t>2</w:t>
                  </w:r>
                  <w:r w:rsidR="00FE3B92">
                    <w:rPr>
                      <w:rFonts w:eastAsia="Times New Roman"/>
                      <w:lang w:eastAsia="en-AU"/>
                    </w:rPr>
                    <w:t>1</w:t>
                  </w:r>
                  <w:bookmarkEnd w:id="224"/>
                  <w:r w:rsidR="00A501CE">
                    <w:rPr>
                      <w:rFonts w:eastAsia="Times New Roman"/>
                      <w:lang w:eastAsia="en-AU"/>
                    </w:rPr>
                    <w:t xml:space="preserve"> </w:t>
                  </w:r>
                </w:p>
              </w:tc>
            </w:tr>
            <w:tr w:rsidR="00F84A12" w:rsidRPr="00617599" w14:paraId="2E6F8233" w14:textId="77777777" w:rsidTr="00C3202B">
              <w:trPr>
                <w:trHeight w:val="284"/>
                <w:tblHeader/>
              </w:trPr>
              <w:tc>
                <w:tcPr>
                  <w:tcW w:w="1014" w:type="pct"/>
                  <w:tcBorders>
                    <w:top w:val="single" w:sz="12" w:space="0" w:color="auto"/>
                  </w:tcBorders>
                  <w:shd w:val="clear" w:color="auto" w:fill="FFFFFF"/>
                  <w:tcMar>
                    <w:top w:w="0" w:type="dxa"/>
                    <w:left w:w="0" w:type="dxa"/>
                    <w:bottom w:w="0" w:type="dxa"/>
                    <w:right w:w="0" w:type="dxa"/>
                  </w:tcMar>
                  <w:vAlign w:val="center"/>
                  <w:hideMark/>
                </w:tcPr>
                <w:p w14:paraId="6561A1A4" w14:textId="77777777" w:rsidR="00F84A12" w:rsidRPr="00617599" w:rsidRDefault="00F84A12" w:rsidP="00360E75">
                  <w:pPr>
                    <w:spacing w:after="0" w:line="276" w:lineRule="auto"/>
                    <w:rPr>
                      <w:rFonts w:ascii="Arial" w:eastAsia="Times New Roman" w:hAnsi="Arial" w:cs="Arial"/>
                      <w:sz w:val="16"/>
                      <w:szCs w:val="16"/>
                      <w:lang w:eastAsia="en-AU"/>
                    </w:rPr>
                  </w:pPr>
                </w:p>
              </w:tc>
              <w:tc>
                <w:tcPr>
                  <w:tcW w:w="1891" w:type="pct"/>
                  <w:gridSpan w:val="5"/>
                  <w:tcBorders>
                    <w:top w:val="single" w:sz="12" w:space="0" w:color="auto"/>
                    <w:bottom w:val="single" w:sz="6" w:space="0" w:color="808080"/>
                  </w:tcBorders>
                  <w:shd w:val="clear" w:color="auto" w:fill="FFFFFF"/>
                  <w:tcMar>
                    <w:top w:w="0" w:type="dxa"/>
                    <w:left w:w="0" w:type="dxa"/>
                    <w:bottom w:w="0" w:type="dxa"/>
                    <w:right w:w="0" w:type="dxa"/>
                  </w:tcMar>
                  <w:vAlign w:val="center"/>
                  <w:hideMark/>
                </w:tcPr>
                <w:p w14:paraId="6D82F44E" w14:textId="77777777" w:rsidR="00F84A12" w:rsidRPr="00617599" w:rsidRDefault="00F84A12"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Autologous</w:t>
                  </w:r>
                </w:p>
              </w:tc>
              <w:tc>
                <w:tcPr>
                  <w:tcW w:w="49" w:type="pct"/>
                  <w:tcBorders>
                    <w:top w:val="single" w:sz="12" w:space="0" w:color="808080"/>
                  </w:tcBorders>
                  <w:shd w:val="clear" w:color="auto" w:fill="FFFFFF"/>
                  <w:tcMar>
                    <w:top w:w="0" w:type="dxa"/>
                    <w:left w:w="0" w:type="dxa"/>
                    <w:bottom w:w="0" w:type="dxa"/>
                    <w:right w:w="0" w:type="dxa"/>
                  </w:tcMar>
                  <w:vAlign w:val="center"/>
                  <w:hideMark/>
                </w:tcPr>
                <w:p w14:paraId="53E34B79" w14:textId="77777777" w:rsidR="00F84A12" w:rsidRPr="00617599" w:rsidRDefault="00F84A12"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2046" w:type="pct"/>
                  <w:gridSpan w:val="5"/>
                  <w:tcBorders>
                    <w:top w:val="single" w:sz="12" w:space="0" w:color="auto"/>
                  </w:tcBorders>
                  <w:shd w:val="clear" w:color="auto" w:fill="FFFFFF"/>
                  <w:tcMar>
                    <w:top w:w="0" w:type="dxa"/>
                    <w:left w:w="0" w:type="dxa"/>
                    <w:bottom w:w="0" w:type="dxa"/>
                    <w:right w:w="0" w:type="dxa"/>
                  </w:tcMar>
                  <w:vAlign w:val="center"/>
                  <w:hideMark/>
                </w:tcPr>
                <w:p w14:paraId="51D3339A" w14:textId="77777777" w:rsidR="00F84A12" w:rsidRPr="00617599" w:rsidRDefault="00F84A12" w:rsidP="00360E75">
                  <w:pPr>
                    <w:spacing w:after="0" w:line="276" w:lineRule="auto"/>
                    <w:jc w:val="center"/>
                    <w:rPr>
                      <w:rFonts w:ascii="Arial" w:eastAsia="Times New Roman" w:hAnsi="Arial" w:cs="Arial"/>
                      <w:b/>
                      <w:bCs/>
                      <w:sz w:val="16"/>
                      <w:szCs w:val="16"/>
                      <w:lang w:eastAsia="en-AU"/>
                    </w:rPr>
                  </w:pPr>
                </w:p>
              </w:tc>
            </w:tr>
            <w:tr w:rsidR="00F84A12" w:rsidRPr="00617599" w14:paraId="23743861" w14:textId="77777777" w:rsidTr="00CC5490">
              <w:trPr>
                <w:trHeight w:val="284"/>
                <w:tblHeader/>
              </w:trPr>
              <w:tc>
                <w:tcPr>
                  <w:tcW w:w="1014" w:type="pct"/>
                  <w:shd w:val="clear" w:color="auto" w:fill="FFFFFF"/>
                  <w:tcMar>
                    <w:top w:w="0" w:type="dxa"/>
                    <w:left w:w="0" w:type="dxa"/>
                    <w:bottom w:w="0" w:type="dxa"/>
                    <w:right w:w="0" w:type="dxa"/>
                  </w:tcMar>
                  <w:vAlign w:val="center"/>
                  <w:hideMark/>
                </w:tcPr>
                <w:p w14:paraId="06E29D8C" w14:textId="77777777" w:rsidR="00F84A12" w:rsidRPr="00617599" w:rsidRDefault="00F84A12" w:rsidP="00360E75">
                  <w:pPr>
                    <w:spacing w:after="0" w:line="276" w:lineRule="auto"/>
                    <w:jc w:val="center"/>
                    <w:rPr>
                      <w:rFonts w:ascii="Arial" w:eastAsia="Times New Roman" w:hAnsi="Arial" w:cs="Arial"/>
                      <w:sz w:val="16"/>
                      <w:szCs w:val="16"/>
                      <w:lang w:eastAsia="en-AU"/>
                    </w:rPr>
                  </w:pPr>
                </w:p>
              </w:tc>
              <w:tc>
                <w:tcPr>
                  <w:tcW w:w="953" w:type="pct"/>
                  <w:gridSpan w:val="2"/>
                  <w:tcBorders>
                    <w:bottom w:val="single" w:sz="6" w:space="0" w:color="808080"/>
                  </w:tcBorders>
                  <w:shd w:val="clear" w:color="auto" w:fill="FFFFFF"/>
                  <w:tcMar>
                    <w:top w:w="0" w:type="dxa"/>
                    <w:left w:w="0" w:type="dxa"/>
                    <w:bottom w:w="0" w:type="dxa"/>
                    <w:right w:w="0" w:type="dxa"/>
                  </w:tcMar>
                  <w:vAlign w:val="center"/>
                  <w:hideMark/>
                </w:tcPr>
                <w:p w14:paraId="3EC2AE1F" w14:textId="77777777" w:rsidR="00F84A12" w:rsidRPr="00617599" w:rsidRDefault="00F84A12"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Fresh</w:t>
                  </w:r>
                </w:p>
              </w:tc>
              <w:tc>
                <w:tcPr>
                  <w:tcW w:w="49" w:type="pct"/>
                  <w:shd w:val="clear" w:color="auto" w:fill="FFFFFF"/>
                  <w:tcMar>
                    <w:top w:w="0" w:type="dxa"/>
                    <w:left w:w="0" w:type="dxa"/>
                    <w:bottom w:w="0" w:type="dxa"/>
                    <w:right w:w="0" w:type="dxa"/>
                  </w:tcMar>
                  <w:vAlign w:val="center"/>
                  <w:hideMark/>
                </w:tcPr>
                <w:p w14:paraId="4D9E9FD2" w14:textId="77777777" w:rsidR="00F84A12" w:rsidRPr="00617599" w:rsidRDefault="00F84A12"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889" w:type="pct"/>
                  <w:gridSpan w:val="2"/>
                  <w:tcBorders>
                    <w:bottom w:val="single" w:sz="6" w:space="0" w:color="808080"/>
                  </w:tcBorders>
                  <w:shd w:val="clear" w:color="auto" w:fill="FFFFFF"/>
                  <w:tcMar>
                    <w:top w:w="0" w:type="dxa"/>
                    <w:left w:w="0" w:type="dxa"/>
                    <w:bottom w:w="0" w:type="dxa"/>
                    <w:right w:w="0" w:type="dxa"/>
                  </w:tcMar>
                  <w:vAlign w:val="center"/>
                  <w:hideMark/>
                </w:tcPr>
                <w:p w14:paraId="59661CD8" w14:textId="77777777" w:rsidR="00F84A12" w:rsidRPr="00617599" w:rsidRDefault="00F84A12"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Thaw</w:t>
                  </w:r>
                </w:p>
              </w:tc>
              <w:tc>
                <w:tcPr>
                  <w:tcW w:w="49" w:type="pct"/>
                  <w:shd w:val="clear" w:color="auto" w:fill="FFFFFF"/>
                  <w:tcMar>
                    <w:top w:w="0" w:type="dxa"/>
                    <w:left w:w="0" w:type="dxa"/>
                    <w:bottom w:w="0" w:type="dxa"/>
                    <w:right w:w="0" w:type="dxa"/>
                  </w:tcMar>
                  <w:vAlign w:val="center"/>
                  <w:hideMark/>
                </w:tcPr>
                <w:p w14:paraId="3D6D7757" w14:textId="77777777" w:rsidR="00F84A12" w:rsidRPr="00617599" w:rsidRDefault="00F84A12"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1109" w:type="pct"/>
                  <w:gridSpan w:val="2"/>
                  <w:tcBorders>
                    <w:bottom w:val="single" w:sz="6" w:space="0" w:color="808080"/>
                  </w:tcBorders>
                  <w:shd w:val="clear" w:color="auto" w:fill="FFFFFF"/>
                  <w:tcMar>
                    <w:top w:w="0" w:type="dxa"/>
                    <w:left w:w="0" w:type="dxa"/>
                    <w:bottom w:w="0" w:type="dxa"/>
                    <w:right w:w="0" w:type="dxa"/>
                  </w:tcMar>
                  <w:vAlign w:val="center"/>
                  <w:hideMark/>
                </w:tcPr>
                <w:p w14:paraId="2B881B86" w14:textId="77777777" w:rsidR="00CD5BF6" w:rsidRPr="00617599" w:rsidRDefault="00F84A12"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Oocyte/Embryo </w:t>
                  </w:r>
                </w:p>
                <w:p w14:paraId="1F94B222" w14:textId="77777777" w:rsidR="00F84A12" w:rsidRPr="00617599" w:rsidRDefault="00F84A12"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Recipient</w:t>
                  </w:r>
                </w:p>
              </w:tc>
              <w:tc>
                <w:tcPr>
                  <w:tcW w:w="49" w:type="pct"/>
                  <w:shd w:val="clear" w:color="auto" w:fill="FFFFFF"/>
                  <w:tcMar>
                    <w:top w:w="0" w:type="dxa"/>
                    <w:left w:w="0" w:type="dxa"/>
                    <w:bottom w:w="0" w:type="dxa"/>
                    <w:right w:w="0" w:type="dxa"/>
                  </w:tcMar>
                  <w:vAlign w:val="center"/>
                  <w:hideMark/>
                </w:tcPr>
                <w:p w14:paraId="26827CA6" w14:textId="77777777" w:rsidR="00F84A12" w:rsidRPr="00617599" w:rsidRDefault="00F84A12"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889" w:type="pct"/>
                  <w:gridSpan w:val="2"/>
                  <w:tcBorders>
                    <w:bottom w:val="single" w:sz="6" w:space="0" w:color="808080"/>
                  </w:tcBorders>
                  <w:shd w:val="clear" w:color="auto" w:fill="FFFFFF"/>
                  <w:tcMar>
                    <w:top w:w="0" w:type="dxa"/>
                    <w:left w:w="0" w:type="dxa"/>
                    <w:bottom w:w="0" w:type="dxa"/>
                    <w:right w:w="0" w:type="dxa"/>
                  </w:tcMar>
                  <w:vAlign w:val="center"/>
                  <w:hideMark/>
                </w:tcPr>
                <w:p w14:paraId="76F4ABEA" w14:textId="77777777" w:rsidR="00F84A12" w:rsidRPr="00617599" w:rsidRDefault="00F84A12"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All</w:t>
                  </w:r>
                </w:p>
              </w:tc>
            </w:tr>
            <w:tr w:rsidR="00EC4BB6" w:rsidRPr="00617599" w14:paraId="79732901" w14:textId="77777777" w:rsidTr="00C3202B">
              <w:trPr>
                <w:trHeight w:val="284"/>
                <w:tblHeader/>
              </w:trPr>
              <w:tc>
                <w:tcPr>
                  <w:tcW w:w="1014" w:type="pct"/>
                  <w:tcBorders>
                    <w:bottom w:val="single" w:sz="6" w:space="0" w:color="808080"/>
                  </w:tcBorders>
                  <w:shd w:val="clear" w:color="auto" w:fill="FFFFFF"/>
                  <w:tcMar>
                    <w:top w:w="0" w:type="dxa"/>
                    <w:left w:w="0" w:type="dxa"/>
                    <w:bottom w:w="0" w:type="dxa"/>
                    <w:right w:w="0" w:type="dxa"/>
                  </w:tcMar>
                  <w:vAlign w:val="center"/>
                  <w:hideMark/>
                </w:tcPr>
                <w:p w14:paraId="3CA3AB31" w14:textId="77777777" w:rsidR="00EC4BB6" w:rsidRPr="00617599" w:rsidRDefault="00EC4BB6" w:rsidP="00360E75">
                  <w:pPr>
                    <w:spacing w:after="0" w:line="276" w:lineRule="auto"/>
                    <w:rPr>
                      <w:rFonts w:ascii="Arial" w:eastAsia="Times New Roman" w:hAnsi="Arial" w:cs="Arial"/>
                      <w:b/>
                      <w:bCs/>
                      <w:sz w:val="16"/>
                      <w:szCs w:val="16"/>
                      <w:vertAlign w:val="superscript"/>
                      <w:lang w:eastAsia="en-AU"/>
                    </w:rPr>
                  </w:pPr>
                  <w:r w:rsidRPr="00617599">
                    <w:rPr>
                      <w:rFonts w:ascii="Arial" w:eastAsia="Times New Roman" w:hAnsi="Arial" w:cs="Arial"/>
                      <w:b/>
                      <w:bCs/>
                      <w:sz w:val="16"/>
                      <w:szCs w:val="16"/>
                      <w:lang w:eastAsia="en-AU"/>
                    </w:rPr>
                    <w:t>Age group (years)</w:t>
                  </w:r>
                  <w:r w:rsidRPr="00617599">
                    <w:rPr>
                      <w:rFonts w:ascii="Arial" w:eastAsia="Times New Roman" w:hAnsi="Arial" w:cs="Arial"/>
                      <w:b/>
                      <w:bCs/>
                      <w:sz w:val="16"/>
                      <w:szCs w:val="16"/>
                      <w:vertAlign w:val="superscript"/>
                      <w:lang w:eastAsia="en-AU"/>
                    </w:rPr>
                    <w:t>(a)</w:t>
                  </w:r>
                </w:p>
              </w:tc>
              <w:tc>
                <w:tcPr>
                  <w:tcW w:w="444" w:type="pct"/>
                  <w:tcBorders>
                    <w:bottom w:val="single" w:sz="6" w:space="0" w:color="808080"/>
                  </w:tcBorders>
                  <w:shd w:val="clear" w:color="auto" w:fill="FFFFFF"/>
                  <w:tcMar>
                    <w:top w:w="0" w:type="dxa"/>
                    <w:left w:w="0" w:type="dxa"/>
                    <w:bottom w:w="0" w:type="dxa"/>
                    <w:right w:w="0" w:type="dxa"/>
                  </w:tcMar>
                  <w:vAlign w:val="center"/>
                  <w:hideMark/>
                </w:tcPr>
                <w:p w14:paraId="6DEB5B5A" w14:textId="1610D3FC"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509" w:type="pct"/>
                  <w:tcBorders>
                    <w:bottom w:val="single" w:sz="6" w:space="0" w:color="808080"/>
                  </w:tcBorders>
                  <w:shd w:val="clear" w:color="auto" w:fill="FFFFFF"/>
                  <w:tcMar>
                    <w:top w:w="0" w:type="dxa"/>
                    <w:left w:w="0" w:type="dxa"/>
                    <w:bottom w:w="0" w:type="dxa"/>
                    <w:right w:w="0" w:type="dxa"/>
                  </w:tcMar>
                  <w:vAlign w:val="center"/>
                  <w:hideMark/>
                </w:tcPr>
                <w:p w14:paraId="791C82C1" w14:textId="1EA13388"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FFFFFF"/>
                  <w:tcMar>
                    <w:top w:w="0" w:type="dxa"/>
                    <w:left w:w="0" w:type="dxa"/>
                    <w:bottom w:w="0" w:type="dxa"/>
                    <w:right w:w="0" w:type="dxa"/>
                  </w:tcMar>
                  <w:vAlign w:val="center"/>
                  <w:hideMark/>
                </w:tcPr>
                <w:p w14:paraId="55D11814"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444" w:type="pct"/>
                  <w:tcBorders>
                    <w:bottom w:val="single" w:sz="6" w:space="0" w:color="808080"/>
                  </w:tcBorders>
                  <w:shd w:val="clear" w:color="auto" w:fill="FFFFFF"/>
                  <w:tcMar>
                    <w:top w:w="0" w:type="dxa"/>
                    <w:left w:w="0" w:type="dxa"/>
                    <w:bottom w:w="0" w:type="dxa"/>
                    <w:right w:w="0" w:type="dxa"/>
                  </w:tcMar>
                  <w:vAlign w:val="center"/>
                  <w:hideMark/>
                </w:tcPr>
                <w:p w14:paraId="51959BBE" w14:textId="7AEA4434"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45" w:type="pct"/>
                  <w:tcBorders>
                    <w:bottom w:val="single" w:sz="6" w:space="0" w:color="808080"/>
                  </w:tcBorders>
                  <w:shd w:val="clear" w:color="auto" w:fill="FFFFFF"/>
                  <w:tcMar>
                    <w:top w:w="0" w:type="dxa"/>
                    <w:left w:w="0" w:type="dxa"/>
                    <w:bottom w:w="0" w:type="dxa"/>
                    <w:right w:w="0" w:type="dxa"/>
                  </w:tcMar>
                  <w:vAlign w:val="center"/>
                  <w:hideMark/>
                </w:tcPr>
                <w:p w14:paraId="7384B81D" w14:textId="08476BEA"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FFFFFF"/>
                  <w:tcMar>
                    <w:top w:w="0" w:type="dxa"/>
                    <w:left w:w="0" w:type="dxa"/>
                    <w:bottom w:w="0" w:type="dxa"/>
                    <w:right w:w="0" w:type="dxa"/>
                  </w:tcMar>
                  <w:vAlign w:val="center"/>
                  <w:hideMark/>
                </w:tcPr>
                <w:p w14:paraId="4598268C"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563" w:type="pct"/>
                  <w:tcBorders>
                    <w:bottom w:val="single" w:sz="6" w:space="0" w:color="808080"/>
                  </w:tcBorders>
                  <w:shd w:val="clear" w:color="auto" w:fill="FFFFFF"/>
                  <w:tcMar>
                    <w:top w:w="0" w:type="dxa"/>
                    <w:left w:w="0" w:type="dxa"/>
                    <w:bottom w:w="0" w:type="dxa"/>
                    <w:right w:w="0" w:type="dxa"/>
                  </w:tcMar>
                  <w:vAlign w:val="center"/>
                  <w:hideMark/>
                </w:tcPr>
                <w:p w14:paraId="790BA5FE" w14:textId="3703AE93"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546" w:type="pct"/>
                  <w:tcBorders>
                    <w:bottom w:val="single" w:sz="6" w:space="0" w:color="808080"/>
                  </w:tcBorders>
                  <w:shd w:val="clear" w:color="auto" w:fill="FFFFFF"/>
                  <w:tcMar>
                    <w:top w:w="0" w:type="dxa"/>
                    <w:left w:w="0" w:type="dxa"/>
                    <w:bottom w:w="0" w:type="dxa"/>
                    <w:right w:w="0" w:type="dxa"/>
                  </w:tcMar>
                  <w:vAlign w:val="center"/>
                  <w:hideMark/>
                </w:tcPr>
                <w:p w14:paraId="4EEBF902" w14:textId="234D0A95"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FFFFFF"/>
                  <w:tcMar>
                    <w:top w:w="0" w:type="dxa"/>
                    <w:left w:w="0" w:type="dxa"/>
                    <w:bottom w:w="0" w:type="dxa"/>
                    <w:right w:w="0" w:type="dxa"/>
                  </w:tcMar>
                  <w:vAlign w:val="center"/>
                  <w:hideMark/>
                </w:tcPr>
                <w:p w14:paraId="4DBCA5C1"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444" w:type="pct"/>
                  <w:tcBorders>
                    <w:bottom w:val="single" w:sz="6" w:space="0" w:color="808080"/>
                  </w:tcBorders>
                  <w:shd w:val="clear" w:color="auto" w:fill="FFFFFF"/>
                  <w:tcMar>
                    <w:top w:w="0" w:type="dxa"/>
                    <w:left w:w="0" w:type="dxa"/>
                    <w:bottom w:w="0" w:type="dxa"/>
                    <w:right w:w="0" w:type="dxa"/>
                  </w:tcMar>
                  <w:vAlign w:val="center"/>
                  <w:hideMark/>
                </w:tcPr>
                <w:p w14:paraId="592FC9C2" w14:textId="5D9BAD0D"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44" w:type="pct"/>
                  <w:tcBorders>
                    <w:bottom w:val="single" w:sz="6" w:space="0" w:color="808080"/>
                  </w:tcBorders>
                  <w:shd w:val="clear" w:color="auto" w:fill="FFFFFF"/>
                  <w:tcMar>
                    <w:top w:w="0" w:type="dxa"/>
                    <w:left w:w="0" w:type="dxa"/>
                    <w:bottom w:w="0" w:type="dxa"/>
                    <w:right w:w="0" w:type="dxa"/>
                  </w:tcMar>
                  <w:vAlign w:val="center"/>
                  <w:hideMark/>
                </w:tcPr>
                <w:p w14:paraId="195BFFDB" w14:textId="384AAB08"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r>
            <w:tr w:rsidR="00FE3B92" w:rsidRPr="00617599" w14:paraId="441EC702" w14:textId="77777777" w:rsidTr="00FE3B92">
              <w:trPr>
                <w:trHeight w:val="284"/>
              </w:trPr>
              <w:tc>
                <w:tcPr>
                  <w:tcW w:w="1014" w:type="pct"/>
                  <w:tcBorders>
                    <w:top w:val="nil"/>
                    <w:left w:val="nil"/>
                    <w:bottom w:val="nil"/>
                    <w:right w:val="nil"/>
                  </w:tcBorders>
                  <w:shd w:val="clear" w:color="auto" w:fill="auto"/>
                  <w:tcMar>
                    <w:top w:w="0" w:type="dxa"/>
                    <w:left w:w="0" w:type="dxa"/>
                    <w:bottom w:w="0" w:type="dxa"/>
                    <w:right w:w="0" w:type="dxa"/>
                  </w:tcMar>
                  <w:vAlign w:val="bottom"/>
                  <w:hideMark/>
                </w:tcPr>
                <w:p w14:paraId="51F91142" w14:textId="6679B4F8" w:rsidR="00FE3B92" w:rsidRPr="002E6DA8" w:rsidRDefault="00FE3B92" w:rsidP="00FE3B92">
                  <w:pPr>
                    <w:spacing w:after="0" w:line="276" w:lineRule="auto"/>
                    <w:rPr>
                      <w:rFonts w:ascii="Arial" w:eastAsia="Times New Roman" w:hAnsi="Arial" w:cs="Arial"/>
                      <w:sz w:val="16"/>
                      <w:szCs w:val="16"/>
                      <w:lang w:eastAsia="en-AU"/>
                    </w:rPr>
                  </w:pPr>
                  <w:r>
                    <w:rPr>
                      <w:rFonts w:ascii="Arial" w:hAnsi="Arial" w:cs="Arial"/>
                      <w:color w:val="000000"/>
                      <w:sz w:val="16"/>
                      <w:szCs w:val="16"/>
                    </w:rPr>
                    <w:t>&lt;30</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5B180198" w14:textId="44A56E39"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385</w:t>
                  </w:r>
                </w:p>
              </w:tc>
              <w:tc>
                <w:tcPr>
                  <w:tcW w:w="509" w:type="pct"/>
                  <w:tcBorders>
                    <w:top w:val="nil"/>
                    <w:left w:val="nil"/>
                    <w:bottom w:val="nil"/>
                    <w:right w:val="nil"/>
                  </w:tcBorders>
                  <w:shd w:val="clear" w:color="auto" w:fill="auto"/>
                  <w:tcMar>
                    <w:top w:w="0" w:type="dxa"/>
                    <w:left w:w="0" w:type="dxa"/>
                    <w:bottom w:w="0" w:type="dxa"/>
                    <w:right w:w="0" w:type="dxa"/>
                  </w:tcMar>
                  <w:vAlign w:val="center"/>
                </w:tcPr>
                <w:p w14:paraId="4301FE48" w14:textId="3688592C"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9.1</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3E84F6BC" w14:textId="411076BC"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0DFA5754" w14:textId="3E96443E"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361</w:t>
                  </w:r>
                </w:p>
              </w:tc>
              <w:tc>
                <w:tcPr>
                  <w:tcW w:w="445" w:type="pct"/>
                  <w:tcBorders>
                    <w:top w:val="nil"/>
                    <w:left w:val="nil"/>
                    <w:bottom w:val="nil"/>
                    <w:right w:val="nil"/>
                  </w:tcBorders>
                  <w:shd w:val="clear" w:color="auto" w:fill="auto"/>
                  <w:tcMar>
                    <w:top w:w="0" w:type="dxa"/>
                    <w:left w:w="0" w:type="dxa"/>
                    <w:bottom w:w="0" w:type="dxa"/>
                    <w:right w:w="0" w:type="dxa"/>
                  </w:tcMar>
                  <w:vAlign w:val="center"/>
                </w:tcPr>
                <w:p w14:paraId="57F4DA80" w14:textId="0B655CB2"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9.0</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676F480C" w14:textId="38B7CA57"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563" w:type="pct"/>
                  <w:tcBorders>
                    <w:top w:val="nil"/>
                    <w:left w:val="nil"/>
                    <w:bottom w:val="nil"/>
                    <w:right w:val="nil"/>
                  </w:tcBorders>
                  <w:shd w:val="clear" w:color="auto" w:fill="auto"/>
                  <w:tcMar>
                    <w:top w:w="0" w:type="dxa"/>
                    <w:left w:w="0" w:type="dxa"/>
                    <w:bottom w:w="0" w:type="dxa"/>
                    <w:right w:w="0" w:type="dxa"/>
                  </w:tcMar>
                  <w:vAlign w:val="center"/>
                </w:tcPr>
                <w:p w14:paraId="332BF59D" w14:textId="16C52473"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16</w:t>
                  </w:r>
                </w:p>
              </w:tc>
              <w:tc>
                <w:tcPr>
                  <w:tcW w:w="546" w:type="pct"/>
                  <w:tcBorders>
                    <w:top w:val="nil"/>
                    <w:left w:val="nil"/>
                    <w:bottom w:val="nil"/>
                    <w:right w:val="nil"/>
                  </w:tcBorders>
                  <w:shd w:val="clear" w:color="auto" w:fill="auto"/>
                  <w:tcMar>
                    <w:top w:w="0" w:type="dxa"/>
                    <w:left w:w="0" w:type="dxa"/>
                    <w:bottom w:w="0" w:type="dxa"/>
                    <w:right w:w="0" w:type="dxa"/>
                  </w:tcMar>
                  <w:vAlign w:val="center"/>
                </w:tcPr>
                <w:p w14:paraId="387A482D" w14:textId="32E11757"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4.1</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462FAC68" w14:textId="2E858366"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2DF5E541" w14:textId="48966CCB"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762</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4D68AF6D" w14:textId="08D5C7CD"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8.8</w:t>
                  </w:r>
                </w:p>
              </w:tc>
            </w:tr>
            <w:tr w:rsidR="00FE3B92" w:rsidRPr="00617599" w14:paraId="6DA8BB66" w14:textId="77777777" w:rsidTr="00FE3B92">
              <w:trPr>
                <w:trHeight w:val="284"/>
              </w:trPr>
              <w:tc>
                <w:tcPr>
                  <w:tcW w:w="1014" w:type="pct"/>
                  <w:tcBorders>
                    <w:top w:val="nil"/>
                    <w:left w:val="nil"/>
                    <w:bottom w:val="nil"/>
                    <w:right w:val="nil"/>
                  </w:tcBorders>
                  <w:shd w:val="clear" w:color="auto" w:fill="auto"/>
                  <w:tcMar>
                    <w:top w:w="0" w:type="dxa"/>
                    <w:left w:w="0" w:type="dxa"/>
                    <w:bottom w:w="0" w:type="dxa"/>
                    <w:right w:w="0" w:type="dxa"/>
                  </w:tcMar>
                  <w:vAlign w:val="bottom"/>
                  <w:hideMark/>
                </w:tcPr>
                <w:p w14:paraId="6BC56C78" w14:textId="3F8DB067" w:rsidR="00FE3B92" w:rsidRPr="002E6DA8" w:rsidRDefault="00FE3B92" w:rsidP="00FE3B92">
                  <w:pPr>
                    <w:spacing w:after="0" w:line="276" w:lineRule="auto"/>
                    <w:rPr>
                      <w:rFonts w:ascii="Arial" w:eastAsia="Times New Roman" w:hAnsi="Arial" w:cs="Arial"/>
                      <w:sz w:val="16"/>
                      <w:szCs w:val="16"/>
                      <w:lang w:eastAsia="en-AU"/>
                    </w:rPr>
                  </w:pPr>
                  <w:r>
                    <w:rPr>
                      <w:rFonts w:ascii="Arial" w:hAnsi="Arial" w:cs="Arial"/>
                      <w:color w:val="000000"/>
                      <w:sz w:val="16"/>
                      <w:szCs w:val="16"/>
                    </w:rPr>
                    <w:t>30-34</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0FDF2225" w14:textId="3671D691"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1,257</w:t>
                  </w:r>
                </w:p>
              </w:tc>
              <w:tc>
                <w:tcPr>
                  <w:tcW w:w="509" w:type="pct"/>
                  <w:tcBorders>
                    <w:top w:val="nil"/>
                    <w:left w:val="nil"/>
                    <w:bottom w:val="nil"/>
                    <w:right w:val="nil"/>
                  </w:tcBorders>
                  <w:shd w:val="clear" w:color="auto" w:fill="auto"/>
                  <w:tcMar>
                    <w:top w:w="0" w:type="dxa"/>
                    <w:left w:w="0" w:type="dxa"/>
                    <w:bottom w:w="0" w:type="dxa"/>
                    <w:right w:w="0" w:type="dxa"/>
                  </w:tcMar>
                  <w:vAlign w:val="center"/>
                </w:tcPr>
                <w:p w14:paraId="7E2DA44E" w14:textId="0A66C1E4"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29.8</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38052D63" w14:textId="6FD37AF2"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39AAFBEB" w14:textId="3A414859"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1,394</w:t>
                  </w:r>
                </w:p>
              </w:tc>
              <w:tc>
                <w:tcPr>
                  <w:tcW w:w="445" w:type="pct"/>
                  <w:tcBorders>
                    <w:top w:val="nil"/>
                    <w:left w:val="nil"/>
                    <w:bottom w:val="nil"/>
                    <w:right w:val="nil"/>
                  </w:tcBorders>
                  <w:shd w:val="clear" w:color="auto" w:fill="auto"/>
                  <w:tcMar>
                    <w:top w:w="0" w:type="dxa"/>
                    <w:left w:w="0" w:type="dxa"/>
                    <w:bottom w:w="0" w:type="dxa"/>
                    <w:right w:w="0" w:type="dxa"/>
                  </w:tcMar>
                  <w:vAlign w:val="center"/>
                </w:tcPr>
                <w:p w14:paraId="6F8F2EC0" w14:textId="7DB60670"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34.6</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6301676C" w14:textId="3AD341A8" w:rsidR="00FE3B92" w:rsidRPr="00785DBA" w:rsidRDefault="00FE3B92" w:rsidP="00FE3B92">
                  <w:pPr>
                    <w:spacing w:after="0" w:line="276" w:lineRule="auto"/>
                    <w:jc w:val="right"/>
                    <w:rPr>
                      <w:rFonts w:ascii="Arial" w:eastAsia="Times New Roman" w:hAnsi="Arial" w:cs="Arial"/>
                      <w:sz w:val="16"/>
                      <w:szCs w:val="16"/>
                      <w:lang w:eastAsia="en-AU"/>
                    </w:rPr>
                  </w:pPr>
                </w:p>
              </w:tc>
              <w:tc>
                <w:tcPr>
                  <w:tcW w:w="563" w:type="pct"/>
                  <w:tcBorders>
                    <w:top w:val="nil"/>
                    <w:left w:val="nil"/>
                    <w:bottom w:val="nil"/>
                    <w:right w:val="nil"/>
                  </w:tcBorders>
                  <w:shd w:val="clear" w:color="auto" w:fill="auto"/>
                  <w:tcMar>
                    <w:top w:w="0" w:type="dxa"/>
                    <w:left w:w="0" w:type="dxa"/>
                    <w:bottom w:w="0" w:type="dxa"/>
                    <w:right w:w="0" w:type="dxa"/>
                  </w:tcMar>
                  <w:vAlign w:val="center"/>
                </w:tcPr>
                <w:p w14:paraId="47E974D3" w14:textId="14E4CD7A"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58</w:t>
                  </w:r>
                </w:p>
              </w:tc>
              <w:tc>
                <w:tcPr>
                  <w:tcW w:w="546" w:type="pct"/>
                  <w:tcBorders>
                    <w:top w:val="nil"/>
                    <w:left w:val="nil"/>
                    <w:bottom w:val="nil"/>
                    <w:right w:val="nil"/>
                  </w:tcBorders>
                  <w:shd w:val="clear" w:color="auto" w:fill="auto"/>
                  <w:tcMar>
                    <w:top w:w="0" w:type="dxa"/>
                    <w:left w:w="0" w:type="dxa"/>
                    <w:bottom w:w="0" w:type="dxa"/>
                    <w:right w:w="0" w:type="dxa"/>
                  </w:tcMar>
                  <w:vAlign w:val="center"/>
                </w:tcPr>
                <w:p w14:paraId="62338D47" w14:textId="5675A196"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14.9</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6EBFD9B2" w14:textId="282698C8" w:rsidR="00FE3B92" w:rsidRPr="00785DBA" w:rsidRDefault="00FE3B92" w:rsidP="00FE3B92">
                  <w:pPr>
                    <w:spacing w:after="0" w:line="276" w:lineRule="auto"/>
                    <w:jc w:val="right"/>
                    <w:rPr>
                      <w:rFonts w:ascii="Arial" w:eastAsia="Times New Roman" w:hAnsi="Arial" w:cs="Arial"/>
                      <w:sz w:val="16"/>
                      <w:szCs w:val="16"/>
                      <w:lang w:eastAsia="en-AU"/>
                    </w:rPr>
                  </w:pP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510F7A00" w14:textId="2A2FC7D8"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2,709</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59C8210C" w14:textId="0EF982BD"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31.4</w:t>
                  </w:r>
                </w:p>
              </w:tc>
            </w:tr>
            <w:tr w:rsidR="00FE3B92" w:rsidRPr="00617599" w14:paraId="7EE6F022" w14:textId="77777777" w:rsidTr="00FE3B92">
              <w:trPr>
                <w:trHeight w:val="284"/>
              </w:trPr>
              <w:tc>
                <w:tcPr>
                  <w:tcW w:w="1014" w:type="pct"/>
                  <w:tcBorders>
                    <w:top w:val="nil"/>
                    <w:left w:val="nil"/>
                    <w:bottom w:val="nil"/>
                    <w:right w:val="nil"/>
                  </w:tcBorders>
                  <w:shd w:val="clear" w:color="auto" w:fill="auto"/>
                  <w:tcMar>
                    <w:top w:w="0" w:type="dxa"/>
                    <w:left w:w="0" w:type="dxa"/>
                    <w:bottom w:w="0" w:type="dxa"/>
                    <w:right w:w="0" w:type="dxa"/>
                  </w:tcMar>
                  <w:vAlign w:val="bottom"/>
                  <w:hideMark/>
                </w:tcPr>
                <w:p w14:paraId="7D2A236C" w14:textId="26D90A54" w:rsidR="00FE3B92" w:rsidRPr="002E6DA8" w:rsidRDefault="00FE3B92" w:rsidP="00FE3B92">
                  <w:pPr>
                    <w:spacing w:after="0" w:line="276" w:lineRule="auto"/>
                    <w:rPr>
                      <w:rFonts w:ascii="Arial" w:eastAsia="Times New Roman" w:hAnsi="Arial" w:cs="Arial"/>
                      <w:sz w:val="16"/>
                      <w:szCs w:val="16"/>
                      <w:lang w:eastAsia="en-AU"/>
                    </w:rPr>
                  </w:pPr>
                  <w:r>
                    <w:rPr>
                      <w:rFonts w:ascii="Arial" w:hAnsi="Arial" w:cs="Arial"/>
                      <w:color w:val="000000"/>
                      <w:sz w:val="16"/>
                      <w:szCs w:val="16"/>
                    </w:rPr>
                    <w:t>35-39</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549DF1AD" w14:textId="76F5A8BA"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1,766</w:t>
                  </w:r>
                </w:p>
              </w:tc>
              <w:tc>
                <w:tcPr>
                  <w:tcW w:w="509" w:type="pct"/>
                  <w:tcBorders>
                    <w:top w:val="nil"/>
                    <w:left w:val="nil"/>
                    <w:bottom w:val="nil"/>
                    <w:right w:val="nil"/>
                  </w:tcBorders>
                  <w:shd w:val="clear" w:color="auto" w:fill="auto"/>
                  <w:tcMar>
                    <w:top w:w="0" w:type="dxa"/>
                    <w:left w:w="0" w:type="dxa"/>
                    <w:bottom w:w="0" w:type="dxa"/>
                    <w:right w:w="0" w:type="dxa"/>
                  </w:tcMar>
                  <w:vAlign w:val="center"/>
                </w:tcPr>
                <w:p w14:paraId="4A4D5509" w14:textId="26AD212D"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41.9</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13C41649" w14:textId="6678C358"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6497A417" w14:textId="70D59CE6"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1,593</w:t>
                  </w:r>
                </w:p>
              </w:tc>
              <w:tc>
                <w:tcPr>
                  <w:tcW w:w="445" w:type="pct"/>
                  <w:tcBorders>
                    <w:top w:val="nil"/>
                    <w:left w:val="nil"/>
                    <w:bottom w:val="nil"/>
                    <w:right w:val="nil"/>
                  </w:tcBorders>
                  <w:shd w:val="clear" w:color="auto" w:fill="auto"/>
                  <w:tcMar>
                    <w:top w:w="0" w:type="dxa"/>
                    <w:left w:w="0" w:type="dxa"/>
                    <w:bottom w:w="0" w:type="dxa"/>
                    <w:right w:w="0" w:type="dxa"/>
                  </w:tcMar>
                  <w:vAlign w:val="center"/>
                </w:tcPr>
                <w:p w14:paraId="287F01B0" w14:textId="378DF44C"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39.5</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2B709607" w14:textId="66B4A5B9" w:rsidR="00FE3B92" w:rsidRPr="00785DBA" w:rsidRDefault="00FE3B92" w:rsidP="00FE3B92">
                  <w:pPr>
                    <w:spacing w:after="0" w:line="276" w:lineRule="auto"/>
                    <w:jc w:val="right"/>
                    <w:rPr>
                      <w:rFonts w:ascii="Arial" w:eastAsia="Times New Roman" w:hAnsi="Arial" w:cs="Arial"/>
                      <w:sz w:val="16"/>
                      <w:szCs w:val="16"/>
                      <w:lang w:eastAsia="en-AU"/>
                    </w:rPr>
                  </w:pPr>
                </w:p>
              </w:tc>
              <w:tc>
                <w:tcPr>
                  <w:tcW w:w="563" w:type="pct"/>
                  <w:tcBorders>
                    <w:top w:val="nil"/>
                    <w:left w:val="nil"/>
                    <w:bottom w:val="nil"/>
                    <w:right w:val="nil"/>
                  </w:tcBorders>
                  <w:shd w:val="clear" w:color="auto" w:fill="auto"/>
                  <w:tcMar>
                    <w:top w:w="0" w:type="dxa"/>
                    <w:left w:w="0" w:type="dxa"/>
                    <w:bottom w:w="0" w:type="dxa"/>
                    <w:right w:w="0" w:type="dxa"/>
                  </w:tcMar>
                  <w:vAlign w:val="center"/>
                </w:tcPr>
                <w:p w14:paraId="19386343" w14:textId="0E8E3C54"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91</w:t>
                  </w:r>
                </w:p>
              </w:tc>
              <w:tc>
                <w:tcPr>
                  <w:tcW w:w="546" w:type="pct"/>
                  <w:tcBorders>
                    <w:top w:val="nil"/>
                    <w:left w:val="nil"/>
                    <w:bottom w:val="nil"/>
                    <w:right w:val="nil"/>
                  </w:tcBorders>
                  <w:shd w:val="clear" w:color="auto" w:fill="auto"/>
                  <w:tcMar>
                    <w:top w:w="0" w:type="dxa"/>
                    <w:left w:w="0" w:type="dxa"/>
                    <w:bottom w:w="0" w:type="dxa"/>
                    <w:right w:w="0" w:type="dxa"/>
                  </w:tcMar>
                  <w:vAlign w:val="center"/>
                </w:tcPr>
                <w:p w14:paraId="2344B737" w14:textId="6BD4D90B"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23.4</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1E358376" w14:textId="22982B36" w:rsidR="00FE3B92" w:rsidRPr="00785DBA" w:rsidRDefault="00FE3B92" w:rsidP="00FE3B92">
                  <w:pPr>
                    <w:spacing w:after="0" w:line="276" w:lineRule="auto"/>
                    <w:jc w:val="right"/>
                    <w:rPr>
                      <w:rFonts w:ascii="Arial" w:eastAsia="Times New Roman" w:hAnsi="Arial" w:cs="Arial"/>
                      <w:sz w:val="16"/>
                      <w:szCs w:val="16"/>
                      <w:lang w:eastAsia="en-AU"/>
                    </w:rPr>
                  </w:pP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06010E7A" w14:textId="037C5EE0"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3,450</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7195122B" w14:textId="093CBD94"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39.9</w:t>
                  </w:r>
                </w:p>
              </w:tc>
            </w:tr>
            <w:tr w:rsidR="00FE3B92" w:rsidRPr="00617599" w14:paraId="21E641FE" w14:textId="77777777" w:rsidTr="00FE3B92">
              <w:trPr>
                <w:trHeight w:val="284"/>
              </w:trPr>
              <w:tc>
                <w:tcPr>
                  <w:tcW w:w="1014" w:type="pct"/>
                  <w:tcBorders>
                    <w:top w:val="nil"/>
                    <w:left w:val="nil"/>
                    <w:bottom w:val="nil"/>
                    <w:right w:val="nil"/>
                  </w:tcBorders>
                  <w:shd w:val="clear" w:color="auto" w:fill="auto"/>
                  <w:tcMar>
                    <w:top w:w="0" w:type="dxa"/>
                    <w:left w:w="0" w:type="dxa"/>
                    <w:bottom w:w="0" w:type="dxa"/>
                    <w:right w:w="0" w:type="dxa"/>
                  </w:tcMar>
                  <w:vAlign w:val="bottom"/>
                  <w:hideMark/>
                </w:tcPr>
                <w:p w14:paraId="7C973392" w14:textId="0797850B" w:rsidR="00FE3B92" w:rsidRPr="002E6DA8" w:rsidRDefault="00FE3B92" w:rsidP="00FE3B92">
                  <w:pPr>
                    <w:spacing w:after="0" w:line="276" w:lineRule="auto"/>
                    <w:rPr>
                      <w:rFonts w:ascii="Arial" w:eastAsia="Times New Roman" w:hAnsi="Arial" w:cs="Arial"/>
                      <w:sz w:val="16"/>
                      <w:szCs w:val="16"/>
                      <w:lang w:eastAsia="en-AU"/>
                    </w:rPr>
                  </w:pPr>
                  <w:r>
                    <w:rPr>
                      <w:rFonts w:ascii="Arial" w:hAnsi="Arial" w:cs="Arial"/>
                      <w:color w:val="000000"/>
                      <w:sz w:val="16"/>
                      <w:szCs w:val="16"/>
                    </w:rPr>
                    <w:t>40-44</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4FA2658B" w14:textId="27B5081F"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765</w:t>
                  </w:r>
                </w:p>
              </w:tc>
              <w:tc>
                <w:tcPr>
                  <w:tcW w:w="509" w:type="pct"/>
                  <w:tcBorders>
                    <w:top w:val="nil"/>
                    <w:left w:val="nil"/>
                    <w:bottom w:val="nil"/>
                    <w:right w:val="nil"/>
                  </w:tcBorders>
                  <w:shd w:val="clear" w:color="auto" w:fill="auto"/>
                  <w:tcMar>
                    <w:top w:w="0" w:type="dxa"/>
                    <w:left w:w="0" w:type="dxa"/>
                    <w:bottom w:w="0" w:type="dxa"/>
                    <w:right w:w="0" w:type="dxa"/>
                  </w:tcMar>
                  <w:vAlign w:val="center"/>
                </w:tcPr>
                <w:p w14:paraId="241E68EE" w14:textId="5165EF40"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18.1</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3DAC275C" w14:textId="0D460650"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106ED768" w14:textId="7F851922"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651</w:t>
                  </w:r>
                </w:p>
              </w:tc>
              <w:tc>
                <w:tcPr>
                  <w:tcW w:w="445" w:type="pct"/>
                  <w:tcBorders>
                    <w:top w:val="nil"/>
                    <w:left w:val="nil"/>
                    <w:bottom w:val="nil"/>
                    <w:right w:val="nil"/>
                  </w:tcBorders>
                  <w:shd w:val="clear" w:color="auto" w:fill="auto"/>
                  <w:tcMar>
                    <w:top w:w="0" w:type="dxa"/>
                    <w:left w:w="0" w:type="dxa"/>
                    <w:bottom w:w="0" w:type="dxa"/>
                    <w:right w:w="0" w:type="dxa"/>
                  </w:tcMar>
                  <w:vAlign w:val="center"/>
                </w:tcPr>
                <w:p w14:paraId="074A623D" w14:textId="28E461A6"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16.2</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4BA76D24" w14:textId="38B4D29B" w:rsidR="00FE3B92" w:rsidRPr="00785DBA" w:rsidRDefault="00FE3B92" w:rsidP="00FE3B92">
                  <w:pPr>
                    <w:spacing w:after="0" w:line="276" w:lineRule="auto"/>
                    <w:jc w:val="right"/>
                    <w:rPr>
                      <w:rFonts w:ascii="Arial" w:eastAsia="Times New Roman" w:hAnsi="Arial" w:cs="Arial"/>
                      <w:sz w:val="16"/>
                      <w:szCs w:val="16"/>
                      <w:lang w:eastAsia="en-AU"/>
                    </w:rPr>
                  </w:pPr>
                </w:p>
              </w:tc>
              <w:tc>
                <w:tcPr>
                  <w:tcW w:w="563" w:type="pct"/>
                  <w:tcBorders>
                    <w:top w:val="nil"/>
                    <w:left w:val="nil"/>
                    <w:bottom w:val="nil"/>
                    <w:right w:val="nil"/>
                  </w:tcBorders>
                  <w:shd w:val="clear" w:color="auto" w:fill="auto"/>
                  <w:tcMar>
                    <w:top w:w="0" w:type="dxa"/>
                    <w:left w:w="0" w:type="dxa"/>
                    <w:bottom w:w="0" w:type="dxa"/>
                    <w:right w:w="0" w:type="dxa"/>
                  </w:tcMar>
                  <w:vAlign w:val="center"/>
                </w:tcPr>
                <w:p w14:paraId="7112D3A5" w14:textId="4CACB243"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146</w:t>
                  </w:r>
                </w:p>
              </w:tc>
              <w:tc>
                <w:tcPr>
                  <w:tcW w:w="546" w:type="pct"/>
                  <w:tcBorders>
                    <w:top w:val="nil"/>
                    <w:left w:val="nil"/>
                    <w:bottom w:val="nil"/>
                    <w:right w:val="nil"/>
                  </w:tcBorders>
                  <w:shd w:val="clear" w:color="auto" w:fill="auto"/>
                  <w:tcMar>
                    <w:top w:w="0" w:type="dxa"/>
                    <w:left w:w="0" w:type="dxa"/>
                    <w:bottom w:w="0" w:type="dxa"/>
                    <w:right w:w="0" w:type="dxa"/>
                  </w:tcMar>
                  <w:vAlign w:val="center"/>
                </w:tcPr>
                <w:p w14:paraId="7A4E4B69" w14:textId="57418346"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37.5</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28AFFFB2" w14:textId="274E95D3" w:rsidR="00FE3B92" w:rsidRPr="00785DBA" w:rsidRDefault="00FE3B92" w:rsidP="00FE3B92">
                  <w:pPr>
                    <w:spacing w:after="0" w:line="276" w:lineRule="auto"/>
                    <w:jc w:val="right"/>
                    <w:rPr>
                      <w:rFonts w:ascii="Arial" w:eastAsia="Times New Roman" w:hAnsi="Arial" w:cs="Arial"/>
                      <w:sz w:val="16"/>
                      <w:szCs w:val="16"/>
                      <w:lang w:eastAsia="en-AU"/>
                    </w:rPr>
                  </w:pP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02F10F95" w14:textId="3EE2C3E3"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1,562</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74EF7847" w14:textId="357755A2"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18.1</w:t>
                  </w:r>
                </w:p>
              </w:tc>
            </w:tr>
            <w:tr w:rsidR="00FE3B92" w:rsidRPr="00617599" w14:paraId="56A83D18" w14:textId="77777777" w:rsidTr="00FE3B92">
              <w:trPr>
                <w:trHeight w:val="284"/>
              </w:trPr>
              <w:tc>
                <w:tcPr>
                  <w:tcW w:w="1014" w:type="pct"/>
                  <w:tcBorders>
                    <w:top w:val="nil"/>
                    <w:left w:val="nil"/>
                    <w:bottom w:val="nil"/>
                    <w:right w:val="nil"/>
                  </w:tcBorders>
                  <w:shd w:val="clear" w:color="auto" w:fill="auto"/>
                  <w:tcMar>
                    <w:top w:w="0" w:type="dxa"/>
                    <w:left w:w="0" w:type="dxa"/>
                    <w:bottom w:w="0" w:type="dxa"/>
                    <w:right w:w="0" w:type="dxa"/>
                  </w:tcMar>
                  <w:vAlign w:val="bottom"/>
                  <w:hideMark/>
                </w:tcPr>
                <w:p w14:paraId="197E83F8" w14:textId="5A73D051" w:rsidR="00FE3B92" w:rsidRPr="002E6DA8" w:rsidRDefault="00FE3B92" w:rsidP="00FE3B92">
                  <w:pPr>
                    <w:spacing w:after="0" w:line="276" w:lineRule="auto"/>
                    <w:rPr>
                      <w:rFonts w:ascii="Arial" w:eastAsia="Times New Roman" w:hAnsi="Arial" w:cs="Arial"/>
                      <w:sz w:val="16"/>
                      <w:szCs w:val="16"/>
                      <w:lang w:eastAsia="en-AU"/>
                    </w:rPr>
                  </w:pPr>
                  <w:r>
                    <w:rPr>
                      <w:rFonts w:ascii="Arial" w:hAnsi="Arial" w:cs="Arial"/>
                      <w:color w:val="000000"/>
                      <w:sz w:val="16"/>
                      <w:szCs w:val="16"/>
                    </w:rPr>
                    <w:t>≥45</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25997AA4" w14:textId="45393858"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46</w:t>
                  </w:r>
                </w:p>
              </w:tc>
              <w:tc>
                <w:tcPr>
                  <w:tcW w:w="509" w:type="pct"/>
                  <w:tcBorders>
                    <w:top w:val="nil"/>
                    <w:left w:val="nil"/>
                    <w:bottom w:val="nil"/>
                    <w:right w:val="nil"/>
                  </w:tcBorders>
                  <w:shd w:val="clear" w:color="auto" w:fill="auto"/>
                  <w:tcMar>
                    <w:top w:w="0" w:type="dxa"/>
                    <w:left w:w="0" w:type="dxa"/>
                    <w:bottom w:w="0" w:type="dxa"/>
                    <w:right w:w="0" w:type="dxa"/>
                  </w:tcMar>
                  <w:vAlign w:val="center"/>
                </w:tcPr>
                <w:p w14:paraId="0C02AC3D" w14:textId="2F5649BA"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1.1</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5D965EA6" w14:textId="5F2F77EA"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6CB9F2E0" w14:textId="25FFC73F"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29</w:t>
                  </w:r>
                </w:p>
              </w:tc>
              <w:tc>
                <w:tcPr>
                  <w:tcW w:w="445" w:type="pct"/>
                  <w:tcBorders>
                    <w:top w:val="nil"/>
                    <w:left w:val="nil"/>
                    <w:bottom w:val="nil"/>
                    <w:right w:val="nil"/>
                  </w:tcBorders>
                  <w:shd w:val="clear" w:color="auto" w:fill="auto"/>
                  <w:tcMar>
                    <w:top w:w="0" w:type="dxa"/>
                    <w:left w:w="0" w:type="dxa"/>
                    <w:bottom w:w="0" w:type="dxa"/>
                    <w:right w:w="0" w:type="dxa"/>
                  </w:tcMar>
                  <w:vAlign w:val="center"/>
                </w:tcPr>
                <w:p w14:paraId="34A75CC8" w14:textId="636F4F99"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0.7</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139F4398" w14:textId="585AE1CF" w:rsidR="00FE3B92" w:rsidRPr="00785DBA" w:rsidRDefault="00FE3B92" w:rsidP="00FE3B92">
                  <w:pPr>
                    <w:spacing w:after="0" w:line="276" w:lineRule="auto"/>
                    <w:jc w:val="right"/>
                    <w:rPr>
                      <w:rFonts w:ascii="Arial" w:eastAsia="Times New Roman" w:hAnsi="Arial" w:cs="Arial"/>
                      <w:sz w:val="16"/>
                      <w:szCs w:val="16"/>
                      <w:lang w:eastAsia="en-AU"/>
                    </w:rPr>
                  </w:pPr>
                </w:p>
              </w:tc>
              <w:tc>
                <w:tcPr>
                  <w:tcW w:w="563" w:type="pct"/>
                  <w:tcBorders>
                    <w:top w:val="nil"/>
                    <w:left w:val="nil"/>
                    <w:bottom w:val="nil"/>
                    <w:right w:val="nil"/>
                  </w:tcBorders>
                  <w:shd w:val="clear" w:color="auto" w:fill="auto"/>
                  <w:tcMar>
                    <w:top w:w="0" w:type="dxa"/>
                    <w:left w:w="0" w:type="dxa"/>
                    <w:bottom w:w="0" w:type="dxa"/>
                    <w:right w:w="0" w:type="dxa"/>
                  </w:tcMar>
                  <w:vAlign w:val="center"/>
                </w:tcPr>
                <w:p w14:paraId="5FF0D703" w14:textId="06A57E9D"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78</w:t>
                  </w:r>
                </w:p>
              </w:tc>
              <w:tc>
                <w:tcPr>
                  <w:tcW w:w="546" w:type="pct"/>
                  <w:tcBorders>
                    <w:top w:val="nil"/>
                    <w:left w:val="nil"/>
                    <w:bottom w:val="nil"/>
                    <w:right w:val="nil"/>
                  </w:tcBorders>
                  <w:shd w:val="clear" w:color="auto" w:fill="auto"/>
                  <w:tcMar>
                    <w:top w:w="0" w:type="dxa"/>
                    <w:left w:w="0" w:type="dxa"/>
                    <w:bottom w:w="0" w:type="dxa"/>
                    <w:right w:w="0" w:type="dxa"/>
                  </w:tcMar>
                  <w:vAlign w:val="center"/>
                </w:tcPr>
                <w:p w14:paraId="35758228" w14:textId="3F2C1B27"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20.1</w:t>
                  </w:r>
                </w:p>
              </w:tc>
              <w:tc>
                <w:tcPr>
                  <w:tcW w:w="49" w:type="pct"/>
                  <w:tcBorders>
                    <w:top w:val="nil"/>
                    <w:left w:val="nil"/>
                    <w:bottom w:val="nil"/>
                    <w:right w:val="nil"/>
                  </w:tcBorders>
                  <w:shd w:val="clear" w:color="auto" w:fill="auto"/>
                  <w:tcMar>
                    <w:top w:w="0" w:type="dxa"/>
                    <w:left w:w="0" w:type="dxa"/>
                    <w:bottom w:w="0" w:type="dxa"/>
                    <w:right w:w="0" w:type="dxa"/>
                  </w:tcMar>
                  <w:vAlign w:val="center"/>
                </w:tcPr>
                <w:p w14:paraId="780EF9DE" w14:textId="2290775B" w:rsidR="00FE3B92" w:rsidRPr="00785DBA" w:rsidRDefault="00FE3B92" w:rsidP="00FE3B92">
                  <w:pPr>
                    <w:spacing w:after="0" w:line="276" w:lineRule="auto"/>
                    <w:jc w:val="right"/>
                    <w:rPr>
                      <w:rFonts w:ascii="Arial" w:eastAsia="Times New Roman" w:hAnsi="Arial" w:cs="Arial"/>
                      <w:sz w:val="16"/>
                      <w:szCs w:val="16"/>
                      <w:lang w:eastAsia="en-AU"/>
                    </w:rPr>
                  </w:pP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7194A278" w14:textId="76B798EC"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153</w:t>
                  </w:r>
                </w:p>
              </w:tc>
              <w:tc>
                <w:tcPr>
                  <w:tcW w:w="444" w:type="pct"/>
                  <w:tcBorders>
                    <w:top w:val="nil"/>
                    <w:left w:val="nil"/>
                    <w:bottom w:val="nil"/>
                    <w:right w:val="nil"/>
                  </w:tcBorders>
                  <w:shd w:val="clear" w:color="auto" w:fill="auto"/>
                  <w:tcMar>
                    <w:top w:w="0" w:type="dxa"/>
                    <w:left w:w="0" w:type="dxa"/>
                    <w:bottom w:w="0" w:type="dxa"/>
                    <w:right w:w="0" w:type="dxa"/>
                  </w:tcMar>
                  <w:vAlign w:val="center"/>
                </w:tcPr>
                <w:p w14:paraId="6E29DA4A" w14:textId="521473C3"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1.8</w:t>
                  </w:r>
                </w:p>
              </w:tc>
            </w:tr>
            <w:tr w:rsidR="00FE3B92" w:rsidRPr="00617599" w14:paraId="4BCE1CD2" w14:textId="77777777" w:rsidTr="00FE3B92">
              <w:trPr>
                <w:trHeight w:val="284"/>
              </w:trPr>
              <w:tc>
                <w:tcPr>
                  <w:tcW w:w="1014" w:type="pct"/>
                  <w:tcBorders>
                    <w:top w:val="nil"/>
                    <w:left w:val="nil"/>
                    <w:bottom w:val="single" w:sz="8" w:space="0" w:color="auto"/>
                    <w:right w:val="nil"/>
                  </w:tcBorders>
                  <w:shd w:val="clear" w:color="auto" w:fill="auto"/>
                  <w:tcMar>
                    <w:top w:w="0" w:type="dxa"/>
                    <w:left w:w="0" w:type="dxa"/>
                    <w:bottom w:w="0" w:type="dxa"/>
                    <w:right w:w="0" w:type="dxa"/>
                  </w:tcMar>
                  <w:vAlign w:val="bottom"/>
                  <w:hideMark/>
                </w:tcPr>
                <w:p w14:paraId="0F3CB76F" w14:textId="560A662E" w:rsidR="00FE3B92" w:rsidRPr="00087467" w:rsidRDefault="00FE3B92" w:rsidP="00FE3B92">
                  <w:pPr>
                    <w:spacing w:after="0" w:line="276" w:lineRule="auto"/>
                    <w:rPr>
                      <w:rFonts w:ascii="Arial" w:eastAsia="Times New Roman" w:hAnsi="Arial" w:cs="Arial"/>
                      <w:b/>
                      <w:sz w:val="16"/>
                      <w:szCs w:val="16"/>
                      <w:lang w:eastAsia="en-AU"/>
                    </w:rPr>
                  </w:pPr>
                  <w:r>
                    <w:rPr>
                      <w:rFonts w:ascii="Arial" w:hAnsi="Arial" w:cs="Arial"/>
                      <w:b/>
                      <w:bCs/>
                      <w:color w:val="000000"/>
                      <w:sz w:val="16"/>
                      <w:szCs w:val="16"/>
                    </w:rPr>
                    <w:t>Total</w:t>
                  </w:r>
                </w:p>
              </w:tc>
              <w:tc>
                <w:tcPr>
                  <w:tcW w:w="444" w:type="pct"/>
                  <w:tcBorders>
                    <w:top w:val="nil"/>
                    <w:left w:val="nil"/>
                    <w:bottom w:val="single" w:sz="8" w:space="0" w:color="auto"/>
                    <w:right w:val="nil"/>
                  </w:tcBorders>
                  <w:shd w:val="clear" w:color="auto" w:fill="auto"/>
                  <w:tcMar>
                    <w:top w:w="0" w:type="dxa"/>
                    <w:left w:w="0" w:type="dxa"/>
                    <w:bottom w:w="0" w:type="dxa"/>
                    <w:right w:w="0" w:type="dxa"/>
                  </w:tcMar>
                  <w:vAlign w:val="center"/>
                </w:tcPr>
                <w:p w14:paraId="2755DE83" w14:textId="5AD3EA60"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4,219</w:t>
                  </w:r>
                </w:p>
              </w:tc>
              <w:tc>
                <w:tcPr>
                  <w:tcW w:w="509" w:type="pct"/>
                  <w:tcBorders>
                    <w:top w:val="nil"/>
                    <w:left w:val="nil"/>
                    <w:bottom w:val="single" w:sz="8" w:space="0" w:color="auto"/>
                    <w:right w:val="nil"/>
                  </w:tcBorders>
                  <w:shd w:val="clear" w:color="auto" w:fill="auto"/>
                  <w:tcMar>
                    <w:top w:w="0" w:type="dxa"/>
                    <w:left w:w="0" w:type="dxa"/>
                    <w:bottom w:w="0" w:type="dxa"/>
                    <w:right w:w="0" w:type="dxa"/>
                  </w:tcMar>
                  <w:vAlign w:val="center"/>
                </w:tcPr>
                <w:p w14:paraId="2446227B" w14:textId="59F15A74"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9" w:type="pct"/>
                  <w:tcBorders>
                    <w:top w:val="nil"/>
                    <w:left w:val="nil"/>
                    <w:bottom w:val="single" w:sz="8" w:space="0" w:color="auto"/>
                    <w:right w:val="nil"/>
                  </w:tcBorders>
                  <w:shd w:val="clear" w:color="auto" w:fill="auto"/>
                  <w:tcMar>
                    <w:top w:w="0" w:type="dxa"/>
                    <w:left w:w="0" w:type="dxa"/>
                    <w:bottom w:w="0" w:type="dxa"/>
                    <w:right w:w="0" w:type="dxa"/>
                  </w:tcMar>
                  <w:vAlign w:val="center"/>
                </w:tcPr>
                <w:p w14:paraId="31A588D3" w14:textId="7905C031"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44" w:type="pct"/>
                  <w:tcBorders>
                    <w:top w:val="nil"/>
                    <w:left w:val="nil"/>
                    <w:bottom w:val="single" w:sz="8" w:space="0" w:color="auto"/>
                    <w:right w:val="nil"/>
                  </w:tcBorders>
                  <w:shd w:val="clear" w:color="auto" w:fill="auto"/>
                  <w:tcMar>
                    <w:top w:w="0" w:type="dxa"/>
                    <w:left w:w="0" w:type="dxa"/>
                    <w:bottom w:w="0" w:type="dxa"/>
                    <w:right w:w="0" w:type="dxa"/>
                  </w:tcMar>
                  <w:vAlign w:val="center"/>
                </w:tcPr>
                <w:p w14:paraId="367ECCB6" w14:textId="79835A34"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4,028</w:t>
                  </w:r>
                </w:p>
              </w:tc>
              <w:tc>
                <w:tcPr>
                  <w:tcW w:w="445" w:type="pct"/>
                  <w:tcBorders>
                    <w:top w:val="nil"/>
                    <w:left w:val="nil"/>
                    <w:bottom w:val="single" w:sz="8" w:space="0" w:color="auto"/>
                    <w:right w:val="nil"/>
                  </w:tcBorders>
                  <w:shd w:val="clear" w:color="auto" w:fill="auto"/>
                  <w:tcMar>
                    <w:top w:w="0" w:type="dxa"/>
                    <w:left w:w="0" w:type="dxa"/>
                    <w:bottom w:w="0" w:type="dxa"/>
                    <w:right w:w="0" w:type="dxa"/>
                  </w:tcMar>
                  <w:vAlign w:val="center"/>
                </w:tcPr>
                <w:p w14:paraId="39803597" w14:textId="0C48D671"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9" w:type="pct"/>
                  <w:tcBorders>
                    <w:top w:val="nil"/>
                    <w:left w:val="nil"/>
                    <w:bottom w:val="single" w:sz="8" w:space="0" w:color="auto"/>
                    <w:right w:val="nil"/>
                  </w:tcBorders>
                  <w:shd w:val="clear" w:color="auto" w:fill="auto"/>
                  <w:tcMar>
                    <w:top w:w="0" w:type="dxa"/>
                    <w:left w:w="0" w:type="dxa"/>
                    <w:bottom w:w="0" w:type="dxa"/>
                    <w:right w:w="0" w:type="dxa"/>
                  </w:tcMar>
                  <w:vAlign w:val="center"/>
                </w:tcPr>
                <w:p w14:paraId="0694A2AC" w14:textId="02DCD5C3"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563" w:type="pct"/>
                  <w:tcBorders>
                    <w:top w:val="nil"/>
                    <w:left w:val="nil"/>
                    <w:bottom w:val="single" w:sz="8" w:space="0" w:color="auto"/>
                    <w:right w:val="nil"/>
                  </w:tcBorders>
                  <w:shd w:val="clear" w:color="auto" w:fill="auto"/>
                  <w:tcMar>
                    <w:top w:w="0" w:type="dxa"/>
                    <w:left w:w="0" w:type="dxa"/>
                    <w:bottom w:w="0" w:type="dxa"/>
                    <w:right w:w="0" w:type="dxa"/>
                  </w:tcMar>
                  <w:vAlign w:val="center"/>
                </w:tcPr>
                <w:p w14:paraId="0F315889" w14:textId="033079CB"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389</w:t>
                  </w:r>
                </w:p>
              </w:tc>
              <w:tc>
                <w:tcPr>
                  <w:tcW w:w="546" w:type="pct"/>
                  <w:tcBorders>
                    <w:top w:val="nil"/>
                    <w:left w:val="nil"/>
                    <w:bottom w:val="single" w:sz="8" w:space="0" w:color="auto"/>
                    <w:right w:val="nil"/>
                  </w:tcBorders>
                  <w:shd w:val="clear" w:color="auto" w:fill="auto"/>
                  <w:tcMar>
                    <w:top w:w="0" w:type="dxa"/>
                    <w:left w:w="0" w:type="dxa"/>
                    <w:bottom w:w="0" w:type="dxa"/>
                    <w:right w:w="0" w:type="dxa"/>
                  </w:tcMar>
                  <w:vAlign w:val="center"/>
                </w:tcPr>
                <w:p w14:paraId="731E2E26" w14:textId="7313B0FD"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9" w:type="pct"/>
                  <w:tcBorders>
                    <w:top w:val="nil"/>
                    <w:left w:val="nil"/>
                    <w:bottom w:val="single" w:sz="8" w:space="0" w:color="auto"/>
                    <w:right w:val="nil"/>
                  </w:tcBorders>
                  <w:shd w:val="clear" w:color="auto" w:fill="auto"/>
                  <w:tcMar>
                    <w:top w:w="0" w:type="dxa"/>
                    <w:left w:w="0" w:type="dxa"/>
                    <w:bottom w:w="0" w:type="dxa"/>
                    <w:right w:w="0" w:type="dxa"/>
                  </w:tcMar>
                  <w:vAlign w:val="center"/>
                </w:tcPr>
                <w:p w14:paraId="67DD525A" w14:textId="3DAD4ABE"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44" w:type="pct"/>
                  <w:tcBorders>
                    <w:top w:val="nil"/>
                    <w:left w:val="nil"/>
                    <w:bottom w:val="single" w:sz="8" w:space="0" w:color="auto"/>
                    <w:right w:val="nil"/>
                  </w:tcBorders>
                  <w:shd w:val="clear" w:color="auto" w:fill="auto"/>
                  <w:tcMar>
                    <w:top w:w="0" w:type="dxa"/>
                    <w:left w:w="0" w:type="dxa"/>
                    <w:bottom w:w="0" w:type="dxa"/>
                    <w:right w:w="0" w:type="dxa"/>
                  </w:tcMar>
                  <w:vAlign w:val="center"/>
                </w:tcPr>
                <w:p w14:paraId="30AD2BED" w14:textId="11FF23A4"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8,636</w:t>
                  </w:r>
                </w:p>
              </w:tc>
              <w:tc>
                <w:tcPr>
                  <w:tcW w:w="444" w:type="pct"/>
                  <w:tcBorders>
                    <w:top w:val="nil"/>
                    <w:left w:val="nil"/>
                    <w:bottom w:val="single" w:sz="8" w:space="0" w:color="auto"/>
                    <w:right w:val="nil"/>
                  </w:tcBorders>
                  <w:shd w:val="clear" w:color="auto" w:fill="auto"/>
                  <w:tcMar>
                    <w:top w:w="0" w:type="dxa"/>
                    <w:left w:w="0" w:type="dxa"/>
                    <w:bottom w:w="0" w:type="dxa"/>
                    <w:right w:w="0" w:type="dxa"/>
                  </w:tcMar>
                  <w:vAlign w:val="center"/>
                </w:tcPr>
                <w:p w14:paraId="7E7AE5C8" w14:textId="1E440E9E"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r>
            <w:bookmarkEnd w:id="225"/>
            <w:bookmarkEnd w:id="226"/>
            <w:bookmarkEnd w:id="227"/>
          </w:tbl>
          <w:p w14:paraId="3D34852C" w14:textId="77777777" w:rsidR="009303CD" w:rsidRPr="00617599" w:rsidRDefault="009303CD">
            <w:pPr>
              <w:pStyle w:val="Caption"/>
              <w:rPr>
                <w:rFonts w:eastAsia="Times New Roman" w:cs="Arial"/>
                <w:lang w:eastAsia="en-AU"/>
              </w:rPr>
            </w:pPr>
          </w:p>
        </w:tc>
      </w:tr>
    </w:tbl>
    <w:p w14:paraId="62A3D381" w14:textId="71BC413B" w:rsidR="009303CD" w:rsidRPr="00617599" w:rsidRDefault="009303CD" w:rsidP="00814AD1">
      <w:pPr>
        <w:pStyle w:val="TableSourcefootnotes"/>
        <w:numPr>
          <w:ilvl w:val="0"/>
          <w:numId w:val="27"/>
        </w:numPr>
        <w:tabs>
          <w:tab w:val="clear" w:pos="397"/>
          <w:tab w:val="left" w:pos="284"/>
        </w:tabs>
        <w:spacing w:before="0" w:after="0" w:line="240" w:lineRule="auto"/>
        <w:ind w:left="426" w:hanging="426"/>
        <w:rPr>
          <w:rFonts w:cs="Arial"/>
        </w:rPr>
      </w:pPr>
      <w:r w:rsidRPr="00617599">
        <w:rPr>
          <w:rFonts w:cs="Arial"/>
        </w:rPr>
        <w:t>Age at start of treatment cycle.</w:t>
      </w:r>
    </w:p>
    <w:p w14:paraId="41F5ED4E" w14:textId="24D97F6C" w:rsidR="009303CD" w:rsidRDefault="009303CD" w:rsidP="00FB40FC">
      <w:pPr>
        <w:pStyle w:val="TableSourcefootnotes"/>
        <w:spacing w:before="0" w:after="0" w:line="240" w:lineRule="auto"/>
        <w:rPr>
          <w:rFonts w:cs="Arial"/>
        </w:rPr>
      </w:pPr>
      <w:r w:rsidRPr="00617599">
        <w:rPr>
          <w:rFonts w:cs="Arial"/>
          <w:i/>
        </w:rPr>
        <w:t>Note</w:t>
      </w:r>
      <w:r w:rsidRPr="00617599">
        <w:rPr>
          <w:rFonts w:cs="Arial"/>
        </w:rPr>
        <w:t>: Data are collected for each treatment cycle. Therefore, some individuals may be counted more than once.</w:t>
      </w:r>
    </w:p>
    <w:bookmarkEnd w:id="228"/>
    <w:p w14:paraId="46FA299A" w14:textId="50ABCB06" w:rsidR="00FB40FC" w:rsidRDefault="00FB40FC" w:rsidP="00FB40FC">
      <w:pPr>
        <w:pStyle w:val="NPESUbodytext"/>
      </w:pPr>
    </w:p>
    <w:p w14:paraId="56E3B528" w14:textId="1923544E" w:rsidR="00560E73" w:rsidRPr="00617599" w:rsidRDefault="00560E73" w:rsidP="00952173">
      <w:pPr>
        <w:rPr>
          <w:highlight w:val="yellow"/>
        </w:rPr>
      </w:pPr>
    </w:p>
    <w:tbl>
      <w:tblPr>
        <w:tblW w:w="5000" w:type="pct"/>
        <w:tblCellMar>
          <w:top w:w="15" w:type="dxa"/>
          <w:left w:w="15" w:type="dxa"/>
          <w:bottom w:w="15" w:type="dxa"/>
          <w:right w:w="15" w:type="dxa"/>
        </w:tblCellMar>
        <w:tblLook w:val="04A0" w:firstRow="1" w:lastRow="0" w:firstColumn="1" w:lastColumn="0" w:noHBand="0" w:noVBand="1"/>
      </w:tblPr>
      <w:tblGrid>
        <w:gridCol w:w="1818"/>
        <w:gridCol w:w="836"/>
        <w:gridCol w:w="802"/>
        <w:gridCol w:w="88"/>
        <w:gridCol w:w="836"/>
        <w:gridCol w:w="803"/>
        <w:gridCol w:w="88"/>
        <w:gridCol w:w="1058"/>
        <w:gridCol w:w="973"/>
        <w:gridCol w:w="88"/>
        <w:gridCol w:w="836"/>
        <w:gridCol w:w="800"/>
      </w:tblGrid>
      <w:tr w:rsidR="00560E73" w:rsidRPr="00617599" w14:paraId="1EFA5157" w14:textId="77777777" w:rsidTr="00C03A13">
        <w:trPr>
          <w:tblHeader/>
        </w:trPr>
        <w:tc>
          <w:tcPr>
            <w:tcW w:w="5000" w:type="pct"/>
            <w:gridSpan w:val="12"/>
            <w:shd w:val="clear" w:color="auto" w:fill="auto"/>
            <w:tcMar>
              <w:top w:w="0" w:type="dxa"/>
              <w:left w:w="0" w:type="dxa"/>
              <w:bottom w:w="0" w:type="dxa"/>
              <w:right w:w="0" w:type="dxa"/>
            </w:tcMar>
            <w:vAlign w:val="center"/>
            <w:hideMark/>
          </w:tcPr>
          <w:p w14:paraId="78A9A3B5" w14:textId="5507D767" w:rsidR="00560E73" w:rsidRPr="00617599" w:rsidRDefault="00560E73" w:rsidP="00C03A13">
            <w:pPr>
              <w:pStyle w:val="Caption"/>
              <w:spacing w:before="60" w:line="260" w:lineRule="atLeast"/>
              <w:rPr>
                <w:rFonts w:eastAsia="Times New Roman"/>
                <w:lang w:eastAsia="en-AU"/>
              </w:rPr>
            </w:pPr>
            <w:bookmarkStart w:id="229" w:name="_Toc158026554"/>
            <w:r w:rsidRPr="00617599">
              <w:rPr>
                <w:rFonts w:eastAsia="Times New Roman"/>
                <w:lang w:eastAsia="en-AU"/>
              </w:rPr>
              <w:t xml:space="preserve">Table </w:t>
            </w:r>
            <w:r>
              <w:rPr>
                <w:rFonts w:eastAsia="Times New Roman"/>
                <w:lang w:eastAsia="en-AU"/>
              </w:rPr>
              <w:t>5</w:t>
            </w:r>
            <w:r w:rsidRPr="00617599">
              <w:rPr>
                <w:rFonts w:eastAsia="Times New Roman"/>
                <w:lang w:eastAsia="en-AU"/>
              </w:rPr>
              <w:t xml:space="preserve">: Number of autologous and recipient cycles by </w:t>
            </w:r>
            <w:r>
              <w:rPr>
                <w:rFonts w:eastAsia="Times New Roman"/>
                <w:lang w:eastAsia="en-AU"/>
              </w:rPr>
              <w:t xml:space="preserve">women’s male </w:t>
            </w:r>
            <w:r w:rsidRPr="00617599">
              <w:rPr>
                <w:rFonts w:eastAsia="Times New Roman"/>
                <w:lang w:eastAsia="en-AU"/>
              </w:rPr>
              <w:t xml:space="preserve">partners’ age group and treatment type, </w:t>
            </w:r>
            <w:r>
              <w:rPr>
                <w:rFonts w:eastAsia="Times New Roman"/>
                <w:lang w:eastAsia="en-AU"/>
              </w:rPr>
              <w:t>New Zealand, 20</w:t>
            </w:r>
            <w:r w:rsidR="00A434CE">
              <w:rPr>
                <w:rFonts w:eastAsia="Times New Roman"/>
                <w:lang w:eastAsia="en-AU"/>
              </w:rPr>
              <w:t>2</w:t>
            </w:r>
            <w:r w:rsidR="00FE3B92">
              <w:rPr>
                <w:rFonts w:eastAsia="Times New Roman"/>
                <w:lang w:eastAsia="en-AU"/>
              </w:rPr>
              <w:t>1</w:t>
            </w:r>
            <w:bookmarkEnd w:id="229"/>
            <w:r>
              <w:rPr>
                <w:rFonts w:eastAsia="Times New Roman"/>
                <w:lang w:eastAsia="en-AU"/>
              </w:rPr>
              <w:t xml:space="preserve"> </w:t>
            </w:r>
          </w:p>
        </w:tc>
      </w:tr>
      <w:tr w:rsidR="00560E73" w:rsidRPr="00617599" w14:paraId="7C8AC7D6" w14:textId="77777777" w:rsidTr="00C03A13">
        <w:trPr>
          <w:trHeight w:val="284"/>
          <w:tblHeader/>
        </w:trPr>
        <w:tc>
          <w:tcPr>
            <w:tcW w:w="1007" w:type="pct"/>
            <w:tcBorders>
              <w:top w:val="single" w:sz="12" w:space="0" w:color="auto"/>
            </w:tcBorders>
            <w:shd w:val="clear" w:color="auto" w:fill="auto"/>
            <w:tcMar>
              <w:top w:w="0" w:type="dxa"/>
              <w:left w:w="0" w:type="dxa"/>
              <w:bottom w:w="0" w:type="dxa"/>
              <w:right w:w="0" w:type="dxa"/>
            </w:tcMar>
            <w:vAlign w:val="center"/>
            <w:hideMark/>
          </w:tcPr>
          <w:p w14:paraId="040F3061" w14:textId="77777777" w:rsidR="00560E73" w:rsidRPr="00617599" w:rsidRDefault="00560E73" w:rsidP="00C03A13">
            <w:pPr>
              <w:spacing w:after="0" w:line="276" w:lineRule="auto"/>
              <w:rPr>
                <w:rFonts w:ascii="Arial" w:eastAsia="Times New Roman" w:hAnsi="Arial" w:cs="Arial"/>
                <w:sz w:val="16"/>
                <w:szCs w:val="16"/>
                <w:lang w:eastAsia="en-AU"/>
              </w:rPr>
            </w:pPr>
          </w:p>
        </w:tc>
        <w:tc>
          <w:tcPr>
            <w:tcW w:w="1864" w:type="pct"/>
            <w:gridSpan w:val="5"/>
            <w:tcBorders>
              <w:top w:val="single" w:sz="12" w:space="0" w:color="auto"/>
              <w:bottom w:val="single" w:sz="6" w:space="0" w:color="808080"/>
            </w:tcBorders>
            <w:shd w:val="clear" w:color="auto" w:fill="auto"/>
            <w:tcMar>
              <w:top w:w="0" w:type="dxa"/>
              <w:left w:w="0" w:type="dxa"/>
              <w:bottom w:w="0" w:type="dxa"/>
              <w:right w:w="0" w:type="dxa"/>
            </w:tcMar>
            <w:vAlign w:val="center"/>
            <w:hideMark/>
          </w:tcPr>
          <w:p w14:paraId="55BFAE70" w14:textId="77777777" w:rsidR="00560E73" w:rsidRPr="00617599" w:rsidRDefault="00560E73"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Autologous</w:t>
            </w:r>
          </w:p>
        </w:tc>
        <w:tc>
          <w:tcPr>
            <w:tcW w:w="49" w:type="pct"/>
            <w:tcBorders>
              <w:top w:val="single" w:sz="12" w:space="0" w:color="auto"/>
            </w:tcBorders>
            <w:shd w:val="clear" w:color="auto" w:fill="auto"/>
            <w:tcMar>
              <w:top w:w="0" w:type="dxa"/>
              <w:left w:w="0" w:type="dxa"/>
              <w:bottom w:w="0" w:type="dxa"/>
              <w:right w:w="0" w:type="dxa"/>
            </w:tcMar>
            <w:vAlign w:val="center"/>
            <w:hideMark/>
          </w:tcPr>
          <w:p w14:paraId="3593D72E" w14:textId="77777777" w:rsidR="00560E73" w:rsidRPr="00617599" w:rsidRDefault="00560E73"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2080" w:type="pct"/>
            <w:gridSpan w:val="5"/>
            <w:tcBorders>
              <w:top w:val="single" w:sz="12" w:space="0" w:color="auto"/>
            </w:tcBorders>
            <w:shd w:val="clear" w:color="auto" w:fill="auto"/>
            <w:tcMar>
              <w:top w:w="0" w:type="dxa"/>
              <w:left w:w="0" w:type="dxa"/>
              <w:bottom w:w="0" w:type="dxa"/>
              <w:right w:w="0" w:type="dxa"/>
            </w:tcMar>
            <w:vAlign w:val="center"/>
            <w:hideMark/>
          </w:tcPr>
          <w:p w14:paraId="03B2C70C" w14:textId="77777777" w:rsidR="00560E73" w:rsidRPr="00617599" w:rsidRDefault="00560E73" w:rsidP="00C03A13">
            <w:pPr>
              <w:spacing w:after="0" w:line="276" w:lineRule="auto"/>
              <w:jc w:val="center"/>
              <w:rPr>
                <w:rFonts w:ascii="Arial" w:eastAsia="Times New Roman" w:hAnsi="Arial" w:cs="Arial"/>
                <w:b/>
                <w:bCs/>
                <w:sz w:val="16"/>
                <w:szCs w:val="16"/>
                <w:lang w:eastAsia="en-AU"/>
              </w:rPr>
            </w:pPr>
          </w:p>
        </w:tc>
      </w:tr>
      <w:tr w:rsidR="00560E73" w:rsidRPr="00617599" w14:paraId="74F2EE9F" w14:textId="77777777" w:rsidTr="00C03A13">
        <w:trPr>
          <w:trHeight w:val="284"/>
          <w:tblHeader/>
        </w:trPr>
        <w:tc>
          <w:tcPr>
            <w:tcW w:w="1007" w:type="pct"/>
            <w:shd w:val="clear" w:color="auto" w:fill="auto"/>
            <w:tcMar>
              <w:top w:w="0" w:type="dxa"/>
              <w:left w:w="0" w:type="dxa"/>
              <w:bottom w:w="0" w:type="dxa"/>
              <w:right w:w="0" w:type="dxa"/>
            </w:tcMar>
            <w:vAlign w:val="center"/>
            <w:hideMark/>
          </w:tcPr>
          <w:p w14:paraId="73214A96" w14:textId="77777777" w:rsidR="00560E73" w:rsidRPr="00617599" w:rsidRDefault="00560E73" w:rsidP="00C03A13">
            <w:pPr>
              <w:spacing w:after="0" w:line="276" w:lineRule="auto"/>
              <w:jc w:val="center"/>
              <w:rPr>
                <w:rFonts w:ascii="Arial" w:eastAsia="Times New Roman" w:hAnsi="Arial" w:cs="Arial"/>
                <w:sz w:val="16"/>
                <w:szCs w:val="16"/>
                <w:lang w:eastAsia="en-AU"/>
              </w:rPr>
            </w:pPr>
          </w:p>
        </w:tc>
        <w:tc>
          <w:tcPr>
            <w:tcW w:w="907" w:type="pct"/>
            <w:gridSpan w:val="2"/>
            <w:tcBorders>
              <w:bottom w:val="single" w:sz="6" w:space="0" w:color="808080"/>
            </w:tcBorders>
            <w:shd w:val="clear" w:color="auto" w:fill="auto"/>
            <w:tcMar>
              <w:top w:w="0" w:type="dxa"/>
              <w:left w:w="0" w:type="dxa"/>
              <w:bottom w:w="0" w:type="dxa"/>
              <w:right w:w="0" w:type="dxa"/>
            </w:tcMar>
            <w:vAlign w:val="center"/>
            <w:hideMark/>
          </w:tcPr>
          <w:p w14:paraId="5F37416B" w14:textId="77777777" w:rsidR="00560E73" w:rsidRPr="00617599" w:rsidRDefault="00560E73"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Fresh</w:t>
            </w:r>
          </w:p>
        </w:tc>
        <w:tc>
          <w:tcPr>
            <w:tcW w:w="49" w:type="pct"/>
            <w:shd w:val="clear" w:color="auto" w:fill="auto"/>
            <w:tcMar>
              <w:top w:w="0" w:type="dxa"/>
              <w:left w:w="0" w:type="dxa"/>
              <w:bottom w:w="0" w:type="dxa"/>
              <w:right w:w="0" w:type="dxa"/>
            </w:tcMar>
            <w:vAlign w:val="center"/>
            <w:hideMark/>
          </w:tcPr>
          <w:p w14:paraId="65D5997C" w14:textId="77777777" w:rsidR="00560E73" w:rsidRPr="00617599" w:rsidRDefault="00560E73"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908" w:type="pct"/>
            <w:gridSpan w:val="2"/>
            <w:tcBorders>
              <w:bottom w:val="single" w:sz="6" w:space="0" w:color="808080"/>
            </w:tcBorders>
            <w:shd w:val="clear" w:color="auto" w:fill="auto"/>
            <w:tcMar>
              <w:top w:w="0" w:type="dxa"/>
              <w:left w:w="0" w:type="dxa"/>
              <w:bottom w:w="0" w:type="dxa"/>
              <w:right w:w="0" w:type="dxa"/>
            </w:tcMar>
            <w:vAlign w:val="center"/>
            <w:hideMark/>
          </w:tcPr>
          <w:p w14:paraId="4E6E0E4D" w14:textId="77777777" w:rsidR="00560E73" w:rsidRPr="00617599" w:rsidRDefault="00560E73"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Thaw</w:t>
            </w:r>
          </w:p>
        </w:tc>
        <w:tc>
          <w:tcPr>
            <w:tcW w:w="49" w:type="pct"/>
            <w:shd w:val="clear" w:color="auto" w:fill="auto"/>
            <w:tcMar>
              <w:top w:w="0" w:type="dxa"/>
              <w:left w:w="0" w:type="dxa"/>
              <w:bottom w:w="0" w:type="dxa"/>
              <w:right w:w="0" w:type="dxa"/>
            </w:tcMar>
            <w:vAlign w:val="center"/>
            <w:hideMark/>
          </w:tcPr>
          <w:p w14:paraId="6F277B28" w14:textId="77777777" w:rsidR="00560E73" w:rsidRPr="00617599" w:rsidRDefault="00560E73"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1125" w:type="pct"/>
            <w:gridSpan w:val="2"/>
            <w:tcBorders>
              <w:bottom w:val="single" w:sz="6" w:space="0" w:color="808080"/>
            </w:tcBorders>
            <w:shd w:val="clear" w:color="auto" w:fill="auto"/>
            <w:tcMar>
              <w:top w:w="0" w:type="dxa"/>
              <w:left w:w="0" w:type="dxa"/>
              <w:bottom w:w="0" w:type="dxa"/>
              <w:right w:w="0" w:type="dxa"/>
            </w:tcMar>
            <w:vAlign w:val="center"/>
            <w:hideMark/>
          </w:tcPr>
          <w:p w14:paraId="58ACAFE8" w14:textId="77777777" w:rsidR="00560E73" w:rsidRPr="00617599" w:rsidRDefault="00560E73"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Oocyte/Embryo </w:t>
            </w:r>
          </w:p>
          <w:p w14:paraId="73E53337" w14:textId="77777777" w:rsidR="00560E73" w:rsidRPr="00617599" w:rsidRDefault="00560E73"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Recipient</w:t>
            </w:r>
          </w:p>
        </w:tc>
        <w:tc>
          <w:tcPr>
            <w:tcW w:w="49" w:type="pct"/>
            <w:shd w:val="clear" w:color="auto" w:fill="auto"/>
            <w:tcMar>
              <w:top w:w="0" w:type="dxa"/>
              <w:left w:w="0" w:type="dxa"/>
              <w:bottom w:w="0" w:type="dxa"/>
              <w:right w:w="0" w:type="dxa"/>
            </w:tcMar>
            <w:vAlign w:val="center"/>
            <w:hideMark/>
          </w:tcPr>
          <w:p w14:paraId="3AEAC050" w14:textId="77777777" w:rsidR="00560E73" w:rsidRPr="00617599" w:rsidRDefault="00560E73"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906" w:type="pct"/>
            <w:gridSpan w:val="2"/>
            <w:tcBorders>
              <w:bottom w:val="single" w:sz="6" w:space="0" w:color="808080"/>
            </w:tcBorders>
            <w:shd w:val="clear" w:color="auto" w:fill="auto"/>
            <w:tcMar>
              <w:top w:w="0" w:type="dxa"/>
              <w:left w:w="0" w:type="dxa"/>
              <w:bottom w:w="0" w:type="dxa"/>
              <w:right w:w="0" w:type="dxa"/>
            </w:tcMar>
            <w:vAlign w:val="center"/>
            <w:hideMark/>
          </w:tcPr>
          <w:p w14:paraId="5AE0964D" w14:textId="77777777" w:rsidR="00560E73" w:rsidRPr="00617599" w:rsidRDefault="00560E73"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All</w:t>
            </w:r>
          </w:p>
        </w:tc>
      </w:tr>
      <w:tr w:rsidR="00560E73" w:rsidRPr="00617599" w14:paraId="6ED74A5B" w14:textId="77777777" w:rsidTr="00C03A13">
        <w:trPr>
          <w:trHeight w:val="284"/>
          <w:tblHeader/>
        </w:trPr>
        <w:tc>
          <w:tcPr>
            <w:tcW w:w="1007" w:type="pct"/>
            <w:tcBorders>
              <w:bottom w:val="single" w:sz="6" w:space="0" w:color="808080"/>
            </w:tcBorders>
            <w:shd w:val="clear" w:color="auto" w:fill="auto"/>
            <w:tcMar>
              <w:top w:w="0" w:type="dxa"/>
              <w:left w:w="0" w:type="dxa"/>
              <w:bottom w:w="0" w:type="dxa"/>
              <w:right w:w="0" w:type="dxa"/>
            </w:tcMar>
            <w:vAlign w:val="center"/>
            <w:hideMark/>
          </w:tcPr>
          <w:p w14:paraId="26B9441F" w14:textId="77777777" w:rsidR="00560E73" w:rsidRPr="00C553E3" w:rsidRDefault="00560E73" w:rsidP="00C03A13">
            <w:pPr>
              <w:spacing w:after="0" w:line="276" w:lineRule="auto"/>
              <w:rPr>
                <w:rFonts w:ascii="Arial" w:eastAsia="Times New Roman" w:hAnsi="Arial" w:cs="Arial"/>
                <w:b/>
                <w:bCs/>
                <w:sz w:val="16"/>
                <w:szCs w:val="16"/>
                <w:vertAlign w:val="superscript"/>
                <w:lang w:eastAsia="en-AU"/>
              </w:rPr>
            </w:pPr>
            <w:r w:rsidRPr="00617599">
              <w:rPr>
                <w:rFonts w:ascii="Arial" w:eastAsia="Times New Roman" w:hAnsi="Arial" w:cs="Arial"/>
                <w:b/>
                <w:bCs/>
                <w:sz w:val="16"/>
                <w:szCs w:val="16"/>
                <w:lang w:eastAsia="en-AU"/>
              </w:rPr>
              <w:t>Age group (years)</w:t>
            </w:r>
            <w:r>
              <w:rPr>
                <w:rFonts w:ascii="Arial" w:eastAsia="Times New Roman" w:hAnsi="Arial" w:cs="Arial"/>
                <w:b/>
                <w:bCs/>
                <w:sz w:val="16"/>
                <w:szCs w:val="16"/>
                <w:vertAlign w:val="superscript"/>
                <w:lang w:eastAsia="en-AU"/>
              </w:rPr>
              <w:t>(a)</w:t>
            </w:r>
          </w:p>
        </w:tc>
        <w:tc>
          <w:tcPr>
            <w:tcW w:w="463" w:type="pct"/>
            <w:tcBorders>
              <w:bottom w:val="single" w:sz="6" w:space="0" w:color="808080"/>
            </w:tcBorders>
            <w:shd w:val="clear" w:color="auto" w:fill="auto"/>
            <w:tcMar>
              <w:top w:w="0" w:type="dxa"/>
              <w:left w:w="0" w:type="dxa"/>
              <w:bottom w:w="0" w:type="dxa"/>
              <w:right w:w="0" w:type="dxa"/>
            </w:tcMar>
            <w:vAlign w:val="center"/>
            <w:hideMark/>
          </w:tcPr>
          <w:p w14:paraId="2C772491" w14:textId="77777777" w:rsidR="00560E73" w:rsidRPr="00617599" w:rsidRDefault="00560E73" w:rsidP="00C03A13">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44" w:type="pct"/>
            <w:tcBorders>
              <w:bottom w:val="single" w:sz="6" w:space="0" w:color="808080"/>
            </w:tcBorders>
            <w:shd w:val="clear" w:color="auto" w:fill="auto"/>
            <w:tcMar>
              <w:top w:w="0" w:type="dxa"/>
              <w:left w:w="0" w:type="dxa"/>
              <w:bottom w:w="0" w:type="dxa"/>
              <w:right w:w="0" w:type="dxa"/>
            </w:tcMar>
            <w:vAlign w:val="center"/>
            <w:hideMark/>
          </w:tcPr>
          <w:p w14:paraId="71C29734" w14:textId="77777777" w:rsidR="00560E73" w:rsidRPr="00617599" w:rsidRDefault="00560E73" w:rsidP="00C03A13">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auto"/>
            <w:tcMar>
              <w:top w:w="0" w:type="dxa"/>
              <w:left w:w="0" w:type="dxa"/>
              <w:bottom w:w="0" w:type="dxa"/>
              <w:right w:w="0" w:type="dxa"/>
            </w:tcMar>
            <w:vAlign w:val="center"/>
            <w:hideMark/>
          </w:tcPr>
          <w:p w14:paraId="512F9F80" w14:textId="77777777" w:rsidR="00560E73" w:rsidRPr="00617599" w:rsidRDefault="00560E73"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463" w:type="pct"/>
            <w:tcBorders>
              <w:bottom w:val="single" w:sz="6" w:space="0" w:color="808080"/>
            </w:tcBorders>
            <w:shd w:val="clear" w:color="auto" w:fill="auto"/>
            <w:tcMar>
              <w:top w:w="0" w:type="dxa"/>
              <w:left w:w="0" w:type="dxa"/>
              <w:bottom w:w="0" w:type="dxa"/>
              <w:right w:w="0" w:type="dxa"/>
            </w:tcMar>
            <w:vAlign w:val="center"/>
            <w:hideMark/>
          </w:tcPr>
          <w:p w14:paraId="2B06C3D9" w14:textId="77777777" w:rsidR="00560E73" w:rsidRPr="00617599" w:rsidRDefault="00560E73" w:rsidP="00C03A13">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45" w:type="pct"/>
            <w:tcBorders>
              <w:bottom w:val="single" w:sz="6" w:space="0" w:color="808080"/>
            </w:tcBorders>
            <w:shd w:val="clear" w:color="auto" w:fill="auto"/>
            <w:tcMar>
              <w:top w:w="0" w:type="dxa"/>
              <w:left w:w="0" w:type="dxa"/>
              <w:bottom w:w="0" w:type="dxa"/>
              <w:right w:w="0" w:type="dxa"/>
            </w:tcMar>
            <w:vAlign w:val="center"/>
            <w:hideMark/>
          </w:tcPr>
          <w:p w14:paraId="3D942736" w14:textId="77777777" w:rsidR="00560E73" w:rsidRPr="00617599" w:rsidRDefault="00560E73" w:rsidP="00C03A13">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auto"/>
            <w:tcMar>
              <w:top w:w="0" w:type="dxa"/>
              <w:left w:w="0" w:type="dxa"/>
              <w:bottom w:w="0" w:type="dxa"/>
              <w:right w:w="0" w:type="dxa"/>
            </w:tcMar>
            <w:vAlign w:val="center"/>
            <w:hideMark/>
          </w:tcPr>
          <w:p w14:paraId="77B1121D" w14:textId="77777777" w:rsidR="00560E73" w:rsidRPr="00617599" w:rsidRDefault="00560E73"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586" w:type="pct"/>
            <w:tcBorders>
              <w:bottom w:val="single" w:sz="6" w:space="0" w:color="808080"/>
            </w:tcBorders>
            <w:shd w:val="clear" w:color="auto" w:fill="auto"/>
            <w:tcMar>
              <w:top w:w="0" w:type="dxa"/>
              <w:left w:w="0" w:type="dxa"/>
              <w:bottom w:w="0" w:type="dxa"/>
              <w:right w:w="0" w:type="dxa"/>
            </w:tcMar>
            <w:vAlign w:val="center"/>
            <w:hideMark/>
          </w:tcPr>
          <w:p w14:paraId="5F10D805" w14:textId="77777777" w:rsidR="00560E73" w:rsidRPr="00617599" w:rsidRDefault="00560E73" w:rsidP="00C03A13">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539" w:type="pct"/>
            <w:tcBorders>
              <w:bottom w:val="single" w:sz="6" w:space="0" w:color="808080"/>
            </w:tcBorders>
            <w:shd w:val="clear" w:color="auto" w:fill="auto"/>
            <w:tcMar>
              <w:top w:w="0" w:type="dxa"/>
              <w:left w:w="0" w:type="dxa"/>
              <w:bottom w:w="0" w:type="dxa"/>
              <w:right w:w="0" w:type="dxa"/>
            </w:tcMar>
            <w:vAlign w:val="center"/>
            <w:hideMark/>
          </w:tcPr>
          <w:p w14:paraId="243C30D4" w14:textId="77777777" w:rsidR="00560E73" w:rsidRPr="00617599" w:rsidRDefault="00560E73" w:rsidP="00C03A13">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auto"/>
            <w:tcMar>
              <w:top w:w="0" w:type="dxa"/>
              <w:left w:w="0" w:type="dxa"/>
              <w:bottom w:w="0" w:type="dxa"/>
              <w:right w:w="0" w:type="dxa"/>
            </w:tcMar>
            <w:vAlign w:val="center"/>
            <w:hideMark/>
          </w:tcPr>
          <w:p w14:paraId="3429F5E8" w14:textId="77777777" w:rsidR="00560E73" w:rsidRPr="00617599" w:rsidRDefault="00560E73" w:rsidP="00C03A13">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463" w:type="pct"/>
            <w:tcBorders>
              <w:bottom w:val="single" w:sz="6" w:space="0" w:color="808080"/>
            </w:tcBorders>
            <w:shd w:val="clear" w:color="auto" w:fill="auto"/>
            <w:tcMar>
              <w:top w:w="0" w:type="dxa"/>
              <w:left w:w="0" w:type="dxa"/>
              <w:bottom w:w="0" w:type="dxa"/>
              <w:right w:w="0" w:type="dxa"/>
            </w:tcMar>
            <w:vAlign w:val="center"/>
            <w:hideMark/>
          </w:tcPr>
          <w:p w14:paraId="48CB844C" w14:textId="77777777" w:rsidR="00560E73" w:rsidRPr="00617599" w:rsidRDefault="00560E73" w:rsidP="00C03A13">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43" w:type="pct"/>
            <w:tcBorders>
              <w:bottom w:val="single" w:sz="6" w:space="0" w:color="808080"/>
            </w:tcBorders>
            <w:shd w:val="clear" w:color="auto" w:fill="auto"/>
            <w:tcMar>
              <w:top w:w="0" w:type="dxa"/>
              <w:left w:w="0" w:type="dxa"/>
              <w:bottom w:w="0" w:type="dxa"/>
              <w:right w:w="0" w:type="dxa"/>
            </w:tcMar>
            <w:vAlign w:val="center"/>
            <w:hideMark/>
          </w:tcPr>
          <w:p w14:paraId="429F283B" w14:textId="77777777" w:rsidR="00560E73" w:rsidRPr="00617599" w:rsidRDefault="00560E73" w:rsidP="00C03A13">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r>
      <w:tr w:rsidR="00FE3B92" w:rsidRPr="00617599" w14:paraId="6C75CAF2" w14:textId="77777777" w:rsidTr="00FE3B92">
        <w:trPr>
          <w:trHeight w:val="284"/>
        </w:trPr>
        <w:tc>
          <w:tcPr>
            <w:tcW w:w="1007" w:type="pct"/>
            <w:shd w:val="clear" w:color="auto" w:fill="auto"/>
            <w:tcMar>
              <w:top w:w="0" w:type="dxa"/>
              <w:left w:w="0" w:type="dxa"/>
              <w:bottom w:w="0" w:type="dxa"/>
              <w:right w:w="0" w:type="dxa"/>
            </w:tcMar>
            <w:vAlign w:val="bottom"/>
            <w:hideMark/>
          </w:tcPr>
          <w:p w14:paraId="544C669D" w14:textId="77777777" w:rsidR="00FE3B92" w:rsidRPr="00617599" w:rsidRDefault="00FE3B92" w:rsidP="00FE3B92">
            <w:pPr>
              <w:spacing w:after="0" w:line="276" w:lineRule="auto"/>
              <w:rPr>
                <w:rFonts w:ascii="Arial" w:eastAsia="Times New Roman" w:hAnsi="Arial" w:cs="Arial"/>
                <w:sz w:val="16"/>
                <w:szCs w:val="16"/>
                <w:lang w:eastAsia="en-AU"/>
              </w:rPr>
            </w:pPr>
            <w:r>
              <w:rPr>
                <w:rFonts w:ascii="Arial" w:hAnsi="Arial" w:cs="Arial"/>
                <w:color w:val="000000"/>
                <w:sz w:val="16"/>
                <w:szCs w:val="16"/>
              </w:rPr>
              <w:t>&lt;30</w:t>
            </w:r>
          </w:p>
        </w:tc>
        <w:tc>
          <w:tcPr>
            <w:tcW w:w="463" w:type="pct"/>
            <w:shd w:val="clear" w:color="auto" w:fill="auto"/>
            <w:tcMar>
              <w:top w:w="0" w:type="dxa"/>
              <w:left w:w="0" w:type="dxa"/>
              <w:bottom w:w="0" w:type="dxa"/>
              <w:right w:w="0" w:type="dxa"/>
            </w:tcMar>
            <w:vAlign w:val="center"/>
          </w:tcPr>
          <w:p w14:paraId="1209820F" w14:textId="62D09022"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229</w:t>
            </w:r>
          </w:p>
        </w:tc>
        <w:tc>
          <w:tcPr>
            <w:tcW w:w="444" w:type="pct"/>
            <w:shd w:val="clear" w:color="auto" w:fill="auto"/>
            <w:tcMar>
              <w:top w:w="0" w:type="dxa"/>
              <w:left w:w="0" w:type="dxa"/>
              <w:bottom w:w="0" w:type="dxa"/>
              <w:right w:w="0" w:type="dxa"/>
            </w:tcMar>
            <w:vAlign w:val="center"/>
          </w:tcPr>
          <w:p w14:paraId="11CF37F1" w14:textId="200E047E"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5.4</w:t>
            </w:r>
          </w:p>
        </w:tc>
        <w:tc>
          <w:tcPr>
            <w:tcW w:w="49" w:type="pct"/>
            <w:shd w:val="clear" w:color="auto" w:fill="auto"/>
            <w:tcMar>
              <w:top w:w="0" w:type="dxa"/>
              <w:left w:w="0" w:type="dxa"/>
              <w:bottom w:w="0" w:type="dxa"/>
              <w:right w:w="0" w:type="dxa"/>
            </w:tcMar>
            <w:vAlign w:val="center"/>
          </w:tcPr>
          <w:p w14:paraId="55A1DEC2" w14:textId="252D80ED"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63" w:type="pct"/>
            <w:shd w:val="clear" w:color="auto" w:fill="auto"/>
            <w:tcMar>
              <w:top w:w="0" w:type="dxa"/>
              <w:left w:w="0" w:type="dxa"/>
              <w:bottom w:w="0" w:type="dxa"/>
              <w:right w:w="0" w:type="dxa"/>
            </w:tcMar>
            <w:vAlign w:val="center"/>
          </w:tcPr>
          <w:p w14:paraId="3DEB99E2" w14:textId="10CDECDC"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230</w:t>
            </w:r>
          </w:p>
        </w:tc>
        <w:tc>
          <w:tcPr>
            <w:tcW w:w="445" w:type="pct"/>
            <w:shd w:val="clear" w:color="auto" w:fill="auto"/>
            <w:tcMar>
              <w:top w:w="0" w:type="dxa"/>
              <w:left w:w="0" w:type="dxa"/>
              <w:bottom w:w="0" w:type="dxa"/>
              <w:right w:w="0" w:type="dxa"/>
            </w:tcMar>
            <w:vAlign w:val="center"/>
          </w:tcPr>
          <w:p w14:paraId="127B520A" w14:textId="0F50021C"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5.7</w:t>
            </w:r>
          </w:p>
        </w:tc>
        <w:tc>
          <w:tcPr>
            <w:tcW w:w="49" w:type="pct"/>
            <w:shd w:val="clear" w:color="auto" w:fill="auto"/>
            <w:tcMar>
              <w:top w:w="0" w:type="dxa"/>
              <w:left w:w="0" w:type="dxa"/>
              <w:bottom w:w="0" w:type="dxa"/>
              <w:right w:w="0" w:type="dxa"/>
            </w:tcMar>
            <w:vAlign w:val="center"/>
          </w:tcPr>
          <w:p w14:paraId="2007026E" w14:textId="1BA72F37"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586" w:type="pct"/>
            <w:shd w:val="clear" w:color="auto" w:fill="auto"/>
            <w:tcMar>
              <w:top w:w="0" w:type="dxa"/>
              <w:left w:w="0" w:type="dxa"/>
              <w:bottom w:w="0" w:type="dxa"/>
              <w:right w:w="0" w:type="dxa"/>
            </w:tcMar>
            <w:vAlign w:val="center"/>
          </w:tcPr>
          <w:p w14:paraId="47F503A9" w14:textId="4EE5E0B4"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10</w:t>
            </w:r>
          </w:p>
        </w:tc>
        <w:tc>
          <w:tcPr>
            <w:tcW w:w="539" w:type="pct"/>
            <w:shd w:val="clear" w:color="auto" w:fill="auto"/>
            <w:tcMar>
              <w:top w:w="0" w:type="dxa"/>
              <w:left w:w="0" w:type="dxa"/>
              <w:bottom w:w="0" w:type="dxa"/>
              <w:right w:w="0" w:type="dxa"/>
            </w:tcMar>
            <w:vAlign w:val="center"/>
          </w:tcPr>
          <w:p w14:paraId="1D9A5219" w14:textId="2C34BF2A"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2.6</w:t>
            </w:r>
          </w:p>
        </w:tc>
        <w:tc>
          <w:tcPr>
            <w:tcW w:w="49" w:type="pct"/>
            <w:shd w:val="clear" w:color="auto" w:fill="auto"/>
            <w:tcMar>
              <w:top w:w="0" w:type="dxa"/>
              <w:left w:w="0" w:type="dxa"/>
              <w:bottom w:w="0" w:type="dxa"/>
              <w:right w:w="0" w:type="dxa"/>
            </w:tcMar>
            <w:vAlign w:val="center"/>
          </w:tcPr>
          <w:p w14:paraId="444C4B8B" w14:textId="7FD43F45"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63" w:type="pct"/>
            <w:shd w:val="clear" w:color="auto" w:fill="auto"/>
            <w:tcMar>
              <w:top w:w="0" w:type="dxa"/>
              <w:left w:w="0" w:type="dxa"/>
              <w:bottom w:w="0" w:type="dxa"/>
              <w:right w:w="0" w:type="dxa"/>
            </w:tcMar>
            <w:vAlign w:val="center"/>
          </w:tcPr>
          <w:p w14:paraId="3DFAF1C2" w14:textId="250F0277"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469</w:t>
            </w:r>
          </w:p>
        </w:tc>
        <w:tc>
          <w:tcPr>
            <w:tcW w:w="443" w:type="pct"/>
            <w:shd w:val="clear" w:color="auto" w:fill="auto"/>
            <w:tcMar>
              <w:top w:w="0" w:type="dxa"/>
              <w:left w:w="0" w:type="dxa"/>
              <w:bottom w:w="0" w:type="dxa"/>
              <w:right w:w="0" w:type="dxa"/>
            </w:tcMar>
            <w:vAlign w:val="center"/>
          </w:tcPr>
          <w:p w14:paraId="5F196648" w14:textId="2B6F4BDF"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5.4</w:t>
            </w:r>
          </w:p>
        </w:tc>
      </w:tr>
      <w:tr w:rsidR="00FE3B92" w:rsidRPr="00617599" w14:paraId="5E80027B" w14:textId="77777777" w:rsidTr="00FE3B92">
        <w:trPr>
          <w:trHeight w:val="284"/>
        </w:trPr>
        <w:tc>
          <w:tcPr>
            <w:tcW w:w="1007" w:type="pct"/>
            <w:shd w:val="clear" w:color="auto" w:fill="auto"/>
            <w:tcMar>
              <w:top w:w="0" w:type="dxa"/>
              <w:left w:w="0" w:type="dxa"/>
              <w:bottom w:w="0" w:type="dxa"/>
              <w:right w:w="0" w:type="dxa"/>
            </w:tcMar>
            <w:vAlign w:val="bottom"/>
            <w:hideMark/>
          </w:tcPr>
          <w:p w14:paraId="7DF78A3D" w14:textId="77777777" w:rsidR="00FE3B92" w:rsidRPr="00617599" w:rsidRDefault="00FE3B92" w:rsidP="00FE3B92">
            <w:pPr>
              <w:spacing w:after="0" w:line="276" w:lineRule="auto"/>
              <w:rPr>
                <w:rFonts w:ascii="Arial" w:eastAsia="Times New Roman" w:hAnsi="Arial" w:cs="Arial"/>
                <w:sz w:val="16"/>
                <w:szCs w:val="16"/>
                <w:lang w:eastAsia="en-AU"/>
              </w:rPr>
            </w:pPr>
            <w:r>
              <w:rPr>
                <w:rFonts w:ascii="Arial" w:hAnsi="Arial" w:cs="Arial"/>
                <w:color w:val="000000"/>
                <w:sz w:val="16"/>
                <w:szCs w:val="16"/>
              </w:rPr>
              <w:t>30-34</w:t>
            </w:r>
          </w:p>
        </w:tc>
        <w:tc>
          <w:tcPr>
            <w:tcW w:w="463" w:type="pct"/>
            <w:shd w:val="clear" w:color="auto" w:fill="auto"/>
            <w:tcMar>
              <w:top w:w="0" w:type="dxa"/>
              <w:left w:w="0" w:type="dxa"/>
              <w:bottom w:w="0" w:type="dxa"/>
              <w:right w:w="0" w:type="dxa"/>
            </w:tcMar>
            <w:vAlign w:val="center"/>
          </w:tcPr>
          <w:p w14:paraId="1C7F4EC2" w14:textId="2985412D"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953</w:t>
            </w:r>
          </w:p>
        </w:tc>
        <w:tc>
          <w:tcPr>
            <w:tcW w:w="444" w:type="pct"/>
            <w:shd w:val="clear" w:color="auto" w:fill="auto"/>
            <w:tcMar>
              <w:top w:w="0" w:type="dxa"/>
              <w:left w:w="0" w:type="dxa"/>
              <w:bottom w:w="0" w:type="dxa"/>
              <w:right w:w="0" w:type="dxa"/>
            </w:tcMar>
            <w:vAlign w:val="center"/>
          </w:tcPr>
          <w:p w14:paraId="5AFD210C" w14:textId="5256D002"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22.6</w:t>
            </w:r>
          </w:p>
        </w:tc>
        <w:tc>
          <w:tcPr>
            <w:tcW w:w="49" w:type="pct"/>
            <w:shd w:val="clear" w:color="auto" w:fill="auto"/>
            <w:tcMar>
              <w:top w:w="0" w:type="dxa"/>
              <w:left w:w="0" w:type="dxa"/>
              <w:bottom w:w="0" w:type="dxa"/>
              <w:right w:w="0" w:type="dxa"/>
            </w:tcMar>
            <w:vAlign w:val="center"/>
          </w:tcPr>
          <w:p w14:paraId="3BE9A885" w14:textId="7C07AE6E"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63" w:type="pct"/>
            <w:shd w:val="clear" w:color="auto" w:fill="auto"/>
            <w:tcMar>
              <w:top w:w="0" w:type="dxa"/>
              <w:left w:w="0" w:type="dxa"/>
              <w:bottom w:w="0" w:type="dxa"/>
              <w:right w:w="0" w:type="dxa"/>
            </w:tcMar>
            <w:vAlign w:val="center"/>
          </w:tcPr>
          <w:p w14:paraId="0DF2C405" w14:textId="0775B646"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1,014</w:t>
            </w:r>
          </w:p>
        </w:tc>
        <w:tc>
          <w:tcPr>
            <w:tcW w:w="445" w:type="pct"/>
            <w:shd w:val="clear" w:color="auto" w:fill="auto"/>
            <w:tcMar>
              <w:top w:w="0" w:type="dxa"/>
              <w:left w:w="0" w:type="dxa"/>
              <w:bottom w:w="0" w:type="dxa"/>
              <w:right w:w="0" w:type="dxa"/>
            </w:tcMar>
            <w:vAlign w:val="center"/>
          </w:tcPr>
          <w:p w14:paraId="3556B528" w14:textId="70E1E7D0"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25.2</w:t>
            </w:r>
          </w:p>
        </w:tc>
        <w:tc>
          <w:tcPr>
            <w:tcW w:w="49" w:type="pct"/>
            <w:shd w:val="clear" w:color="auto" w:fill="auto"/>
            <w:tcMar>
              <w:top w:w="0" w:type="dxa"/>
              <w:left w:w="0" w:type="dxa"/>
              <w:bottom w:w="0" w:type="dxa"/>
              <w:right w:w="0" w:type="dxa"/>
            </w:tcMar>
            <w:vAlign w:val="center"/>
          </w:tcPr>
          <w:p w14:paraId="5A7081FE" w14:textId="77777777" w:rsidR="00FE3B92" w:rsidRPr="00785DBA" w:rsidRDefault="00FE3B92" w:rsidP="00FE3B92">
            <w:pPr>
              <w:spacing w:after="0" w:line="276" w:lineRule="auto"/>
              <w:jc w:val="right"/>
              <w:rPr>
                <w:rFonts w:ascii="Arial" w:eastAsia="Times New Roman" w:hAnsi="Arial" w:cs="Arial"/>
                <w:sz w:val="16"/>
                <w:szCs w:val="16"/>
                <w:lang w:eastAsia="en-AU"/>
              </w:rPr>
            </w:pPr>
          </w:p>
        </w:tc>
        <w:tc>
          <w:tcPr>
            <w:tcW w:w="586" w:type="pct"/>
            <w:shd w:val="clear" w:color="auto" w:fill="auto"/>
            <w:tcMar>
              <w:top w:w="0" w:type="dxa"/>
              <w:left w:w="0" w:type="dxa"/>
              <w:bottom w:w="0" w:type="dxa"/>
              <w:right w:w="0" w:type="dxa"/>
            </w:tcMar>
            <w:vAlign w:val="center"/>
          </w:tcPr>
          <w:p w14:paraId="2937CB89" w14:textId="6F745E50"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35</w:t>
            </w:r>
          </w:p>
        </w:tc>
        <w:tc>
          <w:tcPr>
            <w:tcW w:w="539" w:type="pct"/>
            <w:shd w:val="clear" w:color="auto" w:fill="auto"/>
            <w:tcMar>
              <w:top w:w="0" w:type="dxa"/>
              <w:left w:w="0" w:type="dxa"/>
              <w:bottom w:w="0" w:type="dxa"/>
              <w:right w:w="0" w:type="dxa"/>
            </w:tcMar>
            <w:vAlign w:val="center"/>
          </w:tcPr>
          <w:p w14:paraId="5C880D93" w14:textId="343DD351"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9.0</w:t>
            </w:r>
          </w:p>
        </w:tc>
        <w:tc>
          <w:tcPr>
            <w:tcW w:w="49" w:type="pct"/>
            <w:shd w:val="clear" w:color="auto" w:fill="auto"/>
            <w:tcMar>
              <w:top w:w="0" w:type="dxa"/>
              <w:left w:w="0" w:type="dxa"/>
              <w:bottom w:w="0" w:type="dxa"/>
              <w:right w:w="0" w:type="dxa"/>
            </w:tcMar>
            <w:vAlign w:val="center"/>
          </w:tcPr>
          <w:p w14:paraId="6A7DB331" w14:textId="77777777" w:rsidR="00FE3B92" w:rsidRPr="00785DBA" w:rsidRDefault="00FE3B92" w:rsidP="00FE3B92">
            <w:pPr>
              <w:spacing w:after="0" w:line="276" w:lineRule="auto"/>
              <w:jc w:val="right"/>
              <w:rPr>
                <w:rFonts w:ascii="Arial" w:eastAsia="Times New Roman" w:hAnsi="Arial" w:cs="Arial"/>
                <w:sz w:val="16"/>
                <w:szCs w:val="16"/>
                <w:lang w:eastAsia="en-AU"/>
              </w:rPr>
            </w:pPr>
          </w:p>
        </w:tc>
        <w:tc>
          <w:tcPr>
            <w:tcW w:w="463" w:type="pct"/>
            <w:shd w:val="clear" w:color="auto" w:fill="auto"/>
            <w:tcMar>
              <w:top w:w="0" w:type="dxa"/>
              <w:left w:w="0" w:type="dxa"/>
              <w:bottom w:w="0" w:type="dxa"/>
              <w:right w:w="0" w:type="dxa"/>
            </w:tcMar>
            <w:vAlign w:val="center"/>
          </w:tcPr>
          <w:p w14:paraId="73504321" w14:textId="118D629D"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2,002</w:t>
            </w:r>
          </w:p>
        </w:tc>
        <w:tc>
          <w:tcPr>
            <w:tcW w:w="443" w:type="pct"/>
            <w:shd w:val="clear" w:color="auto" w:fill="auto"/>
            <w:tcMar>
              <w:top w:w="0" w:type="dxa"/>
              <w:left w:w="0" w:type="dxa"/>
              <w:bottom w:w="0" w:type="dxa"/>
              <w:right w:w="0" w:type="dxa"/>
            </w:tcMar>
            <w:vAlign w:val="center"/>
          </w:tcPr>
          <w:p w14:paraId="692C2B24" w14:textId="209A67BF"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23.2</w:t>
            </w:r>
          </w:p>
        </w:tc>
      </w:tr>
      <w:tr w:rsidR="00FE3B92" w:rsidRPr="00617599" w14:paraId="7BC50566" w14:textId="77777777" w:rsidTr="00FE3B92">
        <w:trPr>
          <w:trHeight w:val="284"/>
        </w:trPr>
        <w:tc>
          <w:tcPr>
            <w:tcW w:w="1007" w:type="pct"/>
            <w:shd w:val="clear" w:color="auto" w:fill="auto"/>
            <w:tcMar>
              <w:top w:w="0" w:type="dxa"/>
              <w:left w:w="0" w:type="dxa"/>
              <w:bottom w:w="0" w:type="dxa"/>
              <w:right w:w="0" w:type="dxa"/>
            </w:tcMar>
            <w:vAlign w:val="bottom"/>
            <w:hideMark/>
          </w:tcPr>
          <w:p w14:paraId="6FEC12EE" w14:textId="77777777" w:rsidR="00FE3B92" w:rsidRPr="00617599" w:rsidRDefault="00FE3B92" w:rsidP="00FE3B92">
            <w:pPr>
              <w:spacing w:after="0" w:line="276" w:lineRule="auto"/>
              <w:rPr>
                <w:rFonts w:ascii="Arial" w:eastAsia="Times New Roman" w:hAnsi="Arial" w:cs="Arial"/>
                <w:sz w:val="16"/>
                <w:szCs w:val="16"/>
                <w:lang w:eastAsia="en-AU"/>
              </w:rPr>
            </w:pPr>
            <w:r>
              <w:rPr>
                <w:rFonts w:ascii="Arial" w:hAnsi="Arial" w:cs="Arial"/>
                <w:color w:val="000000"/>
                <w:sz w:val="16"/>
                <w:szCs w:val="16"/>
              </w:rPr>
              <w:t>35-39</w:t>
            </w:r>
          </w:p>
        </w:tc>
        <w:tc>
          <w:tcPr>
            <w:tcW w:w="463" w:type="pct"/>
            <w:shd w:val="clear" w:color="auto" w:fill="auto"/>
            <w:tcMar>
              <w:top w:w="0" w:type="dxa"/>
              <w:left w:w="0" w:type="dxa"/>
              <w:bottom w:w="0" w:type="dxa"/>
              <w:right w:w="0" w:type="dxa"/>
            </w:tcMar>
            <w:vAlign w:val="center"/>
          </w:tcPr>
          <w:p w14:paraId="4E9F2407" w14:textId="4F8EB2A0"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1,163</w:t>
            </w:r>
          </w:p>
        </w:tc>
        <w:tc>
          <w:tcPr>
            <w:tcW w:w="444" w:type="pct"/>
            <w:shd w:val="clear" w:color="auto" w:fill="auto"/>
            <w:tcMar>
              <w:top w:w="0" w:type="dxa"/>
              <w:left w:w="0" w:type="dxa"/>
              <w:bottom w:w="0" w:type="dxa"/>
              <w:right w:w="0" w:type="dxa"/>
            </w:tcMar>
            <w:vAlign w:val="center"/>
          </w:tcPr>
          <w:p w14:paraId="4A360C37" w14:textId="0C8F0775"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27.6</w:t>
            </w:r>
          </w:p>
        </w:tc>
        <w:tc>
          <w:tcPr>
            <w:tcW w:w="49" w:type="pct"/>
            <w:shd w:val="clear" w:color="auto" w:fill="auto"/>
            <w:tcMar>
              <w:top w:w="0" w:type="dxa"/>
              <w:left w:w="0" w:type="dxa"/>
              <w:bottom w:w="0" w:type="dxa"/>
              <w:right w:w="0" w:type="dxa"/>
            </w:tcMar>
            <w:vAlign w:val="center"/>
          </w:tcPr>
          <w:p w14:paraId="167F747F" w14:textId="4D93F75D"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63" w:type="pct"/>
            <w:shd w:val="clear" w:color="auto" w:fill="auto"/>
            <w:tcMar>
              <w:top w:w="0" w:type="dxa"/>
              <w:left w:w="0" w:type="dxa"/>
              <w:bottom w:w="0" w:type="dxa"/>
              <w:right w:w="0" w:type="dxa"/>
            </w:tcMar>
            <w:vAlign w:val="center"/>
          </w:tcPr>
          <w:p w14:paraId="32A4EFCC" w14:textId="47EC0CB2"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1,326</w:t>
            </w:r>
          </w:p>
        </w:tc>
        <w:tc>
          <w:tcPr>
            <w:tcW w:w="445" w:type="pct"/>
            <w:shd w:val="clear" w:color="auto" w:fill="auto"/>
            <w:tcMar>
              <w:top w:w="0" w:type="dxa"/>
              <w:left w:w="0" w:type="dxa"/>
              <w:bottom w:w="0" w:type="dxa"/>
              <w:right w:w="0" w:type="dxa"/>
            </w:tcMar>
            <w:vAlign w:val="center"/>
          </w:tcPr>
          <w:p w14:paraId="7C903FC5" w14:textId="06DC28B0" w:rsidR="00FE3B92" w:rsidRPr="00BB7A35" w:rsidRDefault="00FE3B92" w:rsidP="00FE3B92">
            <w:pPr>
              <w:spacing w:after="0" w:line="276" w:lineRule="auto"/>
              <w:jc w:val="right"/>
              <w:rPr>
                <w:rFonts w:ascii="Arial" w:eastAsia="Times New Roman" w:hAnsi="Arial" w:cs="Arial"/>
                <w:color w:val="FF0000"/>
                <w:sz w:val="16"/>
                <w:szCs w:val="16"/>
                <w:lang w:eastAsia="en-AU"/>
              </w:rPr>
            </w:pPr>
            <w:r>
              <w:rPr>
                <w:rFonts w:ascii="Arial" w:hAnsi="Arial" w:cs="Arial"/>
                <w:sz w:val="16"/>
                <w:szCs w:val="16"/>
              </w:rPr>
              <w:t>32.9</w:t>
            </w:r>
          </w:p>
        </w:tc>
        <w:tc>
          <w:tcPr>
            <w:tcW w:w="49" w:type="pct"/>
            <w:shd w:val="clear" w:color="auto" w:fill="auto"/>
            <w:tcMar>
              <w:top w:w="0" w:type="dxa"/>
              <w:left w:w="0" w:type="dxa"/>
              <w:bottom w:w="0" w:type="dxa"/>
              <w:right w:w="0" w:type="dxa"/>
            </w:tcMar>
            <w:vAlign w:val="center"/>
          </w:tcPr>
          <w:p w14:paraId="44EB6087" w14:textId="77777777" w:rsidR="00FE3B92" w:rsidRPr="00BB7A35" w:rsidRDefault="00FE3B92" w:rsidP="00FE3B92">
            <w:pPr>
              <w:spacing w:after="0" w:line="276" w:lineRule="auto"/>
              <w:jc w:val="right"/>
              <w:rPr>
                <w:rFonts w:ascii="Arial" w:eastAsia="Times New Roman" w:hAnsi="Arial" w:cs="Arial"/>
                <w:color w:val="FF0000"/>
                <w:sz w:val="16"/>
                <w:szCs w:val="16"/>
                <w:lang w:eastAsia="en-AU"/>
              </w:rPr>
            </w:pPr>
          </w:p>
        </w:tc>
        <w:tc>
          <w:tcPr>
            <w:tcW w:w="586" w:type="pct"/>
            <w:shd w:val="clear" w:color="auto" w:fill="auto"/>
            <w:tcMar>
              <w:top w:w="0" w:type="dxa"/>
              <w:left w:w="0" w:type="dxa"/>
              <w:bottom w:w="0" w:type="dxa"/>
              <w:right w:w="0" w:type="dxa"/>
            </w:tcMar>
            <w:vAlign w:val="center"/>
          </w:tcPr>
          <w:p w14:paraId="14E2ED8B" w14:textId="3D0DCD44"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88</w:t>
            </w:r>
          </w:p>
        </w:tc>
        <w:tc>
          <w:tcPr>
            <w:tcW w:w="539" w:type="pct"/>
            <w:shd w:val="clear" w:color="auto" w:fill="auto"/>
            <w:tcMar>
              <w:top w:w="0" w:type="dxa"/>
              <w:left w:w="0" w:type="dxa"/>
              <w:bottom w:w="0" w:type="dxa"/>
              <w:right w:w="0" w:type="dxa"/>
            </w:tcMar>
            <w:vAlign w:val="center"/>
          </w:tcPr>
          <w:p w14:paraId="60BFA072" w14:textId="712E1D09"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22.6</w:t>
            </w:r>
          </w:p>
        </w:tc>
        <w:tc>
          <w:tcPr>
            <w:tcW w:w="49" w:type="pct"/>
            <w:shd w:val="clear" w:color="auto" w:fill="auto"/>
            <w:tcMar>
              <w:top w:w="0" w:type="dxa"/>
              <w:left w:w="0" w:type="dxa"/>
              <w:bottom w:w="0" w:type="dxa"/>
              <w:right w:w="0" w:type="dxa"/>
            </w:tcMar>
            <w:vAlign w:val="center"/>
          </w:tcPr>
          <w:p w14:paraId="327B2309" w14:textId="77777777" w:rsidR="00FE3B92" w:rsidRPr="00785DBA" w:rsidRDefault="00FE3B92" w:rsidP="00FE3B92">
            <w:pPr>
              <w:spacing w:after="0" w:line="276" w:lineRule="auto"/>
              <w:jc w:val="right"/>
              <w:rPr>
                <w:rFonts w:ascii="Arial" w:eastAsia="Times New Roman" w:hAnsi="Arial" w:cs="Arial"/>
                <w:sz w:val="16"/>
                <w:szCs w:val="16"/>
                <w:lang w:eastAsia="en-AU"/>
              </w:rPr>
            </w:pPr>
          </w:p>
        </w:tc>
        <w:tc>
          <w:tcPr>
            <w:tcW w:w="463" w:type="pct"/>
            <w:shd w:val="clear" w:color="auto" w:fill="auto"/>
            <w:tcMar>
              <w:top w:w="0" w:type="dxa"/>
              <w:left w:w="0" w:type="dxa"/>
              <w:bottom w:w="0" w:type="dxa"/>
              <w:right w:w="0" w:type="dxa"/>
            </w:tcMar>
            <w:vAlign w:val="center"/>
          </w:tcPr>
          <w:p w14:paraId="38FBE025" w14:textId="0C38123C"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2,577</w:t>
            </w:r>
          </w:p>
        </w:tc>
        <w:tc>
          <w:tcPr>
            <w:tcW w:w="443" w:type="pct"/>
            <w:shd w:val="clear" w:color="auto" w:fill="auto"/>
            <w:tcMar>
              <w:top w:w="0" w:type="dxa"/>
              <w:left w:w="0" w:type="dxa"/>
              <w:bottom w:w="0" w:type="dxa"/>
              <w:right w:w="0" w:type="dxa"/>
            </w:tcMar>
            <w:vAlign w:val="center"/>
          </w:tcPr>
          <w:p w14:paraId="31D2B70C" w14:textId="17DEE377"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29.8</w:t>
            </w:r>
          </w:p>
        </w:tc>
      </w:tr>
      <w:tr w:rsidR="00FE3B92" w:rsidRPr="00617599" w14:paraId="0BE628BB" w14:textId="77777777" w:rsidTr="00FE3B92">
        <w:trPr>
          <w:trHeight w:val="284"/>
        </w:trPr>
        <w:tc>
          <w:tcPr>
            <w:tcW w:w="1007" w:type="pct"/>
            <w:shd w:val="clear" w:color="auto" w:fill="auto"/>
            <w:tcMar>
              <w:top w:w="0" w:type="dxa"/>
              <w:left w:w="0" w:type="dxa"/>
              <w:bottom w:w="0" w:type="dxa"/>
              <w:right w:w="0" w:type="dxa"/>
            </w:tcMar>
            <w:vAlign w:val="bottom"/>
            <w:hideMark/>
          </w:tcPr>
          <w:p w14:paraId="506D032E" w14:textId="77777777" w:rsidR="00FE3B92" w:rsidRPr="00617599" w:rsidRDefault="00FE3B92" w:rsidP="00FE3B92">
            <w:pPr>
              <w:spacing w:after="0" w:line="276" w:lineRule="auto"/>
              <w:rPr>
                <w:rFonts w:ascii="Arial" w:eastAsia="Times New Roman" w:hAnsi="Arial" w:cs="Arial"/>
                <w:sz w:val="16"/>
                <w:szCs w:val="16"/>
                <w:lang w:eastAsia="en-AU"/>
              </w:rPr>
            </w:pPr>
            <w:r>
              <w:rPr>
                <w:rFonts w:ascii="Arial" w:hAnsi="Arial" w:cs="Arial"/>
                <w:color w:val="000000"/>
                <w:sz w:val="16"/>
                <w:szCs w:val="16"/>
              </w:rPr>
              <w:t>40-44</w:t>
            </w:r>
          </w:p>
        </w:tc>
        <w:tc>
          <w:tcPr>
            <w:tcW w:w="463" w:type="pct"/>
            <w:shd w:val="clear" w:color="auto" w:fill="auto"/>
            <w:tcMar>
              <w:top w:w="0" w:type="dxa"/>
              <w:left w:w="0" w:type="dxa"/>
              <w:bottom w:w="0" w:type="dxa"/>
              <w:right w:w="0" w:type="dxa"/>
            </w:tcMar>
            <w:vAlign w:val="center"/>
          </w:tcPr>
          <w:p w14:paraId="011FCF8F" w14:textId="2252BB3C"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774</w:t>
            </w:r>
          </w:p>
        </w:tc>
        <w:tc>
          <w:tcPr>
            <w:tcW w:w="444" w:type="pct"/>
            <w:shd w:val="clear" w:color="auto" w:fill="auto"/>
            <w:tcMar>
              <w:top w:w="0" w:type="dxa"/>
              <w:left w:w="0" w:type="dxa"/>
              <w:bottom w:w="0" w:type="dxa"/>
              <w:right w:w="0" w:type="dxa"/>
            </w:tcMar>
            <w:vAlign w:val="center"/>
          </w:tcPr>
          <w:p w14:paraId="3C6A5E3E" w14:textId="3698AB39"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18.3</w:t>
            </w:r>
          </w:p>
        </w:tc>
        <w:tc>
          <w:tcPr>
            <w:tcW w:w="49" w:type="pct"/>
            <w:shd w:val="clear" w:color="auto" w:fill="auto"/>
            <w:tcMar>
              <w:top w:w="0" w:type="dxa"/>
              <w:left w:w="0" w:type="dxa"/>
              <w:bottom w:w="0" w:type="dxa"/>
              <w:right w:w="0" w:type="dxa"/>
            </w:tcMar>
            <w:vAlign w:val="center"/>
          </w:tcPr>
          <w:p w14:paraId="57AE3A54" w14:textId="7610F345"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63" w:type="pct"/>
            <w:shd w:val="clear" w:color="auto" w:fill="auto"/>
            <w:tcMar>
              <w:top w:w="0" w:type="dxa"/>
              <w:left w:w="0" w:type="dxa"/>
              <w:bottom w:w="0" w:type="dxa"/>
              <w:right w:w="0" w:type="dxa"/>
            </w:tcMar>
            <w:vAlign w:val="center"/>
          </w:tcPr>
          <w:p w14:paraId="52008A99" w14:textId="081CB359"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788</w:t>
            </w:r>
          </w:p>
        </w:tc>
        <w:tc>
          <w:tcPr>
            <w:tcW w:w="445" w:type="pct"/>
            <w:shd w:val="clear" w:color="auto" w:fill="auto"/>
            <w:tcMar>
              <w:top w:w="0" w:type="dxa"/>
              <w:left w:w="0" w:type="dxa"/>
              <w:bottom w:w="0" w:type="dxa"/>
              <w:right w:w="0" w:type="dxa"/>
            </w:tcMar>
            <w:vAlign w:val="center"/>
          </w:tcPr>
          <w:p w14:paraId="79D1E080" w14:textId="6F0AEB52"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19.6</w:t>
            </w:r>
          </w:p>
        </w:tc>
        <w:tc>
          <w:tcPr>
            <w:tcW w:w="49" w:type="pct"/>
            <w:shd w:val="clear" w:color="auto" w:fill="auto"/>
            <w:tcMar>
              <w:top w:w="0" w:type="dxa"/>
              <w:left w:w="0" w:type="dxa"/>
              <w:bottom w:w="0" w:type="dxa"/>
              <w:right w:w="0" w:type="dxa"/>
            </w:tcMar>
            <w:vAlign w:val="center"/>
          </w:tcPr>
          <w:p w14:paraId="039E954D" w14:textId="77777777" w:rsidR="00FE3B92" w:rsidRPr="00785DBA" w:rsidRDefault="00FE3B92" w:rsidP="00FE3B92">
            <w:pPr>
              <w:spacing w:after="0" w:line="276" w:lineRule="auto"/>
              <w:jc w:val="right"/>
              <w:rPr>
                <w:rFonts w:ascii="Arial" w:eastAsia="Times New Roman" w:hAnsi="Arial" w:cs="Arial"/>
                <w:sz w:val="16"/>
                <w:szCs w:val="16"/>
                <w:lang w:eastAsia="en-AU"/>
              </w:rPr>
            </w:pPr>
          </w:p>
        </w:tc>
        <w:tc>
          <w:tcPr>
            <w:tcW w:w="586" w:type="pct"/>
            <w:shd w:val="clear" w:color="auto" w:fill="auto"/>
            <w:tcMar>
              <w:top w:w="0" w:type="dxa"/>
              <w:left w:w="0" w:type="dxa"/>
              <w:bottom w:w="0" w:type="dxa"/>
              <w:right w:w="0" w:type="dxa"/>
            </w:tcMar>
            <w:vAlign w:val="center"/>
          </w:tcPr>
          <w:p w14:paraId="75D255C1" w14:textId="1B79B5AC"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88</w:t>
            </w:r>
          </w:p>
        </w:tc>
        <w:tc>
          <w:tcPr>
            <w:tcW w:w="539" w:type="pct"/>
            <w:shd w:val="clear" w:color="auto" w:fill="auto"/>
            <w:tcMar>
              <w:top w:w="0" w:type="dxa"/>
              <w:left w:w="0" w:type="dxa"/>
              <w:bottom w:w="0" w:type="dxa"/>
              <w:right w:w="0" w:type="dxa"/>
            </w:tcMar>
            <w:vAlign w:val="center"/>
          </w:tcPr>
          <w:p w14:paraId="2130C274" w14:textId="25C4E761"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22.6</w:t>
            </w:r>
          </w:p>
        </w:tc>
        <w:tc>
          <w:tcPr>
            <w:tcW w:w="49" w:type="pct"/>
            <w:shd w:val="clear" w:color="auto" w:fill="auto"/>
            <w:tcMar>
              <w:top w:w="0" w:type="dxa"/>
              <w:left w:w="0" w:type="dxa"/>
              <w:bottom w:w="0" w:type="dxa"/>
              <w:right w:w="0" w:type="dxa"/>
            </w:tcMar>
            <w:vAlign w:val="center"/>
          </w:tcPr>
          <w:p w14:paraId="66A0A0FF" w14:textId="77777777" w:rsidR="00FE3B92" w:rsidRPr="00785DBA" w:rsidRDefault="00FE3B92" w:rsidP="00FE3B92">
            <w:pPr>
              <w:spacing w:after="0" w:line="276" w:lineRule="auto"/>
              <w:jc w:val="right"/>
              <w:rPr>
                <w:rFonts w:ascii="Arial" w:eastAsia="Times New Roman" w:hAnsi="Arial" w:cs="Arial"/>
                <w:sz w:val="16"/>
                <w:szCs w:val="16"/>
                <w:lang w:eastAsia="en-AU"/>
              </w:rPr>
            </w:pPr>
          </w:p>
        </w:tc>
        <w:tc>
          <w:tcPr>
            <w:tcW w:w="463" w:type="pct"/>
            <w:shd w:val="clear" w:color="auto" w:fill="auto"/>
            <w:tcMar>
              <w:top w:w="0" w:type="dxa"/>
              <w:left w:w="0" w:type="dxa"/>
              <w:bottom w:w="0" w:type="dxa"/>
              <w:right w:w="0" w:type="dxa"/>
            </w:tcMar>
            <w:vAlign w:val="center"/>
          </w:tcPr>
          <w:p w14:paraId="3B4D5411" w14:textId="25379DBD"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1,650</w:t>
            </w:r>
          </w:p>
        </w:tc>
        <w:tc>
          <w:tcPr>
            <w:tcW w:w="443" w:type="pct"/>
            <w:shd w:val="clear" w:color="auto" w:fill="auto"/>
            <w:tcMar>
              <w:top w:w="0" w:type="dxa"/>
              <w:left w:w="0" w:type="dxa"/>
              <w:bottom w:w="0" w:type="dxa"/>
              <w:right w:w="0" w:type="dxa"/>
            </w:tcMar>
            <w:vAlign w:val="center"/>
          </w:tcPr>
          <w:p w14:paraId="209EEC91" w14:textId="7E981388"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19.1</w:t>
            </w:r>
          </w:p>
        </w:tc>
      </w:tr>
      <w:tr w:rsidR="00FE3B92" w:rsidRPr="00617599" w14:paraId="0918ACA8" w14:textId="77777777" w:rsidTr="00FE3B92">
        <w:trPr>
          <w:trHeight w:val="284"/>
        </w:trPr>
        <w:tc>
          <w:tcPr>
            <w:tcW w:w="1007" w:type="pct"/>
            <w:shd w:val="clear" w:color="auto" w:fill="auto"/>
            <w:tcMar>
              <w:top w:w="0" w:type="dxa"/>
              <w:left w:w="0" w:type="dxa"/>
              <w:bottom w:w="0" w:type="dxa"/>
              <w:right w:w="0" w:type="dxa"/>
            </w:tcMar>
            <w:vAlign w:val="bottom"/>
            <w:hideMark/>
          </w:tcPr>
          <w:p w14:paraId="17B54E4D" w14:textId="77777777" w:rsidR="00FE3B92" w:rsidRPr="00617599" w:rsidRDefault="00FE3B92" w:rsidP="00FE3B92">
            <w:pPr>
              <w:spacing w:after="0" w:line="276" w:lineRule="auto"/>
              <w:rPr>
                <w:rFonts w:ascii="Arial" w:eastAsia="Times New Roman" w:hAnsi="Arial" w:cs="Arial"/>
                <w:sz w:val="16"/>
                <w:szCs w:val="16"/>
                <w:lang w:eastAsia="en-AU"/>
              </w:rPr>
            </w:pPr>
            <w:r>
              <w:rPr>
                <w:rFonts w:ascii="Arial" w:hAnsi="Arial" w:cs="Arial"/>
                <w:color w:val="000000"/>
                <w:sz w:val="16"/>
                <w:szCs w:val="16"/>
              </w:rPr>
              <w:t>≥45</w:t>
            </w:r>
          </w:p>
        </w:tc>
        <w:tc>
          <w:tcPr>
            <w:tcW w:w="463" w:type="pct"/>
            <w:shd w:val="clear" w:color="auto" w:fill="auto"/>
            <w:tcMar>
              <w:top w:w="0" w:type="dxa"/>
              <w:left w:w="0" w:type="dxa"/>
              <w:bottom w:w="0" w:type="dxa"/>
              <w:right w:w="0" w:type="dxa"/>
            </w:tcMar>
            <w:vAlign w:val="center"/>
          </w:tcPr>
          <w:p w14:paraId="21899493" w14:textId="4683730D"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422</w:t>
            </w:r>
          </w:p>
        </w:tc>
        <w:tc>
          <w:tcPr>
            <w:tcW w:w="444" w:type="pct"/>
            <w:shd w:val="clear" w:color="auto" w:fill="auto"/>
            <w:tcMar>
              <w:top w:w="0" w:type="dxa"/>
              <w:left w:w="0" w:type="dxa"/>
              <w:bottom w:w="0" w:type="dxa"/>
              <w:right w:w="0" w:type="dxa"/>
            </w:tcMar>
            <w:vAlign w:val="center"/>
          </w:tcPr>
          <w:p w14:paraId="36159283" w14:textId="57349500"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10.0</w:t>
            </w:r>
          </w:p>
        </w:tc>
        <w:tc>
          <w:tcPr>
            <w:tcW w:w="49" w:type="pct"/>
            <w:shd w:val="clear" w:color="auto" w:fill="auto"/>
            <w:tcMar>
              <w:top w:w="0" w:type="dxa"/>
              <w:left w:w="0" w:type="dxa"/>
              <w:bottom w:w="0" w:type="dxa"/>
              <w:right w:w="0" w:type="dxa"/>
            </w:tcMar>
            <w:vAlign w:val="center"/>
          </w:tcPr>
          <w:p w14:paraId="74A26D86" w14:textId="7E754E30"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63" w:type="pct"/>
            <w:shd w:val="clear" w:color="auto" w:fill="auto"/>
            <w:tcMar>
              <w:top w:w="0" w:type="dxa"/>
              <w:left w:w="0" w:type="dxa"/>
              <w:bottom w:w="0" w:type="dxa"/>
              <w:right w:w="0" w:type="dxa"/>
            </w:tcMar>
            <w:vAlign w:val="center"/>
          </w:tcPr>
          <w:p w14:paraId="1650A7E4" w14:textId="48E802FB"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470</w:t>
            </w:r>
          </w:p>
        </w:tc>
        <w:tc>
          <w:tcPr>
            <w:tcW w:w="445" w:type="pct"/>
            <w:shd w:val="clear" w:color="auto" w:fill="auto"/>
            <w:tcMar>
              <w:top w:w="0" w:type="dxa"/>
              <w:left w:w="0" w:type="dxa"/>
              <w:bottom w:w="0" w:type="dxa"/>
              <w:right w:w="0" w:type="dxa"/>
            </w:tcMar>
            <w:vAlign w:val="center"/>
          </w:tcPr>
          <w:p w14:paraId="2F459332" w14:textId="023D0780"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11.7</w:t>
            </w:r>
          </w:p>
        </w:tc>
        <w:tc>
          <w:tcPr>
            <w:tcW w:w="49" w:type="pct"/>
            <w:shd w:val="clear" w:color="auto" w:fill="auto"/>
            <w:tcMar>
              <w:top w:w="0" w:type="dxa"/>
              <w:left w:w="0" w:type="dxa"/>
              <w:bottom w:w="0" w:type="dxa"/>
              <w:right w:w="0" w:type="dxa"/>
            </w:tcMar>
            <w:vAlign w:val="center"/>
          </w:tcPr>
          <w:p w14:paraId="1B2CB5F0" w14:textId="77777777" w:rsidR="00FE3B92" w:rsidRPr="00785DBA" w:rsidRDefault="00FE3B92" w:rsidP="00FE3B92">
            <w:pPr>
              <w:spacing w:after="0" w:line="276" w:lineRule="auto"/>
              <w:jc w:val="right"/>
              <w:rPr>
                <w:rFonts w:ascii="Arial" w:eastAsia="Times New Roman" w:hAnsi="Arial" w:cs="Arial"/>
                <w:sz w:val="16"/>
                <w:szCs w:val="16"/>
                <w:lang w:eastAsia="en-AU"/>
              </w:rPr>
            </w:pPr>
          </w:p>
        </w:tc>
        <w:tc>
          <w:tcPr>
            <w:tcW w:w="586" w:type="pct"/>
            <w:shd w:val="clear" w:color="auto" w:fill="auto"/>
            <w:tcMar>
              <w:top w:w="0" w:type="dxa"/>
              <w:left w:w="0" w:type="dxa"/>
              <w:bottom w:w="0" w:type="dxa"/>
              <w:right w:w="0" w:type="dxa"/>
            </w:tcMar>
            <w:vAlign w:val="center"/>
          </w:tcPr>
          <w:p w14:paraId="1D4C8AB0" w14:textId="5F8C3878"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100</w:t>
            </w:r>
          </w:p>
        </w:tc>
        <w:tc>
          <w:tcPr>
            <w:tcW w:w="539" w:type="pct"/>
            <w:shd w:val="clear" w:color="auto" w:fill="auto"/>
            <w:tcMar>
              <w:top w:w="0" w:type="dxa"/>
              <w:left w:w="0" w:type="dxa"/>
              <w:bottom w:w="0" w:type="dxa"/>
              <w:right w:w="0" w:type="dxa"/>
            </w:tcMar>
            <w:vAlign w:val="center"/>
          </w:tcPr>
          <w:p w14:paraId="1C7134E4" w14:textId="5C1F6454"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25.7</w:t>
            </w:r>
          </w:p>
        </w:tc>
        <w:tc>
          <w:tcPr>
            <w:tcW w:w="49" w:type="pct"/>
            <w:shd w:val="clear" w:color="auto" w:fill="auto"/>
            <w:tcMar>
              <w:top w:w="0" w:type="dxa"/>
              <w:left w:w="0" w:type="dxa"/>
              <w:bottom w:w="0" w:type="dxa"/>
              <w:right w:w="0" w:type="dxa"/>
            </w:tcMar>
            <w:vAlign w:val="center"/>
          </w:tcPr>
          <w:p w14:paraId="3E06D616" w14:textId="77777777" w:rsidR="00FE3B92" w:rsidRPr="00785DBA" w:rsidRDefault="00FE3B92" w:rsidP="00FE3B92">
            <w:pPr>
              <w:spacing w:after="0" w:line="276" w:lineRule="auto"/>
              <w:jc w:val="right"/>
              <w:rPr>
                <w:rFonts w:ascii="Arial" w:eastAsia="Times New Roman" w:hAnsi="Arial" w:cs="Arial"/>
                <w:sz w:val="16"/>
                <w:szCs w:val="16"/>
                <w:lang w:eastAsia="en-AU"/>
              </w:rPr>
            </w:pPr>
          </w:p>
        </w:tc>
        <w:tc>
          <w:tcPr>
            <w:tcW w:w="463" w:type="pct"/>
            <w:shd w:val="clear" w:color="auto" w:fill="auto"/>
            <w:tcMar>
              <w:top w:w="0" w:type="dxa"/>
              <w:left w:w="0" w:type="dxa"/>
              <w:bottom w:w="0" w:type="dxa"/>
              <w:right w:w="0" w:type="dxa"/>
            </w:tcMar>
            <w:vAlign w:val="center"/>
          </w:tcPr>
          <w:p w14:paraId="274FD9DE" w14:textId="447CCA62"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992</w:t>
            </w:r>
          </w:p>
        </w:tc>
        <w:tc>
          <w:tcPr>
            <w:tcW w:w="443" w:type="pct"/>
            <w:shd w:val="clear" w:color="auto" w:fill="auto"/>
            <w:tcMar>
              <w:top w:w="0" w:type="dxa"/>
              <w:left w:w="0" w:type="dxa"/>
              <w:bottom w:w="0" w:type="dxa"/>
              <w:right w:w="0" w:type="dxa"/>
            </w:tcMar>
            <w:vAlign w:val="center"/>
          </w:tcPr>
          <w:p w14:paraId="3D65E540" w14:textId="26B3C9AF"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11.5</w:t>
            </w:r>
          </w:p>
        </w:tc>
      </w:tr>
      <w:tr w:rsidR="00FE3B92" w:rsidRPr="00617599" w14:paraId="32533489" w14:textId="77777777" w:rsidTr="00FE3B92">
        <w:trPr>
          <w:trHeight w:val="284"/>
        </w:trPr>
        <w:tc>
          <w:tcPr>
            <w:tcW w:w="1007" w:type="pct"/>
            <w:shd w:val="clear" w:color="auto" w:fill="auto"/>
            <w:tcMar>
              <w:top w:w="0" w:type="dxa"/>
              <w:left w:w="0" w:type="dxa"/>
              <w:bottom w:w="0" w:type="dxa"/>
              <w:right w:w="0" w:type="dxa"/>
            </w:tcMar>
            <w:vAlign w:val="bottom"/>
            <w:hideMark/>
          </w:tcPr>
          <w:p w14:paraId="12A46BCC" w14:textId="77777777" w:rsidR="00FE3B92" w:rsidRPr="002E6DA8" w:rsidRDefault="00FE3B92" w:rsidP="00FE3B92">
            <w:pPr>
              <w:spacing w:after="0" w:line="276" w:lineRule="auto"/>
              <w:rPr>
                <w:rFonts w:ascii="Arial" w:eastAsia="Times New Roman" w:hAnsi="Arial" w:cs="Arial"/>
                <w:sz w:val="16"/>
                <w:szCs w:val="16"/>
                <w:lang w:eastAsia="en-AU"/>
              </w:rPr>
            </w:pPr>
            <w:r>
              <w:rPr>
                <w:rFonts w:ascii="Arial" w:hAnsi="Arial" w:cs="Arial"/>
                <w:color w:val="000000"/>
                <w:sz w:val="16"/>
                <w:szCs w:val="16"/>
              </w:rPr>
              <w:t>Not stated</w:t>
            </w:r>
          </w:p>
        </w:tc>
        <w:tc>
          <w:tcPr>
            <w:tcW w:w="463" w:type="pct"/>
            <w:shd w:val="clear" w:color="auto" w:fill="auto"/>
            <w:tcMar>
              <w:top w:w="0" w:type="dxa"/>
              <w:left w:w="0" w:type="dxa"/>
              <w:bottom w:w="0" w:type="dxa"/>
              <w:right w:w="0" w:type="dxa"/>
            </w:tcMar>
            <w:vAlign w:val="center"/>
          </w:tcPr>
          <w:p w14:paraId="48C81E84" w14:textId="501230D7"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678</w:t>
            </w:r>
          </w:p>
        </w:tc>
        <w:tc>
          <w:tcPr>
            <w:tcW w:w="444" w:type="pct"/>
            <w:shd w:val="clear" w:color="auto" w:fill="auto"/>
            <w:tcMar>
              <w:top w:w="0" w:type="dxa"/>
              <w:left w:w="0" w:type="dxa"/>
              <w:bottom w:w="0" w:type="dxa"/>
              <w:right w:w="0" w:type="dxa"/>
            </w:tcMar>
            <w:vAlign w:val="center"/>
          </w:tcPr>
          <w:p w14:paraId="40478AA4" w14:textId="48AB1D1E"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16.1</w:t>
            </w:r>
          </w:p>
        </w:tc>
        <w:tc>
          <w:tcPr>
            <w:tcW w:w="49" w:type="pct"/>
            <w:shd w:val="clear" w:color="auto" w:fill="auto"/>
            <w:tcMar>
              <w:top w:w="0" w:type="dxa"/>
              <w:left w:w="0" w:type="dxa"/>
              <w:bottom w:w="0" w:type="dxa"/>
              <w:right w:w="0" w:type="dxa"/>
            </w:tcMar>
            <w:vAlign w:val="center"/>
          </w:tcPr>
          <w:p w14:paraId="139E8382" w14:textId="38174624"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63" w:type="pct"/>
            <w:shd w:val="clear" w:color="auto" w:fill="auto"/>
            <w:tcMar>
              <w:top w:w="0" w:type="dxa"/>
              <w:left w:w="0" w:type="dxa"/>
              <w:bottom w:w="0" w:type="dxa"/>
              <w:right w:w="0" w:type="dxa"/>
            </w:tcMar>
            <w:vAlign w:val="center"/>
          </w:tcPr>
          <w:p w14:paraId="4327C21B" w14:textId="37FAFEC0"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200</w:t>
            </w:r>
          </w:p>
        </w:tc>
        <w:tc>
          <w:tcPr>
            <w:tcW w:w="445" w:type="pct"/>
            <w:shd w:val="clear" w:color="auto" w:fill="auto"/>
            <w:tcMar>
              <w:top w:w="0" w:type="dxa"/>
              <w:left w:w="0" w:type="dxa"/>
              <w:bottom w:w="0" w:type="dxa"/>
              <w:right w:w="0" w:type="dxa"/>
            </w:tcMar>
            <w:vAlign w:val="center"/>
          </w:tcPr>
          <w:p w14:paraId="674E6245" w14:textId="66F88B9E"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5.0</w:t>
            </w:r>
          </w:p>
        </w:tc>
        <w:tc>
          <w:tcPr>
            <w:tcW w:w="49" w:type="pct"/>
            <w:shd w:val="clear" w:color="auto" w:fill="auto"/>
            <w:tcMar>
              <w:top w:w="0" w:type="dxa"/>
              <w:left w:w="0" w:type="dxa"/>
              <w:bottom w:w="0" w:type="dxa"/>
              <w:right w:w="0" w:type="dxa"/>
            </w:tcMar>
            <w:vAlign w:val="center"/>
          </w:tcPr>
          <w:p w14:paraId="451CD073" w14:textId="77777777" w:rsidR="00FE3B92" w:rsidRPr="00785DBA" w:rsidRDefault="00FE3B92" w:rsidP="00FE3B92">
            <w:pPr>
              <w:spacing w:after="0" w:line="276" w:lineRule="auto"/>
              <w:jc w:val="right"/>
              <w:rPr>
                <w:rFonts w:ascii="Arial" w:eastAsia="Times New Roman" w:hAnsi="Arial" w:cs="Arial"/>
                <w:sz w:val="16"/>
                <w:szCs w:val="16"/>
                <w:lang w:eastAsia="en-AU"/>
              </w:rPr>
            </w:pPr>
          </w:p>
        </w:tc>
        <w:tc>
          <w:tcPr>
            <w:tcW w:w="586" w:type="pct"/>
            <w:shd w:val="clear" w:color="auto" w:fill="auto"/>
            <w:tcMar>
              <w:top w:w="0" w:type="dxa"/>
              <w:left w:w="0" w:type="dxa"/>
              <w:bottom w:w="0" w:type="dxa"/>
              <w:right w:w="0" w:type="dxa"/>
            </w:tcMar>
            <w:vAlign w:val="center"/>
          </w:tcPr>
          <w:p w14:paraId="7D75AE61" w14:textId="5BFDD45A"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68</w:t>
            </w:r>
          </w:p>
        </w:tc>
        <w:tc>
          <w:tcPr>
            <w:tcW w:w="539" w:type="pct"/>
            <w:shd w:val="clear" w:color="auto" w:fill="auto"/>
            <w:tcMar>
              <w:top w:w="0" w:type="dxa"/>
              <w:left w:w="0" w:type="dxa"/>
              <w:bottom w:w="0" w:type="dxa"/>
              <w:right w:w="0" w:type="dxa"/>
            </w:tcMar>
            <w:vAlign w:val="center"/>
          </w:tcPr>
          <w:p w14:paraId="26AFC0F1" w14:textId="2B0C0B80"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17.5</w:t>
            </w:r>
          </w:p>
        </w:tc>
        <w:tc>
          <w:tcPr>
            <w:tcW w:w="49" w:type="pct"/>
            <w:shd w:val="clear" w:color="auto" w:fill="auto"/>
            <w:tcMar>
              <w:top w:w="0" w:type="dxa"/>
              <w:left w:w="0" w:type="dxa"/>
              <w:bottom w:w="0" w:type="dxa"/>
              <w:right w:w="0" w:type="dxa"/>
            </w:tcMar>
            <w:vAlign w:val="center"/>
          </w:tcPr>
          <w:p w14:paraId="3F89A136" w14:textId="77777777" w:rsidR="00FE3B92" w:rsidRPr="00785DBA" w:rsidRDefault="00FE3B92" w:rsidP="00FE3B92">
            <w:pPr>
              <w:spacing w:after="0" w:line="276" w:lineRule="auto"/>
              <w:jc w:val="right"/>
              <w:rPr>
                <w:rFonts w:ascii="Arial" w:eastAsia="Times New Roman" w:hAnsi="Arial" w:cs="Arial"/>
                <w:sz w:val="16"/>
                <w:szCs w:val="16"/>
                <w:lang w:eastAsia="en-AU"/>
              </w:rPr>
            </w:pPr>
          </w:p>
        </w:tc>
        <w:tc>
          <w:tcPr>
            <w:tcW w:w="463" w:type="pct"/>
            <w:shd w:val="clear" w:color="auto" w:fill="auto"/>
            <w:tcMar>
              <w:top w:w="0" w:type="dxa"/>
              <w:left w:w="0" w:type="dxa"/>
              <w:bottom w:w="0" w:type="dxa"/>
              <w:right w:w="0" w:type="dxa"/>
            </w:tcMar>
            <w:vAlign w:val="center"/>
          </w:tcPr>
          <w:p w14:paraId="1DFA6F48" w14:textId="566D1432"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946</w:t>
            </w:r>
          </w:p>
        </w:tc>
        <w:tc>
          <w:tcPr>
            <w:tcW w:w="443" w:type="pct"/>
            <w:shd w:val="clear" w:color="auto" w:fill="auto"/>
            <w:tcMar>
              <w:top w:w="0" w:type="dxa"/>
              <w:left w:w="0" w:type="dxa"/>
              <w:bottom w:w="0" w:type="dxa"/>
              <w:right w:w="0" w:type="dxa"/>
            </w:tcMar>
            <w:vAlign w:val="center"/>
          </w:tcPr>
          <w:p w14:paraId="2B8BEEC1" w14:textId="4895C541" w:rsidR="00FE3B92" w:rsidRPr="00785DBA" w:rsidRDefault="00FE3B92" w:rsidP="00FE3B92">
            <w:pPr>
              <w:spacing w:after="0" w:line="276" w:lineRule="auto"/>
              <w:jc w:val="right"/>
              <w:rPr>
                <w:rFonts w:ascii="Arial" w:eastAsia="Times New Roman" w:hAnsi="Arial" w:cs="Arial"/>
                <w:sz w:val="16"/>
                <w:szCs w:val="16"/>
                <w:lang w:eastAsia="en-AU"/>
              </w:rPr>
            </w:pPr>
            <w:r>
              <w:rPr>
                <w:rFonts w:ascii="Arial" w:hAnsi="Arial" w:cs="Arial"/>
                <w:sz w:val="16"/>
                <w:szCs w:val="16"/>
              </w:rPr>
              <w:t>11.0</w:t>
            </w:r>
          </w:p>
        </w:tc>
      </w:tr>
      <w:tr w:rsidR="00FE3B92" w:rsidRPr="00617599" w14:paraId="45305A5B" w14:textId="77777777" w:rsidTr="00FE3B92">
        <w:trPr>
          <w:trHeight w:val="284"/>
        </w:trPr>
        <w:tc>
          <w:tcPr>
            <w:tcW w:w="1007" w:type="pct"/>
            <w:tcBorders>
              <w:bottom w:val="single" w:sz="12" w:space="0" w:color="auto"/>
            </w:tcBorders>
            <w:shd w:val="clear" w:color="auto" w:fill="auto"/>
            <w:tcMar>
              <w:top w:w="0" w:type="dxa"/>
              <w:left w:w="0" w:type="dxa"/>
              <w:bottom w:w="0" w:type="dxa"/>
              <w:right w:w="0" w:type="dxa"/>
            </w:tcMar>
            <w:vAlign w:val="bottom"/>
            <w:hideMark/>
          </w:tcPr>
          <w:p w14:paraId="3D133E1E" w14:textId="77777777" w:rsidR="00FE3B92" w:rsidRPr="00087467" w:rsidRDefault="00FE3B92" w:rsidP="00FE3B92">
            <w:pPr>
              <w:spacing w:after="0" w:line="276" w:lineRule="auto"/>
              <w:rPr>
                <w:rFonts w:ascii="Arial" w:eastAsia="Times New Roman" w:hAnsi="Arial" w:cs="Arial"/>
                <w:b/>
                <w:sz w:val="16"/>
                <w:szCs w:val="16"/>
                <w:lang w:eastAsia="en-AU"/>
              </w:rPr>
            </w:pPr>
            <w:r>
              <w:rPr>
                <w:rFonts w:ascii="Arial" w:hAnsi="Arial" w:cs="Arial"/>
                <w:b/>
                <w:bCs/>
                <w:color w:val="000000"/>
                <w:sz w:val="16"/>
                <w:szCs w:val="16"/>
              </w:rPr>
              <w:t>Total</w:t>
            </w:r>
          </w:p>
        </w:tc>
        <w:tc>
          <w:tcPr>
            <w:tcW w:w="463" w:type="pct"/>
            <w:tcBorders>
              <w:bottom w:val="single" w:sz="12" w:space="0" w:color="auto"/>
            </w:tcBorders>
            <w:shd w:val="clear" w:color="auto" w:fill="auto"/>
            <w:tcMar>
              <w:top w:w="0" w:type="dxa"/>
              <w:left w:w="0" w:type="dxa"/>
              <w:bottom w:w="0" w:type="dxa"/>
              <w:right w:w="0" w:type="dxa"/>
            </w:tcMar>
            <w:vAlign w:val="center"/>
          </w:tcPr>
          <w:p w14:paraId="2642D047" w14:textId="0A2ED6FD"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4,219</w:t>
            </w:r>
          </w:p>
        </w:tc>
        <w:tc>
          <w:tcPr>
            <w:tcW w:w="444" w:type="pct"/>
            <w:tcBorders>
              <w:bottom w:val="single" w:sz="12" w:space="0" w:color="auto"/>
            </w:tcBorders>
            <w:shd w:val="clear" w:color="auto" w:fill="auto"/>
            <w:tcMar>
              <w:top w:w="0" w:type="dxa"/>
              <w:left w:w="0" w:type="dxa"/>
              <w:bottom w:w="0" w:type="dxa"/>
              <w:right w:w="0" w:type="dxa"/>
            </w:tcMar>
            <w:vAlign w:val="center"/>
          </w:tcPr>
          <w:p w14:paraId="6C3D034A" w14:textId="3ED55C83"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9" w:type="pct"/>
            <w:tcBorders>
              <w:bottom w:val="single" w:sz="12" w:space="0" w:color="auto"/>
            </w:tcBorders>
            <w:shd w:val="clear" w:color="auto" w:fill="auto"/>
            <w:tcMar>
              <w:top w:w="0" w:type="dxa"/>
              <w:left w:w="0" w:type="dxa"/>
              <w:bottom w:w="0" w:type="dxa"/>
              <w:right w:w="0" w:type="dxa"/>
            </w:tcMar>
            <w:vAlign w:val="center"/>
          </w:tcPr>
          <w:p w14:paraId="7BB4235E" w14:textId="275FAE1C"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63" w:type="pct"/>
            <w:tcBorders>
              <w:bottom w:val="single" w:sz="12" w:space="0" w:color="auto"/>
            </w:tcBorders>
            <w:shd w:val="clear" w:color="auto" w:fill="auto"/>
            <w:tcMar>
              <w:top w:w="0" w:type="dxa"/>
              <w:left w:w="0" w:type="dxa"/>
              <w:bottom w:w="0" w:type="dxa"/>
              <w:right w:w="0" w:type="dxa"/>
            </w:tcMar>
            <w:vAlign w:val="center"/>
          </w:tcPr>
          <w:p w14:paraId="48BDC628" w14:textId="71D290B0"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4,028</w:t>
            </w:r>
          </w:p>
        </w:tc>
        <w:tc>
          <w:tcPr>
            <w:tcW w:w="445" w:type="pct"/>
            <w:tcBorders>
              <w:bottom w:val="single" w:sz="12" w:space="0" w:color="auto"/>
            </w:tcBorders>
            <w:shd w:val="clear" w:color="auto" w:fill="auto"/>
            <w:tcMar>
              <w:top w:w="0" w:type="dxa"/>
              <w:left w:w="0" w:type="dxa"/>
              <w:bottom w:w="0" w:type="dxa"/>
              <w:right w:w="0" w:type="dxa"/>
            </w:tcMar>
            <w:vAlign w:val="center"/>
          </w:tcPr>
          <w:p w14:paraId="3367D3DC" w14:textId="13C760E1"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9" w:type="pct"/>
            <w:tcBorders>
              <w:bottom w:val="single" w:sz="12" w:space="0" w:color="auto"/>
            </w:tcBorders>
            <w:shd w:val="clear" w:color="auto" w:fill="auto"/>
            <w:tcMar>
              <w:top w:w="0" w:type="dxa"/>
              <w:left w:w="0" w:type="dxa"/>
              <w:bottom w:w="0" w:type="dxa"/>
              <w:right w:w="0" w:type="dxa"/>
            </w:tcMar>
            <w:vAlign w:val="center"/>
          </w:tcPr>
          <w:p w14:paraId="313764E8" w14:textId="6D18F42D"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586" w:type="pct"/>
            <w:tcBorders>
              <w:bottom w:val="single" w:sz="12" w:space="0" w:color="auto"/>
            </w:tcBorders>
            <w:shd w:val="clear" w:color="auto" w:fill="auto"/>
            <w:tcMar>
              <w:top w:w="0" w:type="dxa"/>
              <w:left w:w="0" w:type="dxa"/>
              <w:bottom w:w="0" w:type="dxa"/>
              <w:right w:w="0" w:type="dxa"/>
            </w:tcMar>
            <w:vAlign w:val="center"/>
          </w:tcPr>
          <w:p w14:paraId="3526E4C9" w14:textId="195E6A5D"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389</w:t>
            </w:r>
          </w:p>
        </w:tc>
        <w:tc>
          <w:tcPr>
            <w:tcW w:w="539" w:type="pct"/>
            <w:tcBorders>
              <w:bottom w:val="single" w:sz="12" w:space="0" w:color="auto"/>
            </w:tcBorders>
            <w:shd w:val="clear" w:color="auto" w:fill="auto"/>
            <w:tcMar>
              <w:top w:w="0" w:type="dxa"/>
              <w:left w:w="0" w:type="dxa"/>
              <w:bottom w:w="0" w:type="dxa"/>
              <w:right w:w="0" w:type="dxa"/>
            </w:tcMar>
            <w:vAlign w:val="center"/>
          </w:tcPr>
          <w:p w14:paraId="3023B7F4" w14:textId="1D1CEFBB"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9" w:type="pct"/>
            <w:tcBorders>
              <w:bottom w:val="single" w:sz="12" w:space="0" w:color="auto"/>
            </w:tcBorders>
            <w:shd w:val="clear" w:color="auto" w:fill="auto"/>
            <w:tcMar>
              <w:top w:w="0" w:type="dxa"/>
              <w:left w:w="0" w:type="dxa"/>
              <w:bottom w:w="0" w:type="dxa"/>
              <w:right w:w="0" w:type="dxa"/>
            </w:tcMar>
            <w:vAlign w:val="center"/>
          </w:tcPr>
          <w:p w14:paraId="6554E9AC" w14:textId="1D615D3E"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63" w:type="pct"/>
            <w:tcBorders>
              <w:bottom w:val="single" w:sz="12" w:space="0" w:color="auto"/>
            </w:tcBorders>
            <w:shd w:val="clear" w:color="auto" w:fill="auto"/>
            <w:tcMar>
              <w:top w:w="0" w:type="dxa"/>
              <w:left w:w="0" w:type="dxa"/>
              <w:bottom w:w="0" w:type="dxa"/>
              <w:right w:w="0" w:type="dxa"/>
            </w:tcMar>
            <w:vAlign w:val="center"/>
          </w:tcPr>
          <w:p w14:paraId="05956A1E" w14:textId="5A329FE0"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8,636</w:t>
            </w:r>
          </w:p>
        </w:tc>
        <w:tc>
          <w:tcPr>
            <w:tcW w:w="443" w:type="pct"/>
            <w:tcBorders>
              <w:bottom w:val="single" w:sz="12" w:space="0" w:color="auto"/>
            </w:tcBorders>
            <w:shd w:val="clear" w:color="auto" w:fill="auto"/>
            <w:tcMar>
              <w:top w:w="0" w:type="dxa"/>
              <w:left w:w="0" w:type="dxa"/>
              <w:bottom w:w="0" w:type="dxa"/>
              <w:right w:w="0" w:type="dxa"/>
            </w:tcMar>
            <w:vAlign w:val="center"/>
          </w:tcPr>
          <w:p w14:paraId="5014B353" w14:textId="357951AA" w:rsidR="00FE3B92" w:rsidRPr="00785DBA" w:rsidRDefault="00FE3B92" w:rsidP="00FE3B92">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r>
    </w:tbl>
    <w:p w14:paraId="6B0741C7" w14:textId="77777777" w:rsidR="00560E73" w:rsidRPr="00617599" w:rsidRDefault="00560E73" w:rsidP="00814AD1">
      <w:pPr>
        <w:pStyle w:val="TableSourcefootnotes"/>
        <w:numPr>
          <w:ilvl w:val="0"/>
          <w:numId w:val="26"/>
        </w:numPr>
        <w:tabs>
          <w:tab w:val="left" w:pos="284"/>
        </w:tabs>
        <w:spacing w:before="0" w:after="0" w:line="240" w:lineRule="auto"/>
        <w:rPr>
          <w:rFonts w:cs="Arial"/>
        </w:rPr>
      </w:pPr>
      <w:r w:rsidRPr="00617599">
        <w:rPr>
          <w:rFonts w:cs="Arial"/>
        </w:rPr>
        <w:t>Age at start of treatment cycle.</w:t>
      </w:r>
    </w:p>
    <w:p w14:paraId="10735EA4" w14:textId="77777777" w:rsidR="00560E73" w:rsidRDefault="00560E73" w:rsidP="00560E73">
      <w:pPr>
        <w:pStyle w:val="TableSourcefootnotes"/>
        <w:tabs>
          <w:tab w:val="left" w:pos="7290"/>
        </w:tabs>
        <w:spacing w:before="0" w:after="0" w:line="240" w:lineRule="auto"/>
        <w:rPr>
          <w:rFonts w:cs="Arial"/>
        </w:rPr>
      </w:pPr>
      <w:r w:rsidRPr="00617599">
        <w:rPr>
          <w:rFonts w:cs="Arial"/>
          <w:i/>
        </w:rPr>
        <w:t>Note</w:t>
      </w:r>
      <w:r w:rsidRPr="00617599">
        <w:rPr>
          <w:rFonts w:cs="Arial"/>
        </w:rPr>
        <w:t>: Data are collected for each treatment cycle. Therefore, some individuals may be counted more than once.</w:t>
      </w:r>
      <w:r w:rsidRPr="00617599">
        <w:rPr>
          <w:rFonts w:cs="Arial"/>
        </w:rPr>
        <w:tab/>
      </w:r>
    </w:p>
    <w:p w14:paraId="2A6C3527" w14:textId="1B2E94E6" w:rsidR="009303CD" w:rsidRPr="00617599" w:rsidRDefault="009303CD" w:rsidP="009303CD">
      <w:pPr>
        <w:pStyle w:val="Heading3"/>
        <w:rPr>
          <w:rFonts w:cs="Arial"/>
          <w:highlight w:val="yellow"/>
        </w:rPr>
      </w:pPr>
      <w:r w:rsidRPr="00617599">
        <w:rPr>
          <w:rFonts w:cs="Arial"/>
          <w:b w:val="0"/>
          <w:bCs w:val="0"/>
          <w:highlight w:val="yellow"/>
        </w:rPr>
        <w:br w:type="page"/>
      </w:r>
      <w:bookmarkStart w:id="230" w:name="_Toc453061460"/>
      <w:bookmarkStart w:id="231" w:name="_Toc453059057"/>
      <w:bookmarkStart w:id="232" w:name="_Toc453057389"/>
      <w:bookmarkStart w:id="233" w:name="_Toc453055604"/>
      <w:bookmarkStart w:id="234" w:name="_Toc453054830"/>
      <w:r w:rsidRPr="00617599">
        <w:rPr>
          <w:rFonts w:cs="Arial"/>
        </w:rPr>
        <w:lastRenderedPageBreak/>
        <w:t>Parity</w:t>
      </w:r>
      <w:bookmarkEnd w:id="230"/>
      <w:bookmarkEnd w:id="231"/>
      <w:bookmarkEnd w:id="232"/>
      <w:bookmarkEnd w:id="233"/>
      <w:bookmarkEnd w:id="234"/>
    </w:p>
    <w:p w14:paraId="143FED51" w14:textId="26A9F853" w:rsidR="009303CD" w:rsidRPr="002251E5" w:rsidRDefault="009303CD" w:rsidP="009303CD">
      <w:pPr>
        <w:pStyle w:val="NPESUbodytext"/>
        <w:rPr>
          <w:rFonts w:cs="Arial"/>
          <w:color w:val="FF0000"/>
          <w:lang w:eastAsia="en-AU"/>
        </w:rPr>
      </w:pPr>
      <w:r w:rsidRPr="00617599">
        <w:rPr>
          <w:rFonts w:cs="Arial"/>
          <w:lang w:eastAsia="en-AU"/>
        </w:rPr>
        <w:t>Parity is the number of previous pregnancies of 20 weeks or more gestation experienced by a woman. A woman who has had no previous pregnancies of 20 or more weeks gestation is called nulliparous. A woman who has had at least one previous pregnancy of 20 weeks or more gestation is described as pa</w:t>
      </w:r>
      <w:r w:rsidRPr="0051071F">
        <w:rPr>
          <w:rFonts w:cs="Arial"/>
          <w:lang w:eastAsia="en-AU"/>
        </w:rPr>
        <w:t xml:space="preserve">rous. </w:t>
      </w:r>
      <w:r w:rsidR="00562209" w:rsidRPr="00952173">
        <w:rPr>
          <w:rFonts w:cs="Arial"/>
          <w:lang w:eastAsia="en-AU"/>
        </w:rPr>
        <w:t xml:space="preserve">Where parity was </w:t>
      </w:r>
      <w:r w:rsidR="00666B04" w:rsidRPr="00952173">
        <w:rPr>
          <w:rFonts w:cs="Arial"/>
          <w:lang w:eastAsia="en-AU"/>
        </w:rPr>
        <w:t>stated</w:t>
      </w:r>
      <w:r w:rsidR="00562209" w:rsidRPr="00952173">
        <w:rPr>
          <w:rFonts w:cs="Arial"/>
          <w:lang w:eastAsia="en-AU"/>
        </w:rPr>
        <w:t xml:space="preserve">, </w:t>
      </w:r>
      <w:r w:rsidR="008668F0">
        <w:rPr>
          <w:rFonts w:cs="Arial"/>
          <w:lang w:eastAsia="en-AU"/>
        </w:rPr>
        <w:t>53.5</w:t>
      </w:r>
      <w:r w:rsidR="00562209" w:rsidRPr="00952173">
        <w:rPr>
          <w:rFonts w:cs="Arial"/>
          <w:lang w:eastAsia="en-AU"/>
        </w:rPr>
        <w:t xml:space="preserve">% of autologous cycles compared with </w:t>
      </w:r>
      <w:r w:rsidR="008668F0">
        <w:rPr>
          <w:rFonts w:cs="Arial"/>
          <w:lang w:eastAsia="en-AU"/>
        </w:rPr>
        <w:t>51.7</w:t>
      </w:r>
      <w:r w:rsidR="00562209" w:rsidRPr="00952173">
        <w:rPr>
          <w:rFonts w:cs="Arial"/>
          <w:lang w:eastAsia="en-AU"/>
        </w:rPr>
        <w:t xml:space="preserve">% of oocyte/embryo recipient cycles, were undertaken by nulliparous women </w:t>
      </w:r>
      <w:r w:rsidRPr="00952173">
        <w:rPr>
          <w:rFonts w:cs="Arial"/>
          <w:lang w:eastAsia="en-AU"/>
        </w:rPr>
        <w:t xml:space="preserve">(Table </w:t>
      </w:r>
      <w:r w:rsidR="00266213">
        <w:rPr>
          <w:rFonts w:cs="Arial"/>
          <w:lang w:eastAsia="en-AU"/>
        </w:rPr>
        <w:t>6</w:t>
      </w:r>
      <w:r w:rsidRPr="00952173">
        <w:rPr>
          <w:rFonts w:cs="Arial"/>
          <w:lang w:eastAsia="en-AU"/>
        </w:rPr>
        <w:t>).</w:t>
      </w:r>
    </w:p>
    <w:tbl>
      <w:tblPr>
        <w:tblW w:w="5000" w:type="pct"/>
        <w:tblCellMar>
          <w:top w:w="15" w:type="dxa"/>
          <w:left w:w="15" w:type="dxa"/>
          <w:bottom w:w="15" w:type="dxa"/>
          <w:right w:w="15" w:type="dxa"/>
        </w:tblCellMar>
        <w:tblLook w:val="04A0" w:firstRow="1" w:lastRow="0" w:firstColumn="1" w:lastColumn="0" w:noHBand="0" w:noVBand="1"/>
      </w:tblPr>
      <w:tblGrid>
        <w:gridCol w:w="1182"/>
        <w:gridCol w:w="802"/>
        <w:gridCol w:w="951"/>
        <w:gridCol w:w="97"/>
        <w:gridCol w:w="950"/>
        <w:gridCol w:w="951"/>
        <w:gridCol w:w="88"/>
        <w:gridCol w:w="986"/>
        <w:gridCol w:w="843"/>
        <w:gridCol w:w="161"/>
        <w:gridCol w:w="1013"/>
        <w:gridCol w:w="1002"/>
      </w:tblGrid>
      <w:tr w:rsidR="00ED0969" w:rsidRPr="00617599" w14:paraId="0E0963C2" w14:textId="77777777" w:rsidTr="008436D1">
        <w:trPr>
          <w:tblHeader/>
        </w:trPr>
        <w:tc>
          <w:tcPr>
            <w:tcW w:w="5000" w:type="pct"/>
            <w:gridSpan w:val="12"/>
            <w:tcBorders>
              <w:bottom w:val="single" w:sz="12" w:space="0" w:color="auto"/>
            </w:tcBorders>
            <w:shd w:val="clear" w:color="auto" w:fill="auto"/>
            <w:tcMar>
              <w:top w:w="0" w:type="dxa"/>
              <w:left w:w="0" w:type="dxa"/>
              <w:bottom w:w="0" w:type="dxa"/>
              <w:right w:w="0" w:type="dxa"/>
            </w:tcMar>
            <w:vAlign w:val="center"/>
            <w:hideMark/>
          </w:tcPr>
          <w:p w14:paraId="737FEF39" w14:textId="77D18852" w:rsidR="00ED0969" w:rsidRPr="00617599" w:rsidRDefault="00ED0969" w:rsidP="00360E75">
            <w:pPr>
              <w:pStyle w:val="Caption"/>
              <w:spacing w:before="60" w:line="260" w:lineRule="atLeast"/>
              <w:rPr>
                <w:rFonts w:eastAsia="Times New Roman"/>
                <w:lang w:eastAsia="en-AU"/>
              </w:rPr>
            </w:pPr>
            <w:bookmarkStart w:id="235" w:name="_Toc158026555"/>
            <w:r w:rsidRPr="00617599">
              <w:rPr>
                <w:rFonts w:eastAsia="Times New Roman"/>
                <w:lang w:eastAsia="en-AU"/>
              </w:rPr>
              <w:t xml:space="preserve">Table </w:t>
            </w:r>
            <w:r w:rsidR="00D3711C">
              <w:rPr>
                <w:rFonts w:eastAsia="Times New Roman"/>
                <w:lang w:eastAsia="en-AU"/>
              </w:rPr>
              <w:t>6</w:t>
            </w:r>
            <w:r w:rsidRPr="00617599">
              <w:rPr>
                <w:rFonts w:eastAsia="Times New Roman"/>
                <w:lang w:eastAsia="en-AU"/>
              </w:rPr>
              <w:t xml:space="preserve">: Number of autologous and recipient cycles by parity and treatment type, </w:t>
            </w:r>
            <w:r w:rsidR="00A501CE">
              <w:rPr>
                <w:rFonts w:eastAsia="Times New Roman"/>
                <w:lang w:eastAsia="en-AU"/>
              </w:rPr>
              <w:t>New Zealand, 20</w:t>
            </w:r>
            <w:r w:rsidR="00A434CE">
              <w:rPr>
                <w:rFonts w:eastAsia="Times New Roman"/>
                <w:lang w:eastAsia="en-AU"/>
              </w:rPr>
              <w:t>2</w:t>
            </w:r>
            <w:r w:rsidR="00FA50A3">
              <w:rPr>
                <w:rFonts w:eastAsia="Times New Roman"/>
                <w:lang w:eastAsia="en-AU"/>
              </w:rPr>
              <w:t>1</w:t>
            </w:r>
            <w:bookmarkEnd w:id="235"/>
            <w:r w:rsidR="00A501CE">
              <w:rPr>
                <w:rFonts w:eastAsia="Times New Roman"/>
                <w:lang w:eastAsia="en-AU"/>
              </w:rPr>
              <w:t xml:space="preserve"> </w:t>
            </w:r>
          </w:p>
        </w:tc>
      </w:tr>
      <w:tr w:rsidR="00ED0969" w:rsidRPr="00617599" w14:paraId="50291BA7" w14:textId="77777777" w:rsidTr="00FA50A3">
        <w:trPr>
          <w:trHeight w:val="284"/>
          <w:tblHeader/>
        </w:trPr>
        <w:tc>
          <w:tcPr>
            <w:tcW w:w="655" w:type="pct"/>
            <w:tcBorders>
              <w:top w:val="single" w:sz="12" w:space="0" w:color="auto"/>
            </w:tcBorders>
            <w:shd w:val="clear" w:color="auto" w:fill="auto"/>
            <w:tcMar>
              <w:top w:w="0" w:type="dxa"/>
              <w:left w:w="0" w:type="dxa"/>
              <w:bottom w:w="0" w:type="dxa"/>
              <w:right w:w="0" w:type="dxa"/>
            </w:tcMar>
            <w:vAlign w:val="center"/>
            <w:hideMark/>
          </w:tcPr>
          <w:p w14:paraId="1944BB4E" w14:textId="77777777" w:rsidR="00ED0969" w:rsidRPr="00617599" w:rsidRDefault="00ED0969" w:rsidP="00360E75">
            <w:pPr>
              <w:spacing w:after="0" w:line="276" w:lineRule="auto"/>
              <w:rPr>
                <w:rFonts w:ascii="Arial" w:eastAsia="Times New Roman" w:hAnsi="Arial" w:cs="Arial"/>
                <w:sz w:val="16"/>
                <w:szCs w:val="16"/>
                <w:lang w:eastAsia="en-AU"/>
              </w:rPr>
            </w:pPr>
          </w:p>
        </w:tc>
        <w:tc>
          <w:tcPr>
            <w:tcW w:w="2078" w:type="pct"/>
            <w:gridSpan w:val="5"/>
            <w:tcBorders>
              <w:top w:val="single" w:sz="12" w:space="0" w:color="auto"/>
              <w:bottom w:val="single" w:sz="6" w:space="0" w:color="808080"/>
            </w:tcBorders>
            <w:shd w:val="clear" w:color="auto" w:fill="auto"/>
            <w:tcMar>
              <w:top w:w="0" w:type="dxa"/>
              <w:left w:w="0" w:type="dxa"/>
              <w:bottom w:w="0" w:type="dxa"/>
              <w:right w:w="0" w:type="dxa"/>
            </w:tcMar>
            <w:vAlign w:val="center"/>
            <w:hideMark/>
          </w:tcPr>
          <w:p w14:paraId="7CD27127"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Autologous</w:t>
            </w:r>
          </w:p>
        </w:tc>
        <w:tc>
          <w:tcPr>
            <w:tcW w:w="49" w:type="pct"/>
            <w:tcBorders>
              <w:top w:val="single" w:sz="4" w:space="0" w:color="auto"/>
            </w:tcBorders>
            <w:shd w:val="clear" w:color="auto" w:fill="auto"/>
            <w:tcMar>
              <w:top w:w="0" w:type="dxa"/>
              <w:left w:w="0" w:type="dxa"/>
              <w:bottom w:w="0" w:type="dxa"/>
              <w:right w:w="0" w:type="dxa"/>
            </w:tcMar>
            <w:vAlign w:val="center"/>
            <w:hideMark/>
          </w:tcPr>
          <w:p w14:paraId="304BF2DC"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2219" w:type="pct"/>
            <w:gridSpan w:val="5"/>
            <w:tcBorders>
              <w:top w:val="single" w:sz="4" w:space="0" w:color="auto"/>
            </w:tcBorders>
            <w:shd w:val="clear" w:color="auto" w:fill="auto"/>
            <w:tcMar>
              <w:top w:w="0" w:type="dxa"/>
              <w:left w:w="0" w:type="dxa"/>
              <w:bottom w:w="0" w:type="dxa"/>
              <w:right w:w="0" w:type="dxa"/>
            </w:tcMar>
            <w:vAlign w:val="center"/>
            <w:hideMark/>
          </w:tcPr>
          <w:p w14:paraId="6CB0A7FA"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p>
        </w:tc>
      </w:tr>
      <w:tr w:rsidR="00ED0969" w:rsidRPr="00617599" w14:paraId="34753C93" w14:textId="77777777" w:rsidTr="00FA50A3">
        <w:trPr>
          <w:trHeight w:val="284"/>
          <w:tblHeader/>
        </w:trPr>
        <w:tc>
          <w:tcPr>
            <w:tcW w:w="655" w:type="pct"/>
            <w:shd w:val="clear" w:color="auto" w:fill="auto"/>
            <w:tcMar>
              <w:top w:w="0" w:type="dxa"/>
              <w:left w:w="0" w:type="dxa"/>
              <w:bottom w:w="0" w:type="dxa"/>
              <w:right w:w="0" w:type="dxa"/>
            </w:tcMar>
            <w:vAlign w:val="center"/>
            <w:hideMark/>
          </w:tcPr>
          <w:p w14:paraId="5416BCFE" w14:textId="77777777" w:rsidR="00ED0969" w:rsidRPr="00617599" w:rsidRDefault="00ED0969" w:rsidP="00360E75">
            <w:pPr>
              <w:spacing w:after="0" w:line="276" w:lineRule="auto"/>
              <w:jc w:val="center"/>
              <w:rPr>
                <w:rFonts w:ascii="Arial" w:eastAsia="Times New Roman" w:hAnsi="Arial" w:cs="Arial"/>
                <w:sz w:val="16"/>
                <w:szCs w:val="16"/>
                <w:lang w:eastAsia="en-AU"/>
              </w:rPr>
            </w:pPr>
          </w:p>
        </w:tc>
        <w:tc>
          <w:tcPr>
            <w:tcW w:w="971" w:type="pct"/>
            <w:gridSpan w:val="2"/>
            <w:tcBorders>
              <w:bottom w:val="single" w:sz="6" w:space="0" w:color="808080"/>
            </w:tcBorders>
            <w:shd w:val="clear" w:color="auto" w:fill="auto"/>
            <w:tcMar>
              <w:top w:w="0" w:type="dxa"/>
              <w:left w:w="0" w:type="dxa"/>
              <w:bottom w:w="0" w:type="dxa"/>
              <w:right w:w="0" w:type="dxa"/>
            </w:tcMar>
            <w:vAlign w:val="center"/>
            <w:hideMark/>
          </w:tcPr>
          <w:p w14:paraId="075D48A0"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Fresh</w:t>
            </w:r>
          </w:p>
        </w:tc>
        <w:tc>
          <w:tcPr>
            <w:tcW w:w="54" w:type="pct"/>
            <w:shd w:val="clear" w:color="auto" w:fill="auto"/>
            <w:tcMar>
              <w:top w:w="0" w:type="dxa"/>
              <w:left w:w="0" w:type="dxa"/>
              <w:bottom w:w="0" w:type="dxa"/>
              <w:right w:w="0" w:type="dxa"/>
            </w:tcMar>
            <w:vAlign w:val="center"/>
            <w:hideMark/>
          </w:tcPr>
          <w:p w14:paraId="20B7C844"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1053" w:type="pct"/>
            <w:gridSpan w:val="2"/>
            <w:tcBorders>
              <w:bottom w:val="single" w:sz="6" w:space="0" w:color="808080"/>
            </w:tcBorders>
            <w:shd w:val="clear" w:color="auto" w:fill="auto"/>
            <w:tcMar>
              <w:top w:w="0" w:type="dxa"/>
              <w:left w:w="0" w:type="dxa"/>
              <w:bottom w:w="0" w:type="dxa"/>
              <w:right w:w="0" w:type="dxa"/>
            </w:tcMar>
            <w:vAlign w:val="center"/>
            <w:hideMark/>
          </w:tcPr>
          <w:p w14:paraId="458A9DA3"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Thaw</w:t>
            </w:r>
          </w:p>
        </w:tc>
        <w:tc>
          <w:tcPr>
            <w:tcW w:w="49" w:type="pct"/>
            <w:shd w:val="clear" w:color="auto" w:fill="auto"/>
            <w:tcMar>
              <w:top w:w="0" w:type="dxa"/>
              <w:left w:w="0" w:type="dxa"/>
              <w:bottom w:w="0" w:type="dxa"/>
              <w:right w:w="0" w:type="dxa"/>
            </w:tcMar>
            <w:vAlign w:val="center"/>
            <w:hideMark/>
          </w:tcPr>
          <w:p w14:paraId="71CE543F"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1013" w:type="pct"/>
            <w:gridSpan w:val="2"/>
            <w:tcBorders>
              <w:bottom w:val="single" w:sz="6" w:space="0" w:color="808080"/>
            </w:tcBorders>
            <w:shd w:val="clear" w:color="auto" w:fill="auto"/>
            <w:tcMar>
              <w:top w:w="0" w:type="dxa"/>
              <w:left w:w="0" w:type="dxa"/>
              <w:bottom w:w="0" w:type="dxa"/>
              <w:right w:w="0" w:type="dxa"/>
            </w:tcMar>
            <w:vAlign w:val="center"/>
            <w:hideMark/>
          </w:tcPr>
          <w:p w14:paraId="1382F385"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Oocyte/Embryo Recipient</w:t>
            </w:r>
          </w:p>
        </w:tc>
        <w:tc>
          <w:tcPr>
            <w:tcW w:w="89" w:type="pct"/>
            <w:shd w:val="clear" w:color="auto" w:fill="auto"/>
            <w:tcMar>
              <w:top w:w="0" w:type="dxa"/>
              <w:left w:w="0" w:type="dxa"/>
              <w:bottom w:w="0" w:type="dxa"/>
              <w:right w:w="0" w:type="dxa"/>
            </w:tcMar>
            <w:vAlign w:val="center"/>
            <w:hideMark/>
          </w:tcPr>
          <w:p w14:paraId="21C4E7E5"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1116" w:type="pct"/>
            <w:gridSpan w:val="2"/>
            <w:tcBorders>
              <w:bottom w:val="single" w:sz="6" w:space="0" w:color="808080"/>
            </w:tcBorders>
            <w:shd w:val="clear" w:color="auto" w:fill="auto"/>
            <w:tcMar>
              <w:top w:w="0" w:type="dxa"/>
              <w:left w:w="0" w:type="dxa"/>
              <w:bottom w:w="0" w:type="dxa"/>
              <w:right w:w="0" w:type="dxa"/>
            </w:tcMar>
            <w:vAlign w:val="center"/>
            <w:hideMark/>
          </w:tcPr>
          <w:p w14:paraId="1A0106F9"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All</w:t>
            </w:r>
          </w:p>
        </w:tc>
      </w:tr>
      <w:tr w:rsidR="00346F6D" w:rsidRPr="00617599" w14:paraId="2BF68149" w14:textId="77777777" w:rsidTr="00FA50A3">
        <w:trPr>
          <w:trHeight w:val="284"/>
          <w:tblHeader/>
        </w:trPr>
        <w:tc>
          <w:tcPr>
            <w:tcW w:w="655" w:type="pct"/>
            <w:tcBorders>
              <w:bottom w:val="single" w:sz="6" w:space="0" w:color="808080"/>
            </w:tcBorders>
            <w:shd w:val="clear" w:color="auto" w:fill="auto"/>
            <w:tcMar>
              <w:top w:w="0" w:type="dxa"/>
              <w:left w:w="0" w:type="dxa"/>
              <w:bottom w:w="0" w:type="dxa"/>
              <w:right w:w="0" w:type="dxa"/>
            </w:tcMar>
            <w:vAlign w:val="center"/>
            <w:hideMark/>
          </w:tcPr>
          <w:p w14:paraId="10A19D23" w14:textId="77777777" w:rsidR="00EC4BB6" w:rsidRPr="00617599" w:rsidRDefault="00EC4BB6" w:rsidP="00360E75">
            <w:pPr>
              <w:spacing w:after="0" w:line="276" w:lineRule="auto"/>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Parity</w:t>
            </w:r>
          </w:p>
        </w:tc>
        <w:tc>
          <w:tcPr>
            <w:tcW w:w="444" w:type="pct"/>
            <w:tcBorders>
              <w:bottom w:val="single" w:sz="6" w:space="0" w:color="808080"/>
            </w:tcBorders>
            <w:shd w:val="clear" w:color="auto" w:fill="auto"/>
            <w:tcMar>
              <w:top w:w="0" w:type="dxa"/>
              <w:left w:w="0" w:type="dxa"/>
              <w:bottom w:w="0" w:type="dxa"/>
              <w:right w:w="0" w:type="dxa"/>
            </w:tcMar>
            <w:vAlign w:val="center"/>
            <w:hideMark/>
          </w:tcPr>
          <w:p w14:paraId="2315F101" w14:textId="550C4A6E"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527" w:type="pct"/>
            <w:tcBorders>
              <w:bottom w:val="single" w:sz="6" w:space="0" w:color="808080"/>
            </w:tcBorders>
            <w:shd w:val="clear" w:color="auto" w:fill="auto"/>
            <w:tcMar>
              <w:top w:w="0" w:type="dxa"/>
              <w:left w:w="0" w:type="dxa"/>
              <w:bottom w:w="0" w:type="dxa"/>
              <w:right w:w="0" w:type="dxa"/>
            </w:tcMar>
            <w:vAlign w:val="center"/>
            <w:hideMark/>
          </w:tcPr>
          <w:p w14:paraId="1BCB6A10" w14:textId="53905146"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54" w:type="pct"/>
            <w:tcBorders>
              <w:bottom w:val="single" w:sz="6" w:space="0" w:color="808080"/>
            </w:tcBorders>
            <w:shd w:val="clear" w:color="auto" w:fill="auto"/>
            <w:tcMar>
              <w:top w:w="0" w:type="dxa"/>
              <w:left w:w="0" w:type="dxa"/>
              <w:bottom w:w="0" w:type="dxa"/>
              <w:right w:w="0" w:type="dxa"/>
            </w:tcMar>
            <w:vAlign w:val="center"/>
            <w:hideMark/>
          </w:tcPr>
          <w:p w14:paraId="65B0B237"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526" w:type="pct"/>
            <w:tcBorders>
              <w:bottom w:val="single" w:sz="6" w:space="0" w:color="808080"/>
            </w:tcBorders>
            <w:shd w:val="clear" w:color="auto" w:fill="auto"/>
            <w:tcMar>
              <w:top w:w="0" w:type="dxa"/>
              <w:left w:w="0" w:type="dxa"/>
              <w:bottom w:w="0" w:type="dxa"/>
              <w:right w:w="0" w:type="dxa"/>
            </w:tcMar>
            <w:vAlign w:val="center"/>
            <w:hideMark/>
          </w:tcPr>
          <w:p w14:paraId="46B1CFFB" w14:textId="628AD92C"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527" w:type="pct"/>
            <w:tcBorders>
              <w:bottom w:val="single" w:sz="6" w:space="0" w:color="808080"/>
            </w:tcBorders>
            <w:shd w:val="clear" w:color="auto" w:fill="auto"/>
            <w:tcMar>
              <w:top w:w="0" w:type="dxa"/>
              <w:left w:w="0" w:type="dxa"/>
              <w:bottom w:w="0" w:type="dxa"/>
              <w:right w:w="0" w:type="dxa"/>
            </w:tcMar>
            <w:vAlign w:val="center"/>
            <w:hideMark/>
          </w:tcPr>
          <w:p w14:paraId="2E84AE85" w14:textId="03BA58A9"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auto"/>
            <w:tcMar>
              <w:top w:w="0" w:type="dxa"/>
              <w:left w:w="0" w:type="dxa"/>
              <w:bottom w:w="0" w:type="dxa"/>
              <w:right w:w="0" w:type="dxa"/>
            </w:tcMar>
            <w:vAlign w:val="center"/>
            <w:hideMark/>
          </w:tcPr>
          <w:p w14:paraId="3327F218"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546" w:type="pct"/>
            <w:tcBorders>
              <w:bottom w:val="single" w:sz="6" w:space="0" w:color="808080"/>
            </w:tcBorders>
            <w:shd w:val="clear" w:color="auto" w:fill="auto"/>
            <w:tcMar>
              <w:top w:w="0" w:type="dxa"/>
              <w:left w:w="0" w:type="dxa"/>
              <w:bottom w:w="0" w:type="dxa"/>
              <w:right w:w="0" w:type="dxa"/>
            </w:tcMar>
            <w:vAlign w:val="center"/>
            <w:hideMark/>
          </w:tcPr>
          <w:p w14:paraId="1E7F4B07" w14:textId="1EE7FF8C"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67" w:type="pct"/>
            <w:tcBorders>
              <w:bottom w:val="single" w:sz="6" w:space="0" w:color="808080"/>
            </w:tcBorders>
            <w:shd w:val="clear" w:color="auto" w:fill="auto"/>
            <w:tcMar>
              <w:top w:w="0" w:type="dxa"/>
              <w:left w:w="0" w:type="dxa"/>
              <w:bottom w:w="0" w:type="dxa"/>
              <w:right w:w="0" w:type="dxa"/>
            </w:tcMar>
            <w:vAlign w:val="center"/>
            <w:hideMark/>
          </w:tcPr>
          <w:p w14:paraId="146E09E3" w14:textId="45436185"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89" w:type="pct"/>
            <w:tcBorders>
              <w:bottom w:val="single" w:sz="6" w:space="0" w:color="808080"/>
            </w:tcBorders>
            <w:shd w:val="clear" w:color="auto" w:fill="auto"/>
            <w:tcMar>
              <w:top w:w="0" w:type="dxa"/>
              <w:left w:w="0" w:type="dxa"/>
              <w:bottom w:w="0" w:type="dxa"/>
              <w:right w:w="0" w:type="dxa"/>
            </w:tcMar>
            <w:vAlign w:val="center"/>
            <w:hideMark/>
          </w:tcPr>
          <w:p w14:paraId="5C7E01BC"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561" w:type="pct"/>
            <w:tcBorders>
              <w:bottom w:val="single" w:sz="6" w:space="0" w:color="808080"/>
            </w:tcBorders>
            <w:shd w:val="clear" w:color="auto" w:fill="auto"/>
            <w:tcMar>
              <w:top w:w="0" w:type="dxa"/>
              <w:left w:w="0" w:type="dxa"/>
              <w:bottom w:w="0" w:type="dxa"/>
              <w:right w:w="0" w:type="dxa"/>
            </w:tcMar>
            <w:vAlign w:val="center"/>
            <w:hideMark/>
          </w:tcPr>
          <w:p w14:paraId="691572F2" w14:textId="450105FB"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555" w:type="pct"/>
            <w:tcBorders>
              <w:bottom w:val="single" w:sz="6" w:space="0" w:color="808080"/>
            </w:tcBorders>
            <w:shd w:val="clear" w:color="auto" w:fill="auto"/>
            <w:tcMar>
              <w:top w:w="0" w:type="dxa"/>
              <w:left w:w="0" w:type="dxa"/>
              <w:bottom w:w="0" w:type="dxa"/>
              <w:right w:w="0" w:type="dxa"/>
            </w:tcMar>
            <w:vAlign w:val="center"/>
            <w:hideMark/>
          </w:tcPr>
          <w:p w14:paraId="76E78C19" w14:textId="534F3FC8"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r>
      <w:tr w:rsidR="00FA50A3" w:rsidRPr="00617599" w14:paraId="313E4E0A" w14:textId="77777777" w:rsidTr="00FA50A3">
        <w:trPr>
          <w:trHeight w:val="284"/>
        </w:trPr>
        <w:tc>
          <w:tcPr>
            <w:tcW w:w="655" w:type="pct"/>
            <w:shd w:val="clear" w:color="auto" w:fill="auto"/>
            <w:tcMar>
              <w:top w:w="0" w:type="dxa"/>
              <w:left w:w="0" w:type="dxa"/>
              <w:bottom w:w="0" w:type="dxa"/>
              <w:right w:w="0" w:type="dxa"/>
            </w:tcMar>
            <w:vAlign w:val="center"/>
            <w:hideMark/>
          </w:tcPr>
          <w:p w14:paraId="2ACA9E12" w14:textId="6C28850E" w:rsidR="00FA50A3" w:rsidRPr="00651480" w:rsidRDefault="00FA50A3" w:rsidP="00FA50A3">
            <w:pPr>
              <w:spacing w:after="0" w:line="276" w:lineRule="auto"/>
              <w:rPr>
                <w:rFonts w:ascii="Arial" w:eastAsia="Times New Roman" w:hAnsi="Arial" w:cs="Arial"/>
                <w:sz w:val="16"/>
                <w:szCs w:val="16"/>
                <w:lang w:eastAsia="en-AU"/>
              </w:rPr>
            </w:pPr>
            <w:r>
              <w:rPr>
                <w:rFonts w:ascii="Arial" w:hAnsi="Arial" w:cs="Arial"/>
                <w:color w:val="000000"/>
                <w:sz w:val="16"/>
                <w:szCs w:val="16"/>
              </w:rPr>
              <w:t>Nulliparous</w:t>
            </w:r>
          </w:p>
        </w:tc>
        <w:tc>
          <w:tcPr>
            <w:tcW w:w="444" w:type="pct"/>
            <w:shd w:val="clear" w:color="auto" w:fill="auto"/>
            <w:tcMar>
              <w:top w:w="0" w:type="dxa"/>
              <w:left w:w="0" w:type="dxa"/>
              <w:bottom w:w="0" w:type="dxa"/>
              <w:right w:w="0" w:type="dxa"/>
            </w:tcMar>
            <w:vAlign w:val="center"/>
          </w:tcPr>
          <w:p w14:paraId="3A1ED621" w14:textId="3F2B8C30"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sz w:val="16"/>
                <w:szCs w:val="16"/>
              </w:rPr>
              <w:t>2,731</w:t>
            </w:r>
          </w:p>
        </w:tc>
        <w:tc>
          <w:tcPr>
            <w:tcW w:w="527" w:type="pct"/>
            <w:shd w:val="clear" w:color="auto" w:fill="auto"/>
            <w:tcMar>
              <w:top w:w="0" w:type="dxa"/>
              <w:left w:w="0" w:type="dxa"/>
              <w:bottom w:w="0" w:type="dxa"/>
              <w:right w:w="0" w:type="dxa"/>
            </w:tcMar>
            <w:vAlign w:val="center"/>
          </w:tcPr>
          <w:p w14:paraId="4C0995AA" w14:textId="1F015B4B"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sz w:val="16"/>
                <w:szCs w:val="16"/>
              </w:rPr>
              <w:t>64.7</w:t>
            </w:r>
          </w:p>
        </w:tc>
        <w:tc>
          <w:tcPr>
            <w:tcW w:w="54" w:type="pct"/>
            <w:shd w:val="clear" w:color="auto" w:fill="auto"/>
            <w:tcMar>
              <w:top w:w="0" w:type="dxa"/>
              <w:left w:w="0" w:type="dxa"/>
              <w:bottom w:w="0" w:type="dxa"/>
              <w:right w:w="0" w:type="dxa"/>
            </w:tcMar>
            <w:vAlign w:val="center"/>
          </w:tcPr>
          <w:p w14:paraId="26BF8741" w14:textId="202AC1F8" w:rsidR="00FA50A3" w:rsidRPr="00A434CE" w:rsidRDefault="00FA50A3" w:rsidP="00FA50A3">
            <w:pPr>
              <w:spacing w:after="0" w:line="276" w:lineRule="auto"/>
              <w:jc w:val="right"/>
              <w:rPr>
                <w:rFonts w:ascii="Arial" w:eastAsia="Times New Roman" w:hAnsi="Arial" w:cs="Arial"/>
                <w:sz w:val="16"/>
                <w:szCs w:val="16"/>
                <w:lang w:eastAsia="en-AU"/>
              </w:rPr>
            </w:pPr>
            <w:r w:rsidRPr="000D75B4">
              <w:rPr>
                <w:rFonts w:ascii="Arial" w:hAnsi="Arial" w:cs="Arial"/>
                <w:sz w:val="16"/>
                <w:szCs w:val="16"/>
              </w:rPr>
              <w:t> </w:t>
            </w:r>
          </w:p>
        </w:tc>
        <w:tc>
          <w:tcPr>
            <w:tcW w:w="526" w:type="pct"/>
            <w:shd w:val="clear" w:color="auto" w:fill="auto"/>
            <w:tcMar>
              <w:top w:w="0" w:type="dxa"/>
              <w:left w:w="0" w:type="dxa"/>
              <w:bottom w:w="0" w:type="dxa"/>
              <w:right w:w="0" w:type="dxa"/>
            </w:tcMar>
            <w:vAlign w:val="center"/>
          </w:tcPr>
          <w:p w14:paraId="1CB4A30E" w14:textId="0E6F769B"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sz w:val="16"/>
                <w:szCs w:val="16"/>
              </w:rPr>
              <w:t>1,685</w:t>
            </w:r>
          </w:p>
        </w:tc>
        <w:tc>
          <w:tcPr>
            <w:tcW w:w="527" w:type="pct"/>
            <w:shd w:val="clear" w:color="auto" w:fill="auto"/>
            <w:tcMar>
              <w:top w:w="0" w:type="dxa"/>
              <w:left w:w="0" w:type="dxa"/>
              <w:bottom w:w="0" w:type="dxa"/>
              <w:right w:w="0" w:type="dxa"/>
            </w:tcMar>
            <w:vAlign w:val="center"/>
          </w:tcPr>
          <w:p w14:paraId="58E00CC7" w14:textId="76A5C893"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sz w:val="16"/>
                <w:szCs w:val="16"/>
              </w:rPr>
              <w:t>41.8</w:t>
            </w:r>
          </w:p>
        </w:tc>
        <w:tc>
          <w:tcPr>
            <w:tcW w:w="49" w:type="pct"/>
            <w:shd w:val="clear" w:color="auto" w:fill="auto"/>
            <w:tcMar>
              <w:top w:w="0" w:type="dxa"/>
              <w:left w:w="0" w:type="dxa"/>
              <w:bottom w:w="0" w:type="dxa"/>
              <w:right w:w="0" w:type="dxa"/>
            </w:tcMar>
            <w:vAlign w:val="center"/>
          </w:tcPr>
          <w:p w14:paraId="26570D14" w14:textId="3ABFD371" w:rsidR="00FA50A3" w:rsidRPr="00A434CE" w:rsidRDefault="00FA50A3" w:rsidP="00FA50A3">
            <w:pPr>
              <w:spacing w:after="0" w:line="276" w:lineRule="auto"/>
              <w:jc w:val="right"/>
              <w:rPr>
                <w:rFonts w:ascii="Arial" w:eastAsia="Times New Roman" w:hAnsi="Arial" w:cs="Arial"/>
                <w:sz w:val="16"/>
                <w:szCs w:val="16"/>
                <w:lang w:eastAsia="en-AU"/>
              </w:rPr>
            </w:pPr>
            <w:r w:rsidRPr="000D75B4">
              <w:rPr>
                <w:rFonts w:ascii="Arial" w:hAnsi="Arial" w:cs="Arial"/>
                <w:sz w:val="16"/>
                <w:szCs w:val="16"/>
              </w:rPr>
              <w:t> </w:t>
            </w:r>
          </w:p>
        </w:tc>
        <w:tc>
          <w:tcPr>
            <w:tcW w:w="546" w:type="pct"/>
            <w:shd w:val="clear" w:color="auto" w:fill="auto"/>
            <w:tcMar>
              <w:top w:w="0" w:type="dxa"/>
              <w:left w:w="0" w:type="dxa"/>
              <w:bottom w:w="0" w:type="dxa"/>
              <w:right w:w="0" w:type="dxa"/>
            </w:tcMar>
            <w:vAlign w:val="center"/>
          </w:tcPr>
          <w:p w14:paraId="749D897C" w14:textId="0391DE2F"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201</w:t>
            </w:r>
          </w:p>
        </w:tc>
        <w:tc>
          <w:tcPr>
            <w:tcW w:w="467" w:type="pct"/>
            <w:shd w:val="clear" w:color="auto" w:fill="auto"/>
            <w:tcMar>
              <w:top w:w="0" w:type="dxa"/>
              <w:left w:w="0" w:type="dxa"/>
              <w:bottom w:w="0" w:type="dxa"/>
              <w:right w:w="0" w:type="dxa"/>
            </w:tcMar>
            <w:vAlign w:val="center"/>
          </w:tcPr>
          <w:p w14:paraId="5AB0565A" w14:textId="7F87CB8C"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sz w:val="16"/>
                <w:szCs w:val="16"/>
              </w:rPr>
              <w:t>51.7</w:t>
            </w:r>
          </w:p>
        </w:tc>
        <w:tc>
          <w:tcPr>
            <w:tcW w:w="89" w:type="pct"/>
            <w:shd w:val="clear" w:color="auto" w:fill="auto"/>
            <w:tcMar>
              <w:top w:w="0" w:type="dxa"/>
              <w:left w:w="0" w:type="dxa"/>
              <w:bottom w:w="0" w:type="dxa"/>
              <w:right w:w="0" w:type="dxa"/>
            </w:tcMar>
            <w:vAlign w:val="center"/>
          </w:tcPr>
          <w:p w14:paraId="39EDA1B9" w14:textId="40500597" w:rsidR="00FA50A3" w:rsidRPr="000D75B4" w:rsidRDefault="00FA50A3" w:rsidP="00FA50A3">
            <w:pPr>
              <w:spacing w:after="0" w:line="276" w:lineRule="auto"/>
              <w:jc w:val="right"/>
              <w:rPr>
                <w:rFonts w:ascii="Arial" w:eastAsia="Times New Roman" w:hAnsi="Arial" w:cs="Arial"/>
                <w:sz w:val="16"/>
                <w:szCs w:val="16"/>
                <w:lang w:eastAsia="en-AU"/>
              </w:rPr>
            </w:pPr>
            <w:r w:rsidRPr="000D75B4">
              <w:rPr>
                <w:rFonts w:ascii="Arial" w:hAnsi="Arial" w:cs="Arial"/>
                <w:sz w:val="16"/>
                <w:szCs w:val="16"/>
              </w:rPr>
              <w:t> </w:t>
            </w:r>
          </w:p>
        </w:tc>
        <w:tc>
          <w:tcPr>
            <w:tcW w:w="561" w:type="pct"/>
            <w:shd w:val="clear" w:color="auto" w:fill="auto"/>
            <w:tcMar>
              <w:top w:w="0" w:type="dxa"/>
              <w:left w:w="0" w:type="dxa"/>
              <w:bottom w:w="0" w:type="dxa"/>
              <w:right w:w="0" w:type="dxa"/>
            </w:tcMar>
            <w:vAlign w:val="center"/>
          </w:tcPr>
          <w:p w14:paraId="6C6206AD" w14:textId="694B0CAB"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4,617</w:t>
            </w:r>
          </w:p>
        </w:tc>
        <w:tc>
          <w:tcPr>
            <w:tcW w:w="555" w:type="pct"/>
            <w:shd w:val="clear" w:color="auto" w:fill="auto"/>
            <w:tcMar>
              <w:top w:w="0" w:type="dxa"/>
              <w:left w:w="0" w:type="dxa"/>
              <w:bottom w:w="0" w:type="dxa"/>
              <w:right w:w="0" w:type="dxa"/>
            </w:tcMar>
            <w:vAlign w:val="center"/>
          </w:tcPr>
          <w:p w14:paraId="07A71E33" w14:textId="3A22DF6A"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sz w:val="16"/>
                <w:szCs w:val="16"/>
              </w:rPr>
              <w:t>53.5</w:t>
            </w:r>
          </w:p>
        </w:tc>
      </w:tr>
      <w:tr w:rsidR="00FA50A3" w:rsidRPr="00617599" w14:paraId="6840BB4C" w14:textId="77777777" w:rsidTr="00FA50A3">
        <w:trPr>
          <w:trHeight w:val="284"/>
        </w:trPr>
        <w:tc>
          <w:tcPr>
            <w:tcW w:w="655" w:type="pct"/>
            <w:shd w:val="clear" w:color="auto" w:fill="auto"/>
            <w:tcMar>
              <w:top w:w="0" w:type="dxa"/>
              <w:left w:w="0" w:type="dxa"/>
              <w:bottom w:w="0" w:type="dxa"/>
              <w:right w:w="0" w:type="dxa"/>
            </w:tcMar>
            <w:vAlign w:val="center"/>
            <w:hideMark/>
          </w:tcPr>
          <w:p w14:paraId="3E44A25C" w14:textId="046DB036" w:rsidR="00FA50A3" w:rsidRPr="00651480" w:rsidRDefault="00FA50A3" w:rsidP="00FA50A3">
            <w:pPr>
              <w:spacing w:after="0" w:line="276" w:lineRule="auto"/>
              <w:rPr>
                <w:rFonts w:ascii="Arial" w:eastAsia="Times New Roman" w:hAnsi="Arial" w:cs="Arial"/>
                <w:sz w:val="16"/>
                <w:szCs w:val="16"/>
                <w:lang w:eastAsia="en-AU"/>
              </w:rPr>
            </w:pPr>
            <w:r>
              <w:rPr>
                <w:rFonts w:ascii="Arial" w:hAnsi="Arial" w:cs="Arial"/>
                <w:color w:val="000000"/>
                <w:sz w:val="16"/>
                <w:szCs w:val="16"/>
              </w:rPr>
              <w:t>Parous</w:t>
            </w:r>
          </w:p>
        </w:tc>
        <w:tc>
          <w:tcPr>
            <w:tcW w:w="444" w:type="pct"/>
            <w:shd w:val="clear" w:color="auto" w:fill="auto"/>
            <w:tcMar>
              <w:top w:w="0" w:type="dxa"/>
              <w:left w:w="0" w:type="dxa"/>
              <w:bottom w:w="0" w:type="dxa"/>
              <w:right w:w="0" w:type="dxa"/>
            </w:tcMar>
            <w:vAlign w:val="center"/>
          </w:tcPr>
          <w:p w14:paraId="6A157D42" w14:textId="41B3C019"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1,488</w:t>
            </w:r>
          </w:p>
        </w:tc>
        <w:tc>
          <w:tcPr>
            <w:tcW w:w="527" w:type="pct"/>
            <w:shd w:val="clear" w:color="auto" w:fill="auto"/>
            <w:tcMar>
              <w:top w:w="0" w:type="dxa"/>
              <w:left w:w="0" w:type="dxa"/>
              <w:bottom w:w="0" w:type="dxa"/>
              <w:right w:w="0" w:type="dxa"/>
            </w:tcMar>
            <w:vAlign w:val="center"/>
          </w:tcPr>
          <w:p w14:paraId="55734503" w14:textId="716FA9FD"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sz w:val="16"/>
                <w:szCs w:val="16"/>
              </w:rPr>
              <w:t>35.3</w:t>
            </w:r>
          </w:p>
        </w:tc>
        <w:tc>
          <w:tcPr>
            <w:tcW w:w="54" w:type="pct"/>
            <w:shd w:val="clear" w:color="auto" w:fill="auto"/>
            <w:tcMar>
              <w:top w:w="0" w:type="dxa"/>
              <w:left w:w="0" w:type="dxa"/>
              <w:bottom w:w="0" w:type="dxa"/>
              <w:right w:w="0" w:type="dxa"/>
            </w:tcMar>
            <w:vAlign w:val="center"/>
          </w:tcPr>
          <w:p w14:paraId="422B5D7B" w14:textId="4B7EC939" w:rsidR="00FA50A3" w:rsidRPr="00A434CE" w:rsidRDefault="00FA50A3" w:rsidP="00FA50A3">
            <w:pPr>
              <w:spacing w:after="0" w:line="276" w:lineRule="auto"/>
              <w:jc w:val="right"/>
              <w:rPr>
                <w:rFonts w:ascii="Arial" w:eastAsia="Times New Roman" w:hAnsi="Arial" w:cs="Arial"/>
                <w:sz w:val="16"/>
                <w:szCs w:val="16"/>
                <w:lang w:eastAsia="en-AU"/>
              </w:rPr>
            </w:pPr>
            <w:r w:rsidRPr="00A434CE">
              <w:rPr>
                <w:rFonts w:ascii="Arial" w:hAnsi="Arial" w:cs="Arial"/>
                <w:sz w:val="16"/>
                <w:szCs w:val="16"/>
              </w:rPr>
              <w:t> </w:t>
            </w:r>
          </w:p>
        </w:tc>
        <w:tc>
          <w:tcPr>
            <w:tcW w:w="526" w:type="pct"/>
            <w:shd w:val="clear" w:color="auto" w:fill="auto"/>
            <w:tcMar>
              <w:top w:w="0" w:type="dxa"/>
              <w:left w:w="0" w:type="dxa"/>
              <w:bottom w:w="0" w:type="dxa"/>
              <w:right w:w="0" w:type="dxa"/>
            </w:tcMar>
            <w:vAlign w:val="center"/>
          </w:tcPr>
          <w:p w14:paraId="14AE05E9" w14:textId="6F2F79AD"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2,343</w:t>
            </w:r>
          </w:p>
        </w:tc>
        <w:tc>
          <w:tcPr>
            <w:tcW w:w="527" w:type="pct"/>
            <w:shd w:val="clear" w:color="auto" w:fill="auto"/>
            <w:tcMar>
              <w:top w:w="0" w:type="dxa"/>
              <w:left w:w="0" w:type="dxa"/>
              <w:bottom w:w="0" w:type="dxa"/>
              <w:right w:w="0" w:type="dxa"/>
            </w:tcMar>
            <w:vAlign w:val="center"/>
          </w:tcPr>
          <w:p w14:paraId="73258765" w14:textId="5C979A17"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sz w:val="16"/>
                <w:szCs w:val="16"/>
              </w:rPr>
              <w:t>58.2</w:t>
            </w:r>
          </w:p>
        </w:tc>
        <w:tc>
          <w:tcPr>
            <w:tcW w:w="49" w:type="pct"/>
            <w:shd w:val="clear" w:color="auto" w:fill="auto"/>
            <w:tcMar>
              <w:top w:w="0" w:type="dxa"/>
              <w:left w:w="0" w:type="dxa"/>
              <w:bottom w:w="0" w:type="dxa"/>
              <w:right w:w="0" w:type="dxa"/>
            </w:tcMar>
            <w:vAlign w:val="center"/>
          </w:tcPr>
          <w:p w14:paraId="01C82009" w14:textId="60295166" w:rsidR="00FA50A3" w:rsidRPr="00A434CE" w:rsidRDefault="00FA50A3" w:rsidP="00FA50A3">
            <w:pPr>
              <w:spacing w:after="0" w:line="276" w:lineRule="auto"/>
              <w:jc w:val="right"/>
              <w:rPr>
                <w:rFonts w:ascii="Arial" w:eastAsia="Times New Roman" w:hAnsi="Arial" w:cs="Arial"/>
                <w:sz w:val="16"/>
                <w:szCs w:val="16"/>
                <w:lang w:eastAsia="en-AU"/>
              </w:rPr>
            </w:pPr>
          </w:p>
        </w:tc>
        <w:tc>
          <w:tcPr>
            <w:tcW w:w="546" w:type="pct"/>
            <w:shd w:val="clear" w:color="auto" w:fill="auto"/>
            <w:tcMar>
              <w:top w:w="0" w:type="dxa"/>
              <w:left w:w="0" w:type="dxa"/>
              <w:bottom w:w="0" w:type="dxa"/>
              <w:right w:w="0" w:type="dxa"/>
            </w:tcMar>
            <w:vAlign w:val="center"/>
          </w:tcPr>
          <w:p w14:paraId="7581B3EF" w14:textId="58521321"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188</w:t>
            </w:r>
          </w:p>
        </w:tc>
        <w:tc>
          <w:tcPr>
            <w:tcW w:w="467" w:type="pct"/>
            <w:shd w:val="clear" w:color="auto" w:fill="auto"/>
            <w:tcMar>
              <w:top w:w="0" w:type="dxa"/>
              <w:left w:w="0" w:type="dxa"/>
              <w:bottom w:w="0" w:type="dxa"/>
              <w:right w:w="0" w:type="dxa"/>
            </w:tcMar>
            <w:vAlign w:val="center"/>
          </w:tcPr>
          <w:p w14:paraId="0BE0E0A6" w14:textId="32EC98CD"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sz w:val="16"/>
                <w:szCs w:val="16"/>
              </w:rPr>
              <w:t>48.3</w:t>
            </w:r>
          </w:p>
        </w:tc>
        <w:tc>
          <w:tcPr>
            <w:tcW w:w="89" w:type="pct"/>
            <w:shd w:val="clear" w:color="auto" w:fill="auto"/>
            <w:tcMar>
              <w:top w:w="0" w:type="dxa"/>
              <w:left w:w="0" w:type="dxa"/>
              <w:bottom w:w="0" w:type="dxa"/>
              <w:right w:w="0" w:type="dxa"/>
            </w:tcMar>
            <w:vAlign w:val="center"/>
          </w:tcPr>
          <w:p w14:paraId="4D16FE6B" w14:textId="4F136622" w:rsidR="00FA50A3" w:rsidRPr="00A434CE" w:rsidRDefault="00FA50A3" w:rsidP="00FA50A3">
            <w:pPr>
              <w:spacing w:after="0" w:line="276" w:lineRule="auto"/>
              <w:jc w:val="right"/>
              <w:rPr>
                <w:rFonts w:ascii="Arial" w:eastAsia="Times New Roman" w:hAnsi="Arial" w:cs="Arial"/>
                <w:sz w:val="16"/>
                <w:szCs w:val="16"/>
                <w:lang w:eastAsia="en-AU"/>
              </w:rPr>
            </w:pPr>
          </w:p>
        </w:tc>
        <w:tc>
          <w:tcPr>
            <w:tcW w:w="561" w:type="pct"/>
            <w:shd w:val="clear" w:color="auto" w:fill="auto"/>
            <w:tcMar>
              <w:top w:w="0" w:type="dxa"/>
              <w:left w:w="0" w:type="dxa"/>
              <w:bottom w:w="0" w:type="dxa"/>
              <w:right w:w="0" w:type="dxa"/>
            </w:tcMar>
            <w:vAlign w:val="center"/>
          </w:tcPr>
          <w:p w14:paraId="062B3EF8" w14:textId="7B2C2562"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4,019</w:t>
            </w:r>
          </w:p>
        </w:tc>
        <w:tc>
          <w:tcPr>
            <w:tcW w:w="555" w:type="pct"/>
            <w:shd w:val="clear" w:color="auto" w:fill="auto"/>
            <w:tcMar>
              <w:top w:w="0" w:type="dxa"/>
              <w:left w:w="0" w:type="dxa"/>
              <w:bottom w:w="0" w:type="dxa"/>
              <w:right w:w="0" w:type="dxa"/>
            </w:tcMar>
            <w:vAlign w:val="center"/>
          </w:tcPr>
          <w:p w14:paraId="441B5961" w14:textId="779E970C" w:rsidR="00FA50A3" w:rsidRPr="00A434CE" w:rsidRDefault="00FA50A3" w:rsidP="00FA50A3">
            <w:pPr>
              <w:spacing w:after="0" w:line="276" w:lineRule="auto"/>
              <w:jc w:val="right"/>
              <w:rPr>
                <w:rFonts w:ascii="Arial" w:eastAsia="Times New Roman" w:hAnsi="Arial" w:cs="Arial"/>
                <w:sz w:val="16"/>
                <w:szCs w:val="16"/>
                <w:lang w:eastAsia="en-AU"/>
              </w:rPr>
            </w:pPr>
            <w:r>
              <w:rPr>
                <w:rFonts w:ascii="Arial" w:hAnsi="Arial" w:cs="Arial"/>
                <w:sz w:val="16"/>
                <w:szCs w:val="16"/>
              </w:rPr>
              <w:t>46.5</w:t>
            </w:r>
          </w:p>
        </w:tc>
      </w:tr>
      <w:tr w:rsidR="00A434CE" w:rsidRPr="00617599" w14:paraId="1350D7AB" w14:textId="77777777" w:rsidTr="00FA50A3">
        <w:trPr>
          <w:trHeight w:val="284"/>
        </w:trPr>
        <w:tc>
          <w:tcPr>
            <w:tcW w:w="655" w:type="pct"/>
            <w:tcBorders>
              <w:bottom w:val="single" w:sz="12" w:space="0" w:color="auto"/>
            </w:tcBorders>
            <w:shd w:val="clear" w:color="auto" w:fill="auto"/>
            <w:tcMar>
              <w:top w:w="0" w:type="dxa"/>
              <w:left w:w="0" w:type="dxa"/>
              <w:bottom w:w="0" w:type="dxa"/>
              <w:right w:w="0" w:type="dxa"/>
            </w:tcMar>
            <w:vAlign w:val="center"/>
            <w:hideMark/>
          </w:tcPr>
          <w:p w14:paraId="3AE21756" w14:textId="662B4B8B" w:rsidR="00A434CE" w:rsidRPr="00087467" w:rsidRDefault="00A434CE" w:rsidP="00A434CE">
            <w:pPr>
              <w:spacing w:after="0" w:line="276" w:lineRule="auto"/>
              <w:rPr>
                <w:rFonts w:ascii="Arial" w:eastAsia="Times New Roman" w:hAnsi="Arial" w:cs="Arial"/>
                <w:b/>
                <w:sz w:val="16"/>
                <w:szCs w:val="16"/>
                <w:lang w:eastAsia="en-AU"/>
              </w:rPr>
            </w:pPr>
            <w:r>
              <w:rPr>
                <w:rFonts w:ascii="Arial" w:hAnsi="Arial" w:cs="Arial"/>
                <w:b/>
                <w:bCs/>
                <w:color w:val="000000"/>
                <w:sz w:val="16"/>
                <w:szCs w:val="16"/>
              </w:rPr>
              <w:t>Total</w:t>
            </w:r>
          </w:p>
        </w:tc>
        <w:tc>
          <w:tcPr>
            <w:tcW w:w="444" w:type="pct"/>
            <w:tcBorders>
              <w:bottom w:val="single" w:sz="12" w:space="0" w:color="auto"/>
            </w:tcBorders>
            <w:shd w:val="clear" w:color="auto" w:fill="auto"/>
            <w:tcMar>
              <w:top w:w="0" w:type="dxa"/>
              <w:left w:w="0" w:type="dxa"/>
              <w:bottom w:w="0" w:type="dxa"/>
              <w:right w:w="0" w:type="dxa"/>
            </w:tcMar>
            <w:vAlign w:val="center"/>
          </w:tcPr>
          <w:p w14:paraId="0EA618AF" w14:textId="68766A4D" w:rsidR="00A434CE" w:rsidRPr="00A434CE" w:rsidRDefault="00A434CE" w:rsidP="00A434CE">
            <w:pPr>
              <w:spacing w:after="0" w:line="276" w:lineRule="auto"/>
              <w:jc w:val="right"/>
              <w:rPr>
                <w:rFonts w:ascii="Arial" w:eastAsia="Times New Roman" w:hAnsi="Arial" w:cs="Arial"/>
                <w:b/>
                <w:sz w:val="16"/>
                <w:szCs w:val="16"/>
                <w:lang w:eastAsia="en-AU"/>
              </w:rPr>
            </w:pPr>
            <w:r w:rsidRPr="00A434CE">
              <w:rPr>
                <w:rFonts w:ascii="Arial" w:hAnsi="Arial" w:cs="Arial"/>
                <w:b/>
                <w:bCs/>
                <w:sz w:val="16"/>
                <w:szCs w:val="16"/>
              </w:rPr>
              <w:t>4,</w:t>
            </w:r>
            <w:r w:rsidR="00FA50A3">
              <w:rPr>
                <w:rFonts w:ascii="Arial" w:hAnsi="Arial" w:cs="Arial"/>
                <w:b/>
                <w:bCs/>
                <w:sz w:val="16"/>
                <w:szCs w:val="16"/>
              </w:rPr>
              <w:t>219</w:t>
            </w:r>
          </w:p>
        </w:tc>
        <w:tc>
          <w:tcPr>
            <w:tcW w:w="527" w:type="pct"/>
            <w:tcBorders>
              <w:bottom w:val="single" w:sz="12" w:space="0" w:color="auto"/>
            </w:tcBorders>
            <w:shd w:val="clear" w:color="auto" w:fill="auto"/>
            <w:tcMar>
              <w:top w:w="0" w:type="dxa"/>
              <w:left w:w="0" w:type="dxa"/>
              <w:bottom w:w="0" w:type="dxa"/>
              <w:right w:w="0" w:type="dxa"/>
            </w:tcMar>
            <w:vAlign w:val="center"/>
          </w:tcPr>
          <w:p w14:paraId="150DAE45" w14:textId="58CCD62D" w:rsidR="00A434CE" w:rsidRPr="00A434CE" w:rsidRDefault="00A434CE" w:rsidP="00A434CE">
            <w:pPr>
              <w:spacing w:after="0" w:line="276" w:lineRule="auto"/>
              <w:jc w:val="right"/>
              <w:rPr>
                <w:rFonts w:ascii="Arial" w:eastAsia="Times New Roman" w:hAnsi="Arial" w:cs="Arial"/>
                <w:b/>
                <w:sz w:val="16"/>
                <w:szCs w:val="16"/>
                <w:lang w:eastAsia="en-AU"/>
              </w:rPr>
            </w:pPr>
            <w:r w:rsidRPr="00A434CE">
              <w:rPr>
                <w:rFonts w:ascii="Arial" w:hAnsi="Arial" w:cs="Arial"/>
                <w:b/>
                <w:bCs/>
                <w:sz w:val="16"/>
                <w:szCs w:val="16"/>
              </w:rPr>
              <w:t>100.0</w:t>
            </w:r>
          </w:p>
        </w:tc>
        <w:tc>
          <w:tcPr>
            <w:tcW w:w="54" w:type="pct"/>
            <w:tcBorders>
              <w:bottom w:val="single" w:sz="12" w:space="0" w:color="auto"/>
            </w:tcBorders>
            <w:shd w:val="clear" w:color="auto" w:fill="auto"/>
            <w:tcMar>
              <w:top w:w="0" w:type="dxa"/>
              <w:left w:w="0" w:type="dxa"/>
              <w:bottom w:w="0" w:type="dxa"/>
              <w:right w:w="0" w:type="dxa"/>
            </w:tcMar>
            <w:vAlign w:val="center"/>
          </w:tcPr>
          <w:p w14:paraId="48E3457D" w14:textId="45416399" w:rsidR="00A434CE" w:rsidRPr="00A434CE" w:rsidRDefault="00A434CE" w:rsidP="00A434CE">
            <w:pPr>
              <w:spacing w:after="0" w:line="276" w:lineRule="auto"/>
              <w:jc w:val="right"/>
              <w:rPr>
                <w:rFonts w:ascii="Arial" w:eastAsia="Times New Roman" w:hAnsi="Arial" w:cs="Arial"/>
                <w:b/>
                <w:sz w:val="16"/>
                <w:szCs w:val="16"/>
                <w:lang w:eastAsia="en-AU"/>
              </w:rPr>
            </w:pPr>
            <w:r w:rsidRPr="00A434CE">
              <w:rPr>
                <w:rFonts w:ascii="Arial" w:hAnsi="Arial" w:cs="Arial"/>
                <w:b/>
                <w:bCs/>
                <w:sz w:val="16"/>
                <w:szCs w:val="16"/>
              </w:rPr>
              <w:t> </w:t>
            </w:r>
          </w:p>
        </w:tc>
        <w:tc>
          <w:tcPr>
            <w:tcW w:w="526" w:type="pct"/>
            <w:tcBorders>
              <w:bottom w:val="single" w:sz="12" w:space="0" w:color="auto"/>
            </w:tcBorders>
            <w:shd w:val="clear" w:color="auto" w:fill="auto"/>
            <w:tcMar>
              <w:top w:w="0" w:type="dxa"/>
              <w:left w:w="0" w:type="dxa"/>
              <w:bottom w:w="0" w:type="dxa"/>
              <w:right w:w="0" w:type="dxa"/>
            </w:tcMar>
            <w:vAlign w:val="center"/>
          </w:tcPr>
          <w:p w14:paraId="51ED9DA2" w14:textId="2A7B3EB8" w:rsidR="00A434CE" w:rsidRPr="00A434CE" w:rsidRDefault="00FA50A3" w:rsidP="00A434CE">
            <w:pPr>
              <w:spacing w:after="0" w:line="276" w:lineRule="auto"/>
              <w:jc w:val="right"/>
              <w:rPr>
                <w:rFonts w:ascii="Arial" w:eastAsia="Times New Roman" w:hAnsi="Arial" w:cs="Arial"/>
                <w:b/>
                <w:sz w:val="16"/>
                <w:szCs w:val="16"/>
                <w:lang w:eastAsia="en-AU"/>
              </w:rPr>
            </w:pPr>
            <w:r>
              <w:rPr>
                <w:rFonts w:ascii="Arial" w:eastAsia="Times New Roman" w:hAnsi="Arial" w:cs="Arial"/>
                <w:b/>
                <w:bCs/>
                <w:sz w:val="16"/>
                <w:szCs w:val="16"/>
                <w:lang w:eastAsia="en-AU"/>
              </w:rPr>
              <w:t>4,028</w:t>
            </w:r>
          </w:p>
        </w:tc>
        <w:tc>
          <w:tcPr>
            <w:tcW w:w="527" w:type="pct"/>
            <w:tcBorders>
              <w:bottom w:val="single" w:sz="12" w:space="0" w:color="auto"/>
            </w:tcBorders>
            <w:shd w:val="clear" w:color="auto" w:fill="auto"/>
            <w:tcMar>
              <w:top w:w="0" w:type="dxa"/>
              <w:left w:w="0" w:type="dxa"/>
              <w:bottom w:w="0" w:type="dxa"/>
              <w:right w:w="0" w:type="dxa"/>
            </w:tcMar>
            <w:vAlign w:val="center"/>
          </w:tcPr>
          <w:p w14:paraId="23C525CC" w14:textId="4BCEB2FD" w:rsidR="00A434CE" w:rsidRPr="00A434CE" w:rsidRDefault="00A434CE" w:rsidP="00A434CE">
            <w:pPr>
              <w:spacing w:after="0" w:line="276" w:lineRule="auto"/>
              <w:jc w:val="right"/>
              <w:rPr>
                <w:rFonts w:ascii="Arial" w:eastAsia="Times New Roman" w:hAnsi="Arial" w:cs="Arial"/>
                <w:b/>
                <w:sz w:val="16"/>
                <w:szCs w:val="16"/>
                <w:lang w:eastAsia="en-AU"/>
              </w:rPr>
            </w:pPr>
            <w:r w:rsidRPr="00A434CE">
              <w:rPr>
                <w:rFonts w:ascii="Arial" w:hAnsi="Arial" w:cs="Arial"/>
                <w:b/>
                <w:bCs/>
                <w:sz w:val="16"/>
                <w:szCs w:val="16"/>
              </w:rPr>
              <w:t>100.0</w:t>
            </w:r>
          </w:p>
        </w:tc>
        <w:tc>
          <w:tcPr>
            <w:tcW w:w="49" w:type="pct"/>
            <w:tcBorders>
              <w:bottom w:val="single" w:sz="12" w:space="0" w:color="auto"/>
            </w:tcBorders>
            <w:shd w:val="clear" w:color="auto" w:fill="auto"/>
            <w:tcMar>
              <w:top w:w="0" w:type="dxa"/>
              <w:left w:w="0" w:type="dxa"/>
              <w:bottom w:w="0" w:type="dxa"/>
              <w:right w:w="0" w:type="dxa"/>
            </w:tcMar>
            <w:vAlign w:val="center"/>
          </w:tcPr>
          <w:p w14:paraId="5D47C3B2" w14:textId="53B57ED5" w:rsidR="00A434CE" w:rsidRPr="00A434CE" w:rsidRDefault="00A434CE" w:rsidP="00A434CE">
            <w:pPr>
              <w:spacing w:after="0" w:line="276" w:lineRule="auto"/>
              <w:jc w:val="right"/>
              <w:rPr>
                <w:rFonts w:ascii="Arial" w:eastAsia="Times New Roman" w:hAnsi="Arial" w:cs="Arial"/>
                <w:b/>
                <w:sz w:val="16"/>
                <w:szCs w:val="16"/>
                <w:lang w:eastAsia="en-AU"/>
              </w:rPr>
            </w:pPr>
            <w:r w:rsidRPr="00A434CE">
              <w:rPr>
                <w:rFonts w:ascii="Arial" w:hAnsi="Arial" w:cs="Arial"/>
                <w:b/>
                <w:bCs/>
                <w:sz w:val="16"/>
                <w:szCs w:val="16"/>
              </w:rPr>
              <w:t> </w:t>
            </w:r>
          </w:p>
        </w:tc>
        <w:tc>
          <w:tcPr>
            <w:tcW w:w="546" w:type="pct"/>
            <w:tcBorders>
              <w:bottom w:val="single" w:sz="12" w:space="0" w:color="auto"/>
            </w:tcBorders>
            <w:shd w:val="clear" w:color="auto" w:fill="auto"/>
            <w:tcMar>
              <w:top w:w="0" w:type="dxa"/>
              <w:left w:w="0" w:type="dxa"/>
              <w:bottom w:w="0" w:type="dxa"/>
              <w:right w:w="0" w:type="dxa"/>
            </w:tcMar>
            <w:vAlign w:val="center"/>
          </w:tcPr>
          <w:p w14:paraId="252B7389" w14:textId="3914109D" w:rsidR="00A434CE" w:rsidRPr="00A434CE" w:rsidRDefault="00A434CE" w:rsidP="00A434CE">
            <w:pPr>
              <w:spacing w:after="0" w:line="276" w:lineRule="auto"/>
              <w:jc w:val="right"/>
              <w:rPr>
                <w:rFonts w:ascii="Arial" w:eastAsia="Times New Roman" w:hAnsi="Arial" w:cs="Arial"/>
                <w:b/>
                <w:sz w:val="16"/>
                <w:szCs w:val="16"/>
                <w:lang w:eastAsia="en-AU"/>
              </w:rPr>
            </w:pPr>
            <w:r w:rsidRPr="00A434CE">
              <w:rPr>
                <w:rFonts w:ascii="Arial" w:hAnsi="Arial" w:cs="Arial"/>
                <w:b/>
                <w:bCs/>
                <w:sz w:val="16"/>
                <w:szCs w:val="16"/>
              </w:rPr>
              <w:t>3</w:t>
            </w:r>
            <w:r w:rsidR="00FA50A3">
              <w:rPr>
                <w:rFonts w:ascii="Arial" w:hAnsi="Arial" w:cs="Arial"/>
                <w:b/>
                <w:bCs/>
                <w:sz w:val="16"/>
                <w:szCs w:val="16"/>
              </w:rPr>
              <w:t>89</w:t>
            </w:r>
          </w:p>
        </w:tc>
        <w:tc>
          <w:tcPr>
            <w:tcW w:w="467" w:type="pct"/>
            <w:tcBorders>
              <w:bottom w:val="single" w:sz="12" w:space="0" w:color="auto"/>
            </w:tcBorders>
            <w:shd w:val="clear" w:color="auto" w:fill="auto"/>
            <w:tcMar>
              <w:top w:w="0" w:type="dxa"/>
              <w:left w:w="0" w:type="dxa"/>
              <w:bottom w:w="0" w:type="dxa"/>
              <w:right w:w="0" w:type="dxa"/>
            </w:tcMar>
            <w:vAlign w:val="center"/>
          </w:tcPr>
          <w:p w14:paraId="0EFC0984" w14:textId="5A44C7B2" w:rsidR="00A434CE" w:rsidRPr="00A434CE" w:rsidRDefault="00A434CE" w:rsidP="00A434CE">
            <w:pPr>
              <w:spacing w:after="0" w:line="276" w:lineRule="auto"/>
              <w:jc w:val="right"/>
              <w:rPr>
                <w:rFonts w:ascii="Arial" w:eastAsia="Times New Roman" w:hAnsi="Arial" w:cs="Arial"/>
                <w:b/>
                <w:sz w:val="16"/>
                <w:szCs w:val="16"/>
                <w:lang w:eastAsia="en-AU"/>
              </w:rPr>
            </w:pPr>
            <w:r w:rsidRPr="00A434CE">
              <w:rPr>
                <w:rFonts w:ascii="Arial" w:hAnsi="Arial" w:cs="Arial"/>
                <w:b/>
                <w:bCs/>
                <w:sz w:val="16"/>
                <w:szCs w:val="16"/>
              </w:rPr>
              <w:t>100.0</w:t>
            </w:r>
          </w:p>
        </w:tc>
        <w:tc>
          <w:tcPr>
            <w:tcW w:w="89" w:type="pct"/>
            <w:tcBorders>
              <w:bottom w:val="single" w:sz="12" w:space="0" w:color="auto"/>
            </w:tcBorders>
            <w:shd w:val="clear" w:color="auto" w:fill="auto"/>
            <w:tcMar>
              <w:top w:w="0" w:type="dxa"/>
              <w:left w:w="0" w:type="dxa"/>
              <w:bottom w:w="0" w:type="dxa"/>
              <w:right w:w="0" w:type="dxa"/>
            </w:tcMar>
            <w:vAlign w:val="center"/>
          </w:tcPr>
          <w:p w14:paraId="7605D003" w14:textId="1BADCEA9" w:rsidR="00A434CE" w:rsidRPr="00A434CE" w:rsidRDefault="00A434CE" w:rsidP="00A434CE">
            <w:pPr>
              <w:spacing w:after="0" w:line="276" w:lineRule="auto"/>
              <w:jc w:val="right"/>
              <w:rPr>
                <w:rFonts w:ascii="Arial" w:eastAsia="Times New Roman" w:hAnsi="Arial" w:cs="Arial"/>
                <w:b/>
                <w:sz w:val="16"/>
                <w:szCs w:val="16"/>
                <w:lang w:eastAsia="en-AU"/>
              </w:rPr>
            </w:pPr>
            <w:r w:rsidRPr="00A434CE">
              <w:rPr>
                <w:rFonts w:ascii="Arial" w:hAnsi="Arial" w:cs="Arial"/>
                <w:b/>
                <w:bCs/>
                <w:sz w:val="16"/>
                <w:szCs w:val="16"/>
              </w:rPr>
              <w:t> </w:t>
            </w:r>
          </w:p>
        </w:tc>
        <w:tc>
          <w:tcPr>
            <w:tcW w:w="561" w:type="pct"/>
            <w:tcBorders>
              <w:bottom w:val="single" w:sz="12" w:space="0" w:color="auto"/>
            </w:tcBorders>
            <w:shd w:val="clear" w:color="auto" w:fill="auto"/>
            <w:tcMar>
              <w:top w:w="0" w:type="dxa"/>
              <w:left w:w="0" w:type="dxa"/>
              <w:bottom w:w="0" w:type="dxa"/>
              <w:right w:w="0" w:type="dxa"/>
            </w:tcMar>
            <w:vAlign w:val="center"/>
          </w:tcPr>
          <w:p w14:paraId="5809F2BB" w14:textId="761D8D10" w:rsidR="00A434CE" w:rsidRPr="00A434CE" w:rsidRDefault="00A434CE" w:rsidP="00A434CE">
            <w:pPr>
              <w:spacing w:after="0" w:line="276" w:lineRule="auto"/>
              <w:jc w:val="right"/>
              <w:rPr>
                <w:rFonts w:ascii="Arial" w:eastAsia="Times New Roman" w:hAnsi="Arial" w:cs="Arial"/>
                <w:b/>
                <w:sz w:val="16"/>
                <w:szCs w:val="16"/>
                <w:lang w:eastAsia="en-AU"/>
              </w:rPr>
            </w:pPr>
            <w:r w:rsidRPr="00A434CE">
              <w:rPr>
                <w:rFonts w:ascii="Arial" w:hAnsi="Arial" w:cs="Arial"/>
                <w:b/>
                <w:bCs/>
                <w:sz w:val="16"/>
                <w:szCs w:val="16"/>
              </w:rPr>
              <w:t>8,</w:t>
            </w:r>
            <w:r w:rsidR="00FA50A3">
              <w:rPr>
                <w:rFonts w:ascii="Arial" w:hAnsi="Arial" w:cs="Arial"/>
                <w:b/>
                <w:bCs/>
                <w:sz w:val="16"/>
                <w:szCs w:val="16"/>
              </w:rPr>
              <w:t>636</w:t>
            </w:r>
          </w:p>
        </w:tc>
        <w:tc>
          <w:tcPr>
            <w:tcW w:w="555" w:type="pct"/>
            <w:tcBorders>
              <w:bottom w:val="single" w:sz="12" w:space="0" w:color="auto"/>
            </w:tcBorders>
            <w:shd w:val="clear" w:color="auto" w:fill="auto"/>
            <w:tcMar>
              <w:top w:w="0" w:type="dxa"/>
              <w:left w:w="0" w:type="dxa"/>
              <w:bottom w:w="0" w:type="dxa"/>
              <w:right w:w="0" w:type="dxa"/>
            </w:tcMar>
            <w:vAlign w:val="center"/>
          </w:tcPr>
          <w:p w14:paraId="10B1E2A7" w14:textId="5AC59050" w:rsidR="00A434CE" w:rsidRPr="00A434CE" w:rsidRDefault="00A434CE" w:rsidP="00A434CE">
            <w:pPr>
              <w:spacing w:after="0" w:line="276" w:lineRule="auto"/>
              <w:jc w:val="right"/>
              <w:rPr>
                <w:rFonts w:ascii="Arial" w:eastAsia="Times New Roman" w:hAnsi="Arial" w:cs="Arial"/>
                <w:b/>
                <w:sz w:val="16"/>
                <w:szCs w:val="16"/>
                <w:lang w:eastAsia="en-AU"/>
              </w:rPr>
            </w:pPr>
            <w:r w:rsidRPr="00A434CE">
              <w:rPr>
                <w:rFonts w:ascii="Arial" w:hAnsi="Arial" w:cs="Arial"/>
                <w:b/>
                <w:bCs/>
                <w:sz w:val="16"/>
                <w:szCs w:val="16"/>
              </w:rPr>
              <w:t>100.0</w:t>
            </w:r>
          </w:p>
        </w:tc>
      </w:tr>
    </w:tbl>
    <w:p w14:paraId="1F6E7B0A" w14:textId="77777777" w:rsidR="009303CD" w:rsidRPr="00617599" w:rsidRDefault="009303CD" w:rsidP="00FB40FC">
      <w:pPr>
        <w:pStyle w:val="TableSourcefootnotes"/>
        <w:spacing w:before="0" w:after="0" w:line="240" w:lineRule="auto"/>
        <w:rPr>
          <w:rFonts w:cs="Arial"/>
          <w:i/>
        </w:rPr>
      </w:pPr>
      <w:r w:rsidRPr="00617599">
        <w:rPr>
          <w:rFonts w:cs="Arial"/>
          <w:i/>
        </w:rPr>
        <w:t xml:space="preserve">Note: </w:t>
      </w:r>
      <w:r w:rsidRPr="00617599">
        <w:rPr>
          <w:rFonts w:cs="Arial"/>
        </w:rPr>
        <w:t>Data are collected for each treatment cycle. Therefore, some individuals may be counted more than once.</w:t>
      </w:r>
    </w:p>
    <w:p w14:paraId="6C72DFC9" w14:textId="284C7BAE" w:rsidR="009303CD" w:rsidRPr="00617599" w:rsidRDefault="009303CD" w:rsidP="009303CD">
      <w:pPr>
        <w:pStyle w:val="Heading3"/>
        <w:rPr>
          <w:rFonts w:eastAsia="Times New Roman" w:cs="Arial"/>
        </w:rPr>
      </w:pPr>
      <w:bookmarkStart w:id="236" w:name="_Toc453061461"/>
      <w:bookmarkStart w:id="237" w:name="_Toc453059058"/>
      <w:bookmarkStart w:id="238" w:name="_Toc453057390"/>
      <w:bookmarkStart w:id="239" w:name="_Toc453055605"/>
      <w:bookmarkStart w:id="240" w:name="_Toc453054831"/>
      <w:r w:rsidRPr="00617599">
        <w:rPr>
          <w:rFonts w:eastAsia="Times New Roman" w:cs="Arial"/>
        </w:rPr>
        <w:t>Intracytoplasmic sperm injection</w:t>
      </w:r>
      <w:r w:rsidR="00BF3A26">
        <w:rPr>
          <w:rFonts w:eastAsia="Times New Roman" w:cs="Arial"/>
        </w:rPr>
        <w:t xml:space="preserve"> (ICSI)</w:t>
      </w:r>
      <w:r w:rsidRPr="00617599">
        <w:rPr>
          <w:rFonts w:eastAsia="Times New Roman" w:cs="Arial"/>
        </w:rPr>
        <w:t xml:space="preserve"> procedures</w:t>
      </w:r>
      <w:bookmarkEnd w:id="236"/>
      <w:bookmarkEnd w:id="237"/>
      <w:bookmarkEnd w:id="238"/>
      <w:bookmarkEnd w:id="239"/>
      <w:bookmarkEnd w:id="240"/>
    </w:p>
    <w:p w14:paraId="0E0001DB" w14:textId="6E741FF5" w:rsidR="009303CD" w:rsidRPr="00617599" w:rsidRDefault="008829F9" w:rsidP="009303CD">
      <w:pPr>
        <w:pStyle w:val="NPESUbodytext"/>
        <w:rPr>
          <w:rFonts w:cs="Arial"/>
          <w:lang w:eastAsia="en-AU"/>
        </w:rPr>
      </w:pPr>
      <w:r w:rsidRPr="00617599">
        <w:rPr>
          <w:rFonts w:cs="Arial"/>
          <w:lang w:eastAsia="en-AU"/>
        </w:rPr>
        <w:t xml:space="preserve">Of the </w:t>
      </w:r>
      <w:r w:rsidR="00830139">
        <w:rPr>
          <w:rFonts w:cs="Arial"/>
          <w:lang w:eastAsia="en-AU"/>
        </w:rPr>
        <w:t>3,</w:t>
      </w:r>
      <w:r w:rsidR="000F4BC0">
        <w:rPr>
          <w:rFonts w:cs="Arial"/>
          <w:lang w:eastAsia="en-AU"/>
        </w:rPr>
        <w:t>3</w:t>
      </w:r>
      <w:r w:rsidR="008668F0">
        <w:rPr>
          <w:rFonts w:cs="Arial"/>
          <w:lang w:eastAsia="en-AU"/>
        </w:rPr>
        <w:t>68</w:t>
      </w:r>
      <w:r w:rsidR="000F4BC0" w:rsidRPr="00617599">
        <w:rPr>
          <w:rFonts w:cs="Arial"/>
          <w:lang w:eastAsia="en-AU"/>
        </w:rPr>
        <w:t xml:space="preserve"> </w:t>
      </w:r>
      <w:r w:rsidR="009303CD" w:rsidRPr="00617599">
        <w:rPr>
          <w:rFonts w:cs="Arial"/>
          <w:lang w:eastAsia="en-AU"/>
        </w:rPr>
        <w:t xml:space="preserve">autologous fresh cycles where fertilisation was attempted, </w:t>
      </w:r>
      <w:r w:rsidR="00142AF1">
        <w:rPr>
          <w:rFonts w:cs="Arial"/>
          <w:lang w:eastAsia="en-AU"/>
        </w:rPr>
        <w:t>1,</w:t>
      </w:r>
      <w:r w:rsidR="008668F0">
        <w:rPr>
          <w:rFonts w:cs="Arial"/>
          <w:lang w:eastAsia="en-AU"/>
        </w:rPr>
        <w:t>631</w:t>
      </w:r>
      <w:r w:rsidR="000F4BC0">
        <w:rPr>
          <w:rFonts w:cs="Arial"/>
          <w:lang w:eastAsia="en-AU"/>
        </w:rPr>
        <w:t xml:space="preserve"> </w:t>
      </w:r>
      <w:r w:rsidR="009303CD" w:rsidRPr="00617599">
        <w:rPr>
          <w:rFonts w:cs="Arial"/>
          <w:lang w:eastAsia="en-AU"/>
        </w:rPr>
        <w:t>(</w:t>
      </w:r>
      <w:r w:rsidR="008668F0">
        <w:rPr>
          <w:rFonts w:cs="Arial"/>
          <w:lang w:eastAsia="en-AU"/>
        </w:rPr>
        <w:t>48.4</w:t>
      </w:r>
      <w:r w:rsidR="009303CD" w:rsidRPr="00617599">
        <w:rPr>
          <w:rFonts w:cs="Arial"/>
          <w:lang w:eastAsia="en-AU"/>
        </w:rPr>
        <w:t>%) used ICSI procedures and 1,</w:t>
      </w:r>
      <w:r w:rsidR="008668F0">
        <w:rPr>
          <w:rFonts w:cs="Arial"/>
          <w:lang w:eastAsia="en-AU"/>
        </w:rPr>
        <w:t>737</w:t>
      </w:r>
      <w:r w:rsidR="000F4BC0" w:rsidRPr="00617599">
        <w:rPr>
          <w:rFonts w:cs="Arial"/>
          <w:lang w:eastAsia="en-AU"/>
        </w:rPr>
        <w:t xml:space="preserve"> </w:t>
      </w:r>
      <w:r w:rsidR="009303CD" w:rsidRPr="00617599">
        <w:rPr>
          <w:rFonts w:cs="Arial"/>
          <w:lang w:eastAsia="en-AU"/>
        </w:rPr>
        <w:t>(</w:t>
      </w:r>
      <w:r w:rsidR="008668F0">
        <w:rPr>
          <w:rFonts w:cs="Arial"/>
          <w:lang w:eastAsia="en-AU"/>
        </w:rPr>
        <w:t>51.6</w:t>
      </w:r>
      <w:r w:rsidR="009303CD" w:rsidRPr="00617599">
        <w:rPr>
          <w:rFonts w:cs="Arial"/>
          <w:lang w:eastAsia="en-AU"/>
        </w:rPr>
        <w:t>%) used IVF procedures.</w:t>
      </w:r>
      <w:r w:rsidR="001C0317">
        <w:rPr>
          <w:rFonts w:cs="Arial"/>
          <w:lang w:eastAsia="en-AU"/>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250"/>
        <w:gridCol w:w="954"/>
        <w:gridCol w:w="926"/>
        <w:gridCol w:w="88"/>
        <w:gridCol w:w="953"/>
        <w:gridCol w:w="926"/>
        <w:gridCol w:w="88"/>
        <w:gridCol w:w="953"/>
        <w:gridCol w:w="926"/>
        <w:gridCol w:w="88"/>
        <w:gridCol w:w="953"/>
        <w:gridCol w:w="921"/>
      </w:tblGrid>
      <w:tr w:rsidR="00ED0969" w:rsidRPr="00617599" w14:paraId="7BEAAFBB" w14:textId="77777777" w:rsidTr="00041835">
        <w:trPr>
          <w:tblHeader/>
        </w:trPr>
        <w:tc>
          <w:tcPr>
            <w:tcW w:w="5000" w:type="pct"/>
            <w:gridSpan w:val="12"/>
            <w:tcBorders>
              <w:bottom w:val="single" w:sz="12" w:space="0" w:color="auto"/>
            </w:tcBorders>
            <w:shd w:val="clear" w:color="auto" w:fill="FFFFFF"/>
            <w:tcMar>
              <w:top w:w="0" w:type="dxa"/>
              <w:left w:w="0" w:type="dxa"/>
              <w:bottom w:w="0" w:type="dxa"/>
              <w:right w:w="0" w:type="dxa"/>
            </w:tcMar>
            <w:vAlign w:val="center"/>
            <w:hideMark/>
          </w:tcPr>
          <w:p w14:paraId="3153EE53" w14:textId="7063979C" w:rsidR="00ED0969" w:rsidRPr="00617599" w:rsidRDefault="00ED0969" w:rsidP="00360E75">
            <w:pPr>
              <w:pStyle w:val="Caption"/>
              <w:spacing w:before="60" w:line="260" w:lineRule="atLeast"/>
              <w:rPr>
                <w:rFonts w:eastAsia="Times New Roman"/>
                <w:lang w:eastAsia="en-AU"/>
              </w:rPr>
            </w:pPr>
            <w:bookmarkStart w:id="241" w:name="_Toc158026556"/>
            <w:r w:rsidRPr="00617599">
              <w:rPr>
                <w:rFonts w:eastAsia="Times New Roman"/>
                <w:lang w:eastAsia="en-AU"/>
              </w:rPr>
              <w:t xml:space="preserve">Table </w:t>
            </w:r>
            <w:r w:rsidR="00F400A5">
              <w:rPr>
                <w:rFonts w:eastAsia="Times New Roman"/>
                <w:lang w:eastAsia="en-AU"/>
              </w:rPr>
              <w:t>7</w:t>
            </w:r>
            <w:r w:rsidRPr="00617599">
              <w:rPr>
                <w:rFonts w:eastAsia="Times New Roman"/>
                <w:lang w:eastAsia="en-AU"/>
              </w:rPr>
              <w:t xml:space="preserve">: Number of autologous and recipient cycles with fertilisation attempted by treatment type and procedure, </w:t>
            </w:r>
            <w:r w:rsidR="00A501CE">
              <w:rPr>
                <w:rFonts w:eastAsia="Times New Roman"/>
                <w:lang w:eastAsia="en-AU"/>
              </w:rPr>
              <w:t>New Zealand, 20</w:t>
            </w:r>
            <w:r w:rsidR="00C5358F">
              <w:rPr>
                <w:rFonts w:eastAsia="Times New Roman"/>
                <w:lang w:eastAsia="en-AU"/>
              </w:rPr>
              <w:t>2</w:t>
            </w:r>
            <w:r w:rsidR="00FA50A3">
              <w:rPr>
                <w:rFonts w:eastAsia="Times New Roman"/>
                <w:lang w:eastAsia="en-AU"/>
              </w:rPr>
              <w:t>1</w:t>
            </w:r>
            <w:bookmarkEnd w:id="241"/>
            <w:r w:rsidR="00A501CE">
              <w:rPr>
                <w:rFonts w:eastAsia="Times New Roman"/>
                <w:lang w:eastAsia="en-AU"/>
              </w:rPr>
              <w:t xml:space="preserve"> </w:t>
            </w:r>
          </w:p>
        </w:tc>
      </w:tr>
      <w:tr w:rsidR="00ED0969" w:rsidRPr="00617599" w14:paraId="0A363E8E" w14:textId="77777777" w:rsidTr="00142AF1">
        <w:trPr>
          <w:trHeight w:val="284"/>
          <w:tblHeader/>
        </w:trPr>
        <w:tc>
          <w:tcPr>
            <w:tcW w:w="692" w:type="pct"/>
            <w:tcBorders>
              <w:top w:val="single" w:sz="12" w:space="0" w:color="auto"/>
            </w:tcBorders>
            <w:shd w:val="clear" w:color="auto" w:fill="FFFFFF"/>
            <w:tcMar>
              <w:top w:w="0" w:type="dxa"/>
              <w:left w:w="0" w:type="dxa"/>
              <w:bottom w:w="0" w:type="dxa"/>
              <w:right w:w="0" w:type="dxa"/>
            </w:tcMar>
            <w:vAlign w:val="center"/>
            <w:hideMark/>
          </w:tcPr>
          <w:p w14:paraId="75648102" w14:textId="77777777" w:rsidR="00ED0969" w:rsidRPr="00617599" w:rsidRDefault="00ED0969" w:rsidP="00360E75">
            <w:pPr>
              <w:spacing w:after="0" w:line="276" w:lineRule="auto"/>
              <w:rPr>
                <w:rFonts w:ascii="Arial" w:eastAsia="Times New Roman" w:hAnsi="Arial" w:cs="Arial"/>
                <w:sz w:val="16"/>
                <w:szCs w:val="16"/>
                <w:lang w:eastAsia="en-AU"/>
              </w:rPr>
            </w:pPr>
          </w:p>
        </w:tc>
        <w:tc>
          <w:tcPr>
            <w:tcW w:w="2131" w:type="pct"/>
            <w:gridSpan w:val="5"/>
            <w:tcBorders>
              <w:top w:val="single" w:sz="12" w:space="0" w:color="auto"/>
              <w:bottom w:val="single" w:sz="6" w:space="0" w:color="808080"/>
            </w:tcBorders>
            <w:shd w:val="clear" w:color="auto" w:fill="FFFFFF"/>
            <w:tcMar>
              <w:top w:w="0" w:type="dxa"/>
              <w:left w:w="0" w:type="dxa"/>
              <w:bottom w:w="0" w:type="dxa"/>
              <w:right w:w="0" w:type="dxa"/>
            </w:tcMar>
            <w:vAlign w:val="center"/>
            <w:hideMark/>
          </w:tcPr>
          <w:p w14:paraId="2BB60F1B"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Autologous</w:t>
            </w:r>
          </w:p>
        </w:tc>
        <w:tc>
          <w:tcPr>
            <w:tcW w:w="49" w:type="pct"/>
            <w:tcBorders>
              <w:top w:val="single" w:sz="12" w:space="0" w:color="auto"/>
            </w:tcBorders>
            <w:shd w:val="clear" w:color="auto" w:fill="FFFFFF"/>
            <w:tcMar>
              <w:top w:w="0" w:type="dxa"/>
              <w:left w:w="0" w:type="dxa"/>
              <w:bottom w:w="0" w:type="dxa"/>
              <w:right w:w="0" w:type="dxa"/>
            </w:tcMar>
            <w:vAlign w:val="center"/>
            <w:hideMark/>
          </w:tcPr>
          <w:p w14:paraId="026E4F83"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2128" w:type="pct"/>
            <w:gridSpan w:val="5"/>
            <w:tcBorders>
              <w:top w:val="single" w:sz="12" w:space="0" w:color="auto"/>
              <w:bottom w:val="single" w:sz="6" w:space="0" w:color="808080"/>
            </w:tcBorders>
            <w:shd w:val="clear" w:color="auto" w:fill="FFFFFF"/>
            <w:tcMar>
              <w:top w:w="0" w:type="dxa"/>
              <w:left w:w="0" w:type="dxa"/>
              <w:bottom w:w="0" w:type="dxa"/>
              <w:right w:w="0" w:type="dxa"/>
            </w:tcMar>
            <w:vAlign w:val="center"/>
            <w:hideMark/>
          </w:tcPr>
          <w:p w14:paraId="5CECF9C1"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Oocyte/Embryo Recipient</w:t>
            </w:r>
          </w:p>
        </w:tc>
      </w:tr>
      <w:tr w:rsidR="002D6CB7" w:rsidRPr="00617599" w14:paraId="61B3E891" w14:textId="77777777" w:rsidTr="00C3202B">
        <w:trPr>
          <w:trHeight w:val="284"/>
          <w:tblHeader/>
        </w:trPr>
        <w:tc>
          <w:tcPr>
            <w:tcW w:w="692" w:type="pct"/>
            <w:shd w:val="clear" w:color="auto" w:fill="FFFFFF"/>
            <w:tcMar>
              <w:top w:w="0" w:type="dxa"/>
              <w:left w:w="0" w:type="dxa"/>
              <w:bottom w:w="0" w:type="dxa"/>
              <w:right w:w="0" w:type="dxa"/>
            </w:tcMar>
            <w:vAlign w:val="center"/>
            <w:hideMark/>
          </w:tcPr>
          <w:p w14:paraId="5E0A851B" w14:textId="77777777" w:rsidR="002D6CB7" w:rsidRPr="00617599" w:rsidRDefault="002D6CB7" w:rsidP="00360E75">
            <w:pPr>
              <w:spacing w:after="0" w:line="276" w:lineRule="auto"/>
              <w:jc w:val="center"/>
              <w:rPr>
                <w:rFonts w:ascii="Arial" w:eastAsia="Times New Roman" w:hAnsi="Arial" w:cs="Arial"/>
                <w:b/>
                <w:bCs/>
                <w:sz w:val="16"/>
                <w:szCs w:val="16"/>
                <w:lang w:eastAsia="en-AU"/>
              </w:rPr>
            </w:pPr>
          </w:p>
        </w:tc>
        <w:tc>
          <w:tcPr>
            <w:tcW w:w="1041" w:type="pct"/>
            <w:gridSpan w:val="2"/>
            <w:tcBorders>
              <w:bottom w:val="single" w:sz="6" w:space="0" w:color="808080"/>
            </w:tcBorders>
            <w:shd w:val="clear" w:color="auto" w:fill="FFFFFF"/>
            <w:tcMar>
              <w:top w:w="0" w:type="dxa"/>
              <w:left w:w="0" w:type="dxa"/>
              <w:bottom w:w="0" w:type="dxa"/>
              <w:right w:w="0" w:type="dxa"/>
            </w:tcMar>
            <w:vAlign w:val="center"/>
            <w:hideMark/>
          </w:tcPr>
          <w:p w14:paraId="54A14D80" w14:textId="77777777" w:rsidR="002D6CB7" w:rsidRPr="00617599" w:rsidRDefault="002D6CB7" w:rsidP="00360E75">
            <w:pPr>
              <w:spacing w:after="0" w:line="276" w:lineRule="auto"/>
              <w:jc w:val="center"/>
              <w:rPr>
                <w:rFonts w:ascii="Arial" w:eastAsia="Times New Roman" w:hAnsi="Arial" w:cs="Arial"/>
                <w:b/>
                <w:bCs/>
                <w:sz w:val="16"/>
                <w:szCs w:val="16"/>
                <w:vertAlign w:val="superscript"/>
                <w:lang w:eastAsia="en-AU"/>
              </w:rPr>
            </w:pPr>
            <w:r w:rsidRPr="00617599">
              <w:rPr>
                <w:rFonts w:ascii="Arial" w:eastAsia="Times New Roman" w:hAnsi="Arial" w:cs="Arial"/>
                <w:b/>
                <w:bCs/>
                <w:sz w:val="16"/>
                <w:szCs w:val="16"/>
                <w:lang w:eastAsia="en-AU"/>
              </w:rPr>
              <w:t>Fresh</w:t>
            </w:r>
            <w:r w:rsidRPr="00617599">
              <w:rPr>
                <w:rFonts w:ascii="Arial" w:eastAsia="Times New Roman" w:hAnsi="Arial" w:cs="Arial"/>
                <w:b/>
                <w:bCs/>
                <w:sz w:val="16"/>
                <w:szCs w:val="16"/>
                <w:vertAlign w:val="superscript"/>
                <w:lang w:eastAsia="en-AU"/>
              </w:rPr>
              <w:t>(a)</w:t>
            </w:r>
          </w:p>
        </w:tc>
        <w:tc>
          <w:tcPr>
            <w:tcW w:w="49" w:type="pct"/>
            <w:shd w:val="clear" w:color="auto" w:fill="FFFFFF"/>
            <w:tcMar>
              <w:top w:w="0" w:type="dxa"/>
              <w:left w:w="0" w:type="dxa"/>
              <w:bottom w:w="0" w:type="dxa"/>
              <w:right w:w="0" w:type="dxa"/>
            </w:tcMar>
            <w:vAlign w:val="center"/>
            <w:hideMark/>
          </w:tcPr>
          <w:p w14:paraId="4B270888" w14:textId="77777777" w:rsidR="002D6CB7" w:rsidRPr="00617599" w:rsidRDefault="002D6CB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1041" w:type="pct"/>
            <w:gridSpan w:val="2"/>
            <w:tcBorders>
              <w:bottom w:val="single" w:sz="6" w:space="0" w:color="808080"/>
            </w:tcBorders>
            <w:shd w:val="clear" w:color="auto" w:fill="FFFFFF"/>
            <w:tcMar>
              <w:top w:w="0" w:type="dxa"/>
              <w:left w:w="0" w:type="dxa"/>
              <w:bottom w:w="0" w:type="dxa"/>
              <w:right w:w="0" w:type="dxa"/>
            </w:tcMar>
            <w:vAlign w:val="center"/>
            <w:hideMark/>
          </w:tcPr>
          <w:p w14:paraId="337F2BDD" w14:textId="77777777" w:rsidR="002D6CB7" w:rsidRPr="00617599" w:rsidRDefault="002D6CB7" w:rsidP="00360E75">
            <w:pPr>
              <w:spacing w:after="0" w:line="276" w:lineRule="auto"/>
              <w:jc w:val="center"/>
              <w:rPr>
                <w:rFonts w:ascii="Arial" w:eastAsia="Times New Roman" w:hAnsi="Arial" w:cs="Arial"/>
                <w:b/>
                <w:bCs/>
                <w:sz w:val="16"/>
                <w:szCs w:val="16"/>
                <w:vertAlign w:val="superscript"/>
                <w:lang w:eastAsia="en-AU"/>
              </w:rPr>
            </w:pPr>
            <w:r w:rsidRPr="00617599">
              <w:rPr>
                <w:rFonts w:ascii="Arial" w:eastAsia="Times New Roman" w:hAnsi="Arial" w:cs="Arial"/>
                <w:b/>
                <w:bCs/>
                <w:sz w:val="16"/>
                <w:szCs w:val="16"/>
                <w:lang w:eastAsia="en-AU"/>
              </w:rPr>
              <w:t>Thaw</w:t>
            </w:r>
            <w:r w:rsidRPr="00617599">
              <w:rPr>
                <w:rFonts w:ascii="Arial" w:eastAsia="Times New Roman" w:hAnsi="Arial" w:cs="Arial"/>
                <w:b/>
                <w:bCs/>
                <w:sz w:val="16"/>
                <w:szCs w:val="16"/>
                <w:vertAlign w:val="superscript"/>
                <w:lang w:eastAsia="en-AU"/>
              </w:rPr>
              <w:t>(b)</w:t>
            </w:r>
          </w:p>
        </w:tc>
        <w:tc>
          <w:tcPr>
            <w:tcW w:w="49" w:type="pct"/>
            <w:shd w:val="clear" w:color="auto" w:fill="FFFFFF"/>
            <w:tcMar>
              <w:top w:w="0" w:type="dxa"/>
              <w:left w:w="0" w:type="dxa"/>
              <w:bottom w:w="0" w:type="dxa"/>
              <w:right w:w="0" w:type="dxa"/>
            </w:tcMar>
            <w:vAlign w:val="center"/>
            <w:hideMark/>
          </w:tcPr>
          <w:p w14:paraId="30C28AB0" w14:textId="77777777" w:rsidR="002D6CB7" w:rsidRPr="00617599" w:rsidRDefault="002D6CB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1041" w:type="pct"/>
            <w:gridSpan w:val="2"/>
            <w:tcBorders>
              <w:bottom w:val="single" w:sz="6" w:space="0" w:color="808080"/>
            </w:tcBorders>
            <w:shd w:val="clear" w:color="auto" w:fill="FFFFFF"/>
            <w:tcMar>
              <w:top w:w="0" w:type="dxa"/>
              <w:left w:w="0" w:type="dxa"/>
              <w:bottom w:w="0" w:type="dxa"/>
              <w:right w:w="0" w:type="dxa"/>
            </w:tcMar>
            <w:vAlign w:val="center"/>
            <w:hideMark/>
          </w:tcPr>
          <w:p w14:paraId="324F4DC4" w14:textId="77777777" w:rsidR="002D6CB7" w:rsidRPr="00617599" w:rsidRDefault="002D6CB7" w:rsidP="00360E75">
            <w:pPr>
              <w:spacing w:after="0" w:line="276" w:lineRule="auto"/>
              <w:jc w:val="center"/>
              <w:rPr>
                <w:rFonts w:ascii="Arial" w:eastAsia="Times New Roman" w:hAnsi="Arial" w:cs="Arial"/>
                <w:b/>
                <w:bCs/>
                <w:sz w:val="16"/>
                <w:szCs w:val="16"/>
                <w:vertAlign w:val="superscript"/>
                <w:lang w:eastAsia="en-AU"/>
              </w:rPr>
            </w:pPr>
            <w:r w:rsidRPr="00617599">
              <w:rPr>
                <w:rFonts w:ascii="Arial" w:eastAsia="Times New Roman" w:hAnsi="Arial" w:cs="Arial"/>
                <w:b/>
                <w:bCs/>
                <w:sz w:val="16"/>
                <w:szCs w:val="16"/>
                <w:lang w:eastAsia="en-AU"/>
              </w:rPr>
              <w:t>Fresh</w:t>
            </w:r>
            <w:r w:rsidRPr="00617599">
              <w:rPr>
                <w:rFonts w:ascii="Arial" w:eastAsia="Times New Roman" w:hAnsi="Arial" w:cs="Arial"/>
                <w:b/>
                <w:bCs/>
                <w:sz w:val="16"/>
                <w:szCs w:val="16"/>
                <w:vertAlign w:val="superscript"/>
                <w:lang w:eastAsia="en-AU"/>
              </w:rPr>
              <w:t>(a)</w:t>
            </w:r>
          </w:p>
        </w:tc>
        <w:tc>
          <w:tcPr>
            <w:tcW w:w="49" w:type="pct"/>
            <w:shd w:val="clear" w:color="auto" w:fill="FFFFFF"/>
            <w:tcMar>
              <w:top w:w="0" w:type="dxa"/>
              <w:left w:w="0" w:type="dxa"/>
              <w:bottom w:w="0" w:type="dxa"/>
              <w:right w:w="0" w:type="dxa"/>
            </w:tcMar>
            <w:vAlign w:val="center"/>
            <w:hideMark/>
          </w:tcPr>
          <w:p w14:paraId="27672B27" w14:textId="77777777" w:rsidR="002D6CB7" w:rsidRPr="00617599" w:rsidRDefault="002D6CB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1038" w:type="pct"/>
            <w:gridSpan w:val="2"/>
            <w:tcBorders>
              <w:bottom w:val="single" w:sz="6" w:space="0" w:color="808080"/>
            </w:tcBorders>
            <w:shd w:val="clear" w:color="auto" w:fill="FFFFFF"/>
            <w:tcMar>
              <w:top w:w="0" w:type="dxa"/>
              <w:left w:w="0" w:type="dxa"/>
              <w:bottom w:w="0" w:type="dxa"/>
              <w:right w:w="0" w:type="dxa"/>
            </w:tcMar>
            <w:vAlign w:val="center"/>
            <w:hideMark/>
          </w:tcPr>
          <w:p w14:paraId="3BEF2D91" w14:textId="77777777" w:rsidR="002D6CB7" w:rsidRPr="00617599" w:rsidRDefault="002D6CB7" w:rsidP="00360E75">
            <w:pPr>
              <w:spacing w:after="0" w:line="276" w:lineRule="auto"/>
              <w:jc w:val="center"/>
              <w:rPr>
                <w:rFonts w:ascii="Arial" w:eastAsia="Times New Roman" w:hAnsi="Arial" w:cs="Arial"/>
                <w:b/>
                <w:bCs/>
                <w:sz w:val="16"/>
                <w:szCs w:val="16"/>
                <w:vertAlign w:val="superscript"/>
                <w:lang w:eastAsia="en-AU"/>
              </w:rPr>
            </w:pPr>
            <w:r w:rsidRPr="00617599">
              <w:rPr>
                <w:rFonts w:ascii="Arial" w:eastAsia="Times New Roman" w:hAnsi="Arial" w:cs="Arial"/>
                <w:b/>
                <w:bCs/>
                <w:sz w:val="16"/>
                <w:szCs w:val="16"/>
                <w:lang w:eastAsia="en-AU"/>
              </w:rPr>
              <w:t>Thaw</w:t>
            </w:r>
            <w:r w:rsidRPr="00617599">
              <w:rPr>
                <w:rFonts w:ascii="Arial" w:eastAsia="Times New Roman" w:hAnsi="Arial" w:cs="Arial"/>
                <w:b/>
                <w:bCs/>
                <w:sz w:val="16"/>
                <w:szCs w:val="16"/>
                <w:vertAlign w:val="superscript"/>
                <w:lang w:eastAsia="en-AU"/>
              </w:rPr>
              <w:t>(b)</w:t>
            </w:r>
          </w:p>
        </w:tc>
      </w:tr>
      <w:tr w:rsidR="0036125B" w:rsidRPr="00617599" w14:paraId="0A5B8B67" w14:textId="77777777" w:rsidTr="00C3202B">
        <w:trPr>
          <w:trHeight w:val="284"/>
          <w:tblHeader/>
        </w:trPr>
        <w:tc>
          <w:tcPr>
            <w:tcW w:w="692" w:type="pct"/>
            <w:tcBorders>
              <w:bottom w:val="single" w:sz="6" w:space="0" w:color="808080"/>
            </w:tcBorders>
            <w:shd w:val="clear" w:color="auto" w:fill="FFFFFF"/>
            <w:tcMar>
              <w:top w:w="0" w:type="dxa"/>
              <w:left w:w="0" w:type="dxa"/>
              <w:bottom w:w="0" w:type="dxa"/>
              <w:right w:w="0" w:type="dxa"/>
            </w:tcMar>
            <w:vAlign w:val="center"/>
            <w:hideMark/>
          </w:tcPr>
          <w:p w14:paraId="4DEDFB29" w14:textId="77777777" w:rsidR="00EC4BB6" w:rsidRPr="00617599" w:rsidRDefault="00EC4BB6" w:rsidP="00360E75">
            <w:pPr>
              <w:spacing w:after="0" w:line="276" w:lineRule="auto"/>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Procedure</w:t>
            </w:r>
          </w:p>
        </w:tc>
        <w:tc>
          <w:tcPr>
            <w:tcW w:w="528" w:type="pct"/>
            <w:tcBorders>
              <w:bottom w:val="single" w:sz="6" w:space="0" w:color="808080"/>
            </w:tcBorders>
            <w:shd w:val="clear" w:color="auto" w:fill="FFFFFF"/>
            <w:tcMar>
              <w:top w:w="0" w:type="dxa"/>
              <w:left w:w="0" w:type="dxa"/>
              <w:bottom w:w="0" w:type="dxa"/>
              <w:right w:w="0" w:type="dxa"/>
            </w:tcMar>
            <w:vAlign w:val="center"/>
            <w:hideMark/>
          </w:tcPr>
          <w:p w14:paraId="3DC930BB" w14:textId="377FB586"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513" w:type="pct"/>
            <w:tcBorders>
              <w:bottom w:val="single" w:sz="6" w:space="0" w:color="808080"/>
            </w:tcBorders>
            <w:shd w:val="clear" w:color="auto" w:fill="FFFFFF"/>
            <w:tcMar>
              <w:top w:w="0" w:type="dxa"/>
              <w:left w:w="0" w:type="dxa"/>
              <w:bottom w:w="0" w:type="dxa"/>
              <w:right w:w="0" w:type="dxa"/>
            </w:tcMar>
            <w:vAlign w:val="center"/>
            <w:hideMark/>
          </w:tcPr>
          <w:p w14:paraId="6A5F51CB" w14:textId="3963B092"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FFFFFF"/>
            <w:tcMar>
              <w:top w:w="0" w:type="dxa"/>
              <w:left w:w="0" w:type="dxa"/>
              <w:bottom w:w="0" w:type="dxa"/>
              <w:right w:w="0" w:type="dxa"/>
            </w:tcMar>
            <w:vAlign w:val="center"/>
            <w:hideMark/>
          </w:tcPr>
          <w:p w14:paraId="65D1CD1C"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528" w:type="pct"/>
            <w:tcBorders>
              <w:bottom w:val="single" w:sz="6" w:space="0" w:color="808080"/>
            </w:tcBorders>
            <w:shd w:val="clear" w:color="auto" w:fill="FFFFFF"/>
            <w:tcMar>
              <w:top w:w="0" w:type="dxa"/>
              <w:left w:w="0" w:type="dxa"/>
              <w:bottom w:w="0" w:type="dxa"/>
              <w:right w:w="0" w:type="dxa"/>
            </w:tcMar>
            <w:vAlign w:val="center"/>
            <w:hideMark/>
          </w:tcPr>
          <w:p w14:paraId="3CB68862" w14:textId="4079912E"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513" w:type="pct"/>
            <w:tcBorders>
              <w:bottom w:val="single" w:sz="6" w:space="0" w:color="808080"/>
            </w:tcBorders>
            <w:shd w:val="clear" w:color="auto" w:fill="FFFFFF"/>
            <w:tcMar>
              <w:top w:w="0" w:type="dxa"/>
              <w:left w:w="0" w:type="dxa"/>
              <w:bottom w:w="0" w:type="dxa"/>
              <w:right w:w="0" w:type="dxa"/>
            </w:tcMar>
            <w:vAlign w:val="center"/>
            <w:hideMark/>
          </w:tcPr>
          <w:p w14:paraId="419AEFF1" w14:textId="12C357C6"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FFFFFF"/>
            <w:tcMar>
              <w:top w:w="0" w:type="dxa"/>
              <w:left w:w="0" w:type="dxa"/>
              <w:bottom w:w="0" w:type="dxa"/>
              <w:right w:w="0" w:type="dxa"/>
            </w:tcMar>
            <w:vAlign w:val="center"/>
            <w:hideMark/>
          </w:tcPr>
          <w:p w14:paraId="6FF3D04E"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528" w:type="pct"/>
            <w:tcBorders>
              <w:bottom w:val="single" w:sz="6" w:space="0" w:color="808080"/>
            </w:tcBorders>
            <w:shd w:val="clear" w:color="auto" w:fill="FFFFFF"/>
            <w:tcMar>
              <w:top w:w="0" w:type="dxa"/>
              <w:left w:w="0" w:type="dxa"/>
              <w:bottom w:w="0" w:type="dxa"/>
              <w:right w:w="0" w:type="dxa"/>
            </w:tcMar>
            <w:vAlign w:val="center"/>
            <w:hideMark/>
          </w:tcPr>
          <w:p w14:paraId="778B45C8" w14:textId="6B0AF409"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513" w:type="pct"/>
            <w:tcBorders>
              <w:bottom w:val="single" w:sz="6" w:space="0" w:color="808080"/>
            </w:tcBorders>
            <w:shd w:val="clear" w:color="auto" w:fill="FFFFFF"/>
            <w:tcMar>
              <w:top w:w="0" w:type="dxa"/>
              <w:left w:w="0" w:type="dxa"/>
              <w:bottom w:w="0" w:type="dxa"/>
              <w:right w:w="0" w:type="dxa"/>
            </w:tcMar>
            <w:vAlign w:val="center"/>
            <w:hideMark/>
          </w:tcPr>
          <w:p w14:paraId="3500F6D4" w14:textId="1E40E473"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FFFFFF"/>
            <w:tcMar>
              <w:top w:w="0" w:type="dxa"/>
              <w:left w:w="0" w:type="dxa"/>
              <w:bottom w:w="0" w:type="dxa"/>
              <w:right w:w="0" w:type="dxa"/>
            </w:tcMar>
            <w:vAlign w:val="center"/>
            <w:hideMark/>
          </w:tcPr>
          <w:p w14:paraId="0109EF86"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528" w:type="pct"/>
            <w:tcBorders>
              <w:bottom w:val="single" w:sz="6" w:space="0" w:color="808080"/>
            </w:tcBorders>
            <w:shd w:val="clear" w:color="auto" w:fill="FFFFFF"/>
            <w:tcMar>
              <w:top w:w="0" w:type="dxa"/>
              <w:left w:w="0" w:type="dxa"/>
              <w:bottom w:w="0" w:type="dxa"/>
              <w:right w:w="0" w:type="dxa"/>
            </w:tcMar>
            <w:vAlign w:val="center"/>
            <w:hideMark/>
          </w:tcPr>
          <w:p w14:paraId="7536863F" w14:textId="3A88C7E6"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510" w:type="pct"/>
            <w:tcBorders>
              <w:bottom w:val="single" w:sz="6" w:space="0" w:color="808080"/>
            </w:tcBorders>
            <w:shd w:val="clear" w:color="auto" w:fill="FFFFFF"/>
            <w:tcMar>
              <w:top w:w="0" w:type="dxa"/>
              <w:left w:w="0" w:type="dxa"/>
              <w:bottom w:w="0" w:type="dxa"/>
              <w:right w:w="0" w:type="dxa"/>
            </w:tcMar>
            <w:vAlign w:val="center"/>
            <w:hideMark/>
          </w:tcPr>
          <w:p w14:paraId="47C92349" w14:textId="2C699E45"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r>
      <w:tr w:rsidR="000E31E3" w:rsidRPr="00617599" w14:paraId="6A5E02DC" w14:textId="77777777" w:rsidTr="000E31E3">
        <w:trPr>
          <w:trHeight w:val="284"/>
        </w:trPr>
        <w:tc>
          <w:tcPr>
            <w:tcW w:w="692" w:type="pct"/>
            <w:shd w:val="clear" w:color="auto" w:fill="FFFFFF"/>
            <w:tcMar>
              <w:top w:w="0" w:type="dxa"/>
              <w:left w:w="0" w:type="dxa"/>
              <w:bottom w:w="0" w:type="dxa"/>
              <w:right w:w="0" w:type="dxa"/>
            </w:tcMar>
            <w:vAlign w:val="center"/>
            <w:hideMark/>
          </w:tcPr>
          <w:p w14:paraId="74FFA6C3" w14:textId="77777777" w:rsidR="000E31E3" w:rsidRPr="009E0A6F" w:rsidRDefault="000E31E3" w:rsidP="000E31E3">
            <w:pPr>
              <w:spacing w:after="0" w:line="276" w:lineRule="auto"/>
              <w:rPr>
                <w:rFonts w:ascii="Arial" w:eastAsia="Times New Roman" w:hAnsi="Arial" w:cs="Arial"/>
                <w:sz w:val="16"/>
                <w:szCs w:val="16"/>
                <w:lang w:eastAsia="en-AU"/>
              </w:rPr>
            </w:pPr>
            <w:r w:rsidRPr="009E0A6F">
              <w:rPr>
                <w:rFonts w:ascii="Arial" w:eastAsia="Times New Roman" w:hAnsi="Arial" w:cs="Arial"/>
                <w:sz w:val="16"/>
                <w:szCs w:val="16"/>
                <w:lang w:eastAsia="en-AU"/>
              </w:rPr>
              <w:t>IVF</w:t>
            </w:r>
          </w:p>
        </w:tc>
        <w:tc>
          <w:tcPr>
            <w:tcW w:w="528" w:type="pct"/>
            <w:shd w:val="clear" w:color="auto" w:fill="FFFFFF"/>
            <w:tcMar>
              <w:top w:w="0" w:type="dxa"/>
              <w:left w:w="0" w:type="dxa"/>
              <w:bottom w:w="0" w:type="dxa"/>
              <w:right w:w="0" w:type="dxa"/>
            </w:tcMar>
            <w:vAlign w:val="center"/>
          </w:tcPr>
          <w:p w14:paraId="0EAD7776" w14:textId="5CEF0DC5" w:rsidR="000E31E3" w:rsidRPr="009E0A6F" w:rsidRDefault="000E31E3" w:rsidP="000E31E3">
            <w:pPr>
              <w:spacing w:after="0" w:line="276" w:lineRule="auto"/>
              <w:jc w:val="right"/>
              <w:rPr>
                <w:rFonts w:ascii="Arial" w:eastAsia="Times New Roman" w:hAnsi="Arial" w:cs="Arial"/>
                <w:sz w:val="16"/>
                <w:szCs w:val="16"/>
                <w:lang w:eastAsia="en-AU"/>
              </w:rPr>
            </w:pPr>
            <w:r>
              <w:rPr>
                <w:rFonts w:ascii="Arial" w:hAnsi="Arial" w:cs="Arial"/>
                <w:sz w:val="16"/>
                <w:szCs w:val="16"/>
              </w:rPr>
              <w:t>1,737</w:t>
            </w:r>
          </w:p>
        </w:tc>
        <w:tc>
          <w:tcPr>
            <w:tcW w:w="513" w:type="pct"/>
            <w:shd w:val="clear" w:color="auto" w:fill="FFFFFF"/>
            <w:tcMar>
              <w:top w:w="0" w:type="dxa"/>
              <w:left w:w="0" w:type="dxa"/>
              <w:bottom w:w="0" w:type="dxa"/>
              <w:right w:w="0" w:type="dxa"/>
            </w:tcMar>
            <w:vAlign w:val="center"/>
          </w:tcPr>
          <w:p w14:paraId="2FCC9DA5" w14:textId="6E6BB6D8" w:rsidR="000E31E3" w:rsidRPr="00952173" w:rsidRDefault="000E31E3" w:rsidP="000E31E3">
            <w:pPr>
              <w:spacing w:after="0" w:line="276" w:lineRule="auto"/>
              <w:jc w:val="right"/>
              <w:rPr>
                <w:rFonts w:ascii="Arial" w:hAnsi="Arial" w:cs="Arial"/>
                <w:sz w:val="16"/>
                <w:szCs w:val="16"/>
              </w:rPr>
            </w:pPr>
            <w:r>
              <w:rPr>
                <w:rFonts w:ascii="Arial" w:hAnsi="Arial" w:cs="Arial"/>
                <w:sz w:val="16"/>
                <w:szCs w:val="16"/>
              </w:rPr>
              <w:t>51.6</w:t>
            </w:r>
          </w:p>
        </w:tc>
        <w:tc>
          <w:tcPr>
            <w:tcW w:w="49" w:type="pct"/>
            <w:shd w:val="clear" w:color="auto" w:fill="FFFFFF"/>
            <w:tcMar>
              <w:top w:w="0" w:type="dxa"/>
              <w:left w:w="0" w:type="dxa"/>
              <w:bottom w:w="0" w:type="dxa"/>
              <w:right w:w="0" w:type="dxa"/>
            </w:tcMar>
            <w:vAlign w:val="center"/>
          </w:tcPr>
          <w:p w14:paraId="57C88A1F" w14:textId="07E84BF4" w:rsidR="000E31E3" w:rsidRPr="009E0A6F" w:rsidRDefault="000E31E3" w:rsidP="000E31E3">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28" w:type="pct"/>
            <w:shd w:val="clear" w:color="auto" w:fill="FFFFFF"/>
            <w:tcMar>
              <w:top w:w="0" w:type="dxa"/>
              <w:left w:w="0" w:type="dxa"/>
              <w:bottom w:w="0" w:type="dxa"/>
              <w:right w:w="0" w:type="dxa"/>
            </w:tcMar>
            <w:vAlign w:val="center"/>
          </w:tcPr>
          <w:p w14:paraId="4367B688" w14:textId="2C893D21" w:rsidR="000E31E3" w:rsidRPr="009E0A6F" w:rsidRDefault="000E31E3" w:rsidP="000E31E3">
            <w:pPr>
              <w:spacing w:after="0" w:line="276" w:lineRule="auto"/>
              <w:jc w:val="right"/>
              <w:rPr>
                <w:rFonts w:ascii="Arial" w:eastAsia="Times New Roman" w:hAnsi="Arial" w:cs="Arial"/>
                <w:sz w:val="16"/>
                <w:szCs w:val="16"/>
                <w:lang w:eastAsia="en-AU"/>
              </w:rPr>
            </w:pPr>
            <w:r>
              <w:rPr>
                <w:rFonts w:ascii="Arial" w:hAnsi="Arial" w:cs="Arial"/>
                <w:sz w:val="16"/>
                <w:szCs w:val="16"/>
              </w:rPr>
              <w:t>2,059</w:t>
            </w:r>
          </w:p>
        </w:tc>
        <w:tc>
          <w:tcPr>
            <w:tcW w:w="513" w:type="pct"/>
            <w:shd w:val="clear" w:color="auto" w:fill="FFFFFF"/>
            <w:tcMar>
              <w:top w:w="0" w:type="dxa"/>
              <w:left w:w="0" w:type="dxa"/>
              <w:bottom w:w="0" w:type="dxa"/>
              <w:right w:w="0" w:type="dxa"/>
            </w:tcMar>
            <w:vAlign w:val="center"/>
          </w:tcPr>
          <w:p w14:paraId="7CD24F20" w14:textId="6089A674" w:rsidR="000E31E3" w:rsidRPr="00952173" w:rsidRDefault="000E31E3" w:rsidP="000E31E3">
            <w:pPr>
              <w:spacing w:after="0" w:line="276" w:lineRule="auto"/>
              <w:jc w:val="right"/>
              <w:rPr>
                <w:rFonts w:ascii="Arial" w:hAnsi="Arial" w:cs="Arial"/>
                <w:sz w:val="16"/>
                <w:szCs w:val="16"/>
              </w:rPr>
            </w:pPr>
            <w:r>
              <w:rPr>
                <w:rFonts w:ascii="Arial" w:hAnsi="Arial" w:cs="Arial"/>
                <w:sz w:val="16"/>
                <w:szCs w:val="16"/>
              </w:rPr>
              <w:t>51.2</w:t>
            </w:r>
          </w:p>
        </w:tc>
        <w:tc>
          <w:tcPr>
            <w:tcW w:w="49" w:type="pct"/>
            <w:shd w:val="clear" w:color="auto" w:fill="FFFFFF"/>
            <w:tcMar>
              <w:top w:w="0" w:type="dxa"/>
              <w:left w:w="0" w:type="dxa"/>
              <w:bottom w:w="0" w:type="dxa"/>
              <w:right w:w="0" w:type="dxa"/>
            </w:tcMar>
            <w:vAlign w:val="center"/>
          </w:tcPr>
          <w:p w14:paraId="2B328905" w14:textId="5652D415" w:rsidR="000E31E3" w:rsidRPr="009E0A6F" w:rsidRDefault="000E31E3" w:rsidP="000E31E3">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28" w:type="pct"/>
            <w:shd w:val="clear" w:color="auto" w:fill="FFFFFF"/>
            <w:tcMar>
              <w:top w:w="0" w:type="dxa"/>
              <w:left w:w="0" w:type="dxa"/>
              <w:bottom w:w="0" w:type="dxa"/>
              <w:right w:w="0" w:type="dxa"/>
            </w:tcMar>
            <w:vAlign w:val="center"/>
          </w:tcPr>
          <w:p w14:paraId="4CBF4B2C" w14:textId="7CA66EA0" w:rsidR="000E31E3" w:rsidRPr="009E0A6F" w:rsidRDefault="000E31E3" w:rsidP="000E31E3">
            <w:pPr>
              <w:spacing w:after="0" w:line="276" w:lineRule="auto"/>
              <w:jc w:val="right"/>
              <w:rPr>
                <w:rFonts w:ascii="Arial" w:eastAsia="Times New Roman" w:hAnsi="Arial" w:cs="Arial"/>
                <w:sz w:val="16"/>
                <w:szCs w:val="16"/>
                <w:lang w:eastAsia="en-AU"/>
              </w:rPr>
            </w:pPr>
            <w:r>
              <w:rPr>
                <w:rFonts w:ascii="Arial" w:hAnsi="Arial" w:cs="Arial"/>
                <w:sz w:val="16"/>
                <w:szCs w:val="16"/>
              </w:rPr>
              <w:t>15</w:t>
            </w:r>
          </w:p>
        </w:tc>
        <w:tc>
          <w:tcPr>
            <w:tcW w:w="513" w:type="pct"/>
            <w:shd w:val="clear" w:color="auto" w:fill="FFFFFF"/>
            <w:tcMar>
              <w:top w:w="0" w:type="dxa"/>
              <w:left w:w="0" w:type="dxa"/>
              <w:bottom w:w="0" w:type="dxa"/>
              <w:right w:w="0" w:type="dxa"/>
            </w:tcMar>
            <w:vAlign w:val="center"/>
          </w:tcPr>
          <w:p w14:paraId="61B3C653" w14:textId="44053E28" w:rsidR="000E31E3" w:rsidRPr="00952173" w:rsidRDefault="000E31E3" w:rsidP="000E31E3">
            <w:pPr>
              <w:spacing w:after="0" w:line="276" w:lineRule="auto"/>
              <w:jc w:val="right"/>
              <w:rPr>
                <w:rFonts w:ascii="Arial" w:hAnsi="Arial" w:cs="Arial"/>
                <w:sz w:val="16"/>
                <w:szCs w:val="16"/>
              </w:rPr>
            </w:pPr>
            <w:r>
              <w:rPr>
                <w:rFonts w:ascii="Arial" w:hAnsi="Arial" w:cs="Arial"/>
                <w:sz w:val="16"/>
                <w:szCs w:val="16"/>
              </w:rPr>
              <w:t>62.5</w:t>
            </w:r>
          </w:p>
        </w:tc>
        <w:tc>
          <w:tcPr>
            <w:tcW w:w="49" w:type="pct"/>
            <w:shd w:val="clear" w:color="auto" w:fill="FFFFFF"/>
            <w:tcMar>
              <w:top w:w="0" w:type="dxa"/>
              <w:left w:w="0" w:type="dxa"/>
              <w:bottom w:w="0" w:type="dxa"/>
              <w:right w:w="0" w:type="dxa"/>
            </w:tcMar>
            <w:vAlign w:val="center"/>
          </w:tcPr>
          <w:p w14:paraId="48CC5B35" w14:textId="50CA3B1B" w:rsidR="000E31E3" w:rsidRPr="00952173" w:rsidRDefault="000E31E3" w:rsidP="000E31E3">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28" w:type="pct"/>
            <w:shd w:val="clear" w:color="auto" w:fill="FFFFFF"/>
            <w:tcMar>
              <w:top w:w="0" w:type="dxa"/>
              <w:left w:w="0" w:type="dxa"/>
              <w:bottom w:w="0" w:type="dxa"/>
              <w:right w:w="0" w:type="dxa"/>
            </w:tcMar>
            <w:vAlign w:val="center"/>
          </w:tcPr>
          <w:p w14:paraId="62D3E029" w14:textId="1FB36F2C" w:rsidR="000E31E3" w:rsidRPr="0051071F" w:rsidRDefault="000E31E3" w:rsidP="000E31E3">
            <w:pPr>
              <w:spacing w:after="0" w:line="276" w:lineRule="auto"/>
              <w:jc w:val="right"/>
              <w:rPr>
                <w:rFonts w:ascii="Arial" w:eastAsia="Times New Roman" w:hAnsi="Arial" w:cs="Arial"/>
                <w:sz w:val="16"/>
                <w:szCs w:val="16"/>
                <w:lang w:eastAsia="en-AU"/>
              </w:rPr>
            </w:pPr>
            <w:r>
              <w:rPr>
                <w:rFonts w:ascii="Arial" w:hAnsi="Arial" w:cs="Arial"/>
                <w:sz w:val="16"/>
                <w:szCs w:val="16"/>
              </w:rPr>
              <w:t>179</w:t>
            </w:r>
          </w:p>
        </w:tc>
        <w:tc>
          <w:tcPr>
            <w:tcW w:w="510" w:type="pct"/>
            <w:shd w:val="clear" w:color="auto" w:fill="FFFFFF"/>
            <w:tcMar>
              <w:top w:w="0" w:type="dxa"/>
              <w:left w:w="0" w:type="dxa"/>
              <w:bottom w:w="0" w:type="dxa"/>
              <w:right w:w="0" w:type="dxa"/>
            </w:tcMar>
            <w:vAlign w:val="center"/>
          </w:tcPr>
          <w:p w14:paraId="754B71EA" w14:textId="7FA43DAB" w:rsidR="000E31E3" w:rsidRPr="0051071F" w:rsidRDefault="000E31E3" w:rsidP="000E31E3">
            <w:pPr>
              <w:spacing w:after="0" w:line="276" w:lineRule="auto"/>
              <w:jc w:val="right"/>
              <w:rPr>
                <w:rFonts w:ascii="Arial" w:eastAsia="Times New Roman" w:hAnsi="Arial" w:cs="Arial"/>
                <w:sz w:val="16"/>
                <w:szCs w:val="16"/>
                <w:lang w:eastAsia="en-AU"/>
              </w:rPr>
            </w:pPr>
            <w:r>
              <w:rPr>
                <w:rFonts w:ascii="Arial" w:hAnsi="Arial" w:cs="Arial"/>
                <w:sz w:val="16"/>
                <w:szCs w:val="16"/>
              </w:rPr>
              <w:t>49.0</w:t>
            </w:r>
          </w:p>
        </w:tc>
      </w:tr>
      <w:tr w:rsidR="000E31E3" w:rsidRPr="00617599" w14:paraId="18D98CE0" w14:textId="77777777" w:rsidTr="000E31E3">
        <w:trPr>
          <w:trHeight w:val="284"/>
        </w:trPr>
        <w:tc>
          <w:tcPr>
            <w:tcW w:w="692" w:type="pct"/>
            <w:shd w:val="clear" w:color="auto" w:fill="FFFFFF"/>
            <w:tcMar>
              <w:top w:w="0" w:type="dxa"/>
              <w:left w:w="0" w:type="dxa"/>
              <w:bottom w:w="0" w:type="dxa"/>
              <w:right w:w="0" w:type="dxa"/>
            </w:tcMar>
            <w:vAlign w:val="center"/>
            <w:hideMark/>
          </w:tcPr>
          <w:p w14:paraId="33A09EA5" w14:textId="77777777" w:rsidR="000E31E3" w:rsidRPr="009E0A6F" w:rsidRDefault="000E31E3" w:rsidP="000E31E3">
            <w:pPr>
              <w:spacing w:after="0" w:line="276" w:lineRule="auto"/>
              <w:rPr>
                <w:rFonts w:ascii="Arial" w:eastAsia="Times New Roman" w:hAnsi="Arial" w:cs="Arial"/>
                <w:sz w:val="16"/>
                <w:szCs w:val="16"/>
                <w:vertAlign w:val="superscript"/>
                <w:lang w:eastAsia="en-AU"/>
              </w:rPr>
            </w:pPr>
            <w:r w:rsidRPr="009E0A6F">
              <w:rPr>
                <w:rFonts w:ascii="Arial" w:eastAsia="Times New Roman" w:hAnsi="Arial" w:cs="Arial"/>
                <w:sz w:val="16"/>
                <w:szCs w:val="16"/>
                <w:lang w:eastAsia="en-AU"/>
              </w:rPr>
              <w:t>ICSI</w:t>
            </w:r>
            <w:r w:rsidRPr="009E0A6F">
              <w:rPr>
                <w:rFonts w:ascii="Arial" w:eastAsia="Times New Roman" w:hAnsi="Arial" w:cs="Arial"/>
                <w:sz w:val="16"/>
                <w:szCs w:val="16"/>
                <w:vertAlign w:val="superscript"/>
                <w:lang w:eastAsia="en-AU"/>
              </w:rPr>
              <w:t>(c)</w:t>
            </w:r>
          </w:p>
        </w:tc>
        <w:tc>
          <w:tcPr>
            <w:tcW w:w="528" w:type="pct"/>
            <w:shd w:val="clear" w:color="auto" w:fill="FFFFFF"/>
            <w:tcMar>
              <w:top w:w="0" w:type="dxa"/>
              <w:left w:w="0" w:type="dxa"/>
              <w:bottom w:w="0" w:type="dxa"/>
              <w:right w:w="0" w:type="dxa"/>
            </w:tcMar>
            <w:vAlign w:val="center"/>
          </w:tcPr>
          <w:p w14:paraId="33F2E8EC" w14:textId="34415560" w:rsidR="000E31E3" w:rsidRPr="009E0A6F" w:rsidRDefault="000E31E3" w:rsidP="000E31E3">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1,631</w:t>
            </w:r>
          </w:p>
        </w:tc>
        <w:tc>
          <w:tcPr>
            <w:tcW w:w="513" w:type="pct"/>
            <w:shd w:val="clear" w:color="auto" w:fill="FFFFFF"/>
            <w:tcMar>
              <w:top w:w="0" w:type="dxa"/>
              <w:left w:w="0" w:type="dxa"/>
              <w:bottom w:w="0" w:type="dxa"/>
              <w:right w:w="0" w:type="dxa"/>
            </w:tcMar>
            <w:vAlign w:val="center"/>
          </w:tcPr>
          <w:p w14:paraId="08DE7C6E" w14:textId="2CF367CD" w:rsidR="000E31E3" w:rsidRPr="00952173" w:rsidRDefault="000E31E3" w:rsidP="000E31E3">
            <w:pPr>
              <w:spacing w:after="0" w:line="276" w:lineRule="auto"/>
              <w:jc w:val="right"/>
              <w:rPr>
                <w:rFonts w:ascii="Arial" w:hAnsi="Arial" w:cs="Arial"/>
                <w:sz w:val="16"/>
                <w:szCs w:val="16"/>
              </w:rPr>
            </w:pPr>
            <w:r>
              <w:rPr>
                <w:rFonts w:ascii="Arial" w:hAnsi="Arial" w:cs="Arial"/>
                <w:sz w:val="16"/>
                <w:szCs w:val="16"/>
              </w:rPr>
              <w:t>48.4</w:t>
            </w:r>
          </w:p>
        </w:tc>
        <w:tc>
          <w:tcPr>
            <w:tcW w:w="49" w:type="pct"/>
            <w:shd w:val="clear" w:color="auto" w:fill="FFFFFF"/>
            <w:tcMar>
              <w:top w:w="0" w:type="dxa"/>
              <w:left w:w="0" w:type="dxa"/>
              <w:bottom w:w="0" w:type="dxa"/>
              <w:right w:w="0" w:type="dxa"/>
            </w:tcMar>
            <w:vAlign w:val="center"/>
          </w:tcPr>
          <w:p w14:paraId="5A584181" w14:textId="31467D03" w:rsidR="000E31E3" w:rsidRPr="009E0A6F" w:rsidRDefault="000E31E3" w:rsidP="000E31E3">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28" w:type="pct"/>
            <w:shd w:val="clear" w:color="auto" w:fill="FFFFFF"/>
            <w:tcMar>
              <w:top w:w="0" w:type="dxa"/>
              <w:left w:w="0" w:type="dxa"/>
              <w:bottom w:w="0" w:type="dxa"/>
              <w:right w:w="0" w:type="dxa"/>
            </w:tcMar>
            <w:vAlign w:val="center"/>
          </w:tcPr>
          <w:p w14:paraId="06D5DEE3" w14:textId="3BF5214A" w:rsidR="000E31E3" w:rsidRPr="009E0A6F" w:rsidRDefault="000E31E3" w:rsidP="000E31E3">
            <w:pPr>
              <w:spacing w:after="0" w:line="276" w:lineRule="auto"/>
              <w:jc w:val="right"/>
              <w:rPr>
                <w:rFonts w:ascii="Arial" w:eastAsia="Times New Roman" w:hAnsi="Arial" w:cs="Arial"/>
                <w:sz w:val="16"/>
                <w:szCs w:val="16"/>
                <w:lang w:eastAsia="en-AU"/>
              </w:rPr>
            </w:pPr>
            <w:r>
              <w:rPr>
                <w:rFonts w:ascii="Arial" w:hAnsi="Arial" w:cs="Arial"/>
                <w:sz w:val="16"/>
                <w:szCs w:val="16"/>
              </w:rPr>
              <w:t>1,959</w:t>
            </w:r>
          </w:p>
        </w:tc>
        <w:tc>
          <w:tcPr>
            <w:tcW w:w="513" w:type="pct"/>
            <w:shd w:val="clear" w:color="auto" w:fill="FFFFFF"/>
            <w:tcMar>
              <w:top w:w="0" w:type="dxa"/>
              <w:left w:w="0" w:type="dxa"/>
              <w:bottom w:w="0" w:type="dxa"/>
              <w:right w:w="0" w:type="dxa"/>
            </w:tcMar>
            <w:vAlign w:val="center"/>
          </w:tcPr>
          <w:p w14:paraId="55D468F4" w14:textId="2C3A84C9" w:rsidR="000E31E3" w:rsidRPr="00952173" w:rsidRDefault="000E31E3" w:rsidP="000E31E3">
            <w:pPr>
              <w:spacing w:after="0" w:line="276" w:lineRule="auto"/>
              <w:jc w:val="right"/>
              <w:rPr>
                <w:rFonts w:ascii="Arial" w:hAnsi="Arial" w:cs="Arial"/>
                <w:sz w:val="16"/>
                <w:szCs w:val="16"/>
              </w:rPr>
            </w:pPr>
            <w:r>
              <w:rPr>
                <w:rFonts w:ascii="Arial" w:hAnsi="Arial" w:cs="Arial"/>
                <w:sz w:val="16"/>
                <w:szCs w:val="16"/>
              </w:rPr>
              <w:t>48.8</w:t>
            </w:r>
          </w:p>
        </w:tc>
        <w:tc>
          <w:tcPr>
            <w:tcW w:w="49" w:type="pct"/>
            <w:shd w:val="clear" w:color="auto" w:fill="FFFFFF"/>
            <w:tcMar>
              <w:top w:w="0" w:type="dxa"/>
              <w:left w:w="0" w:type="dxa"/>
              <w:bottom w:w="0" w:type="dxa"/>
              <w:right w:w="0" w:type="dxa"/>
            </w:tcMar>
            <w:vAlign w:val="center"/>
          </w:tcPr>
          <w:p w14:paraId="50CB4536" w14:textId="10174E7F" w:rsidR="000E31E3" w:rsidRPr="009E0A6F" w:rsidRDefault="000E31E3" w:rsidP="000E31E3">
            <w:pPr>
              <w:spacing w:after="0" w:line="276" w:lineRule="auto"/>
              <w:jc w:val="right"/>
              <w:rPr>
                <w:rFonts w:ascii="Arial" w:eastAsia="Times New Roman" w:hAnsi="Arial" w:cs="Arial"/>
                <w:sz w:val="16"/>
                <w:szCs w:val="16"/>
                <w:lang w:eastAsia="en-AU"/>
              </w:rPr>
            </w:pPr>
          </w:p>
        </w:tc>
        <w:tc>
          <w:tcPr>
            <w:tcW w:w="528" w:type="pct"/>
            <w:shd w:val="clear" w:color="auto" w:fill="FFFFFF"/>
            <w:tcMar>
              <w:top w:w="0" w:type="dxa"/>
              <w:left w:w="0" w:type="dxa"/>
              <w:bottom w:w="0" w:type="dxa"/>
              <w:right w:w="0" w:type="dxa"/>
            </w:tcMar>
            <w:vAlign w:val="center"/>
          </w:tcPr>
          <w:p w14:paraId="212B0A07" w14:textId="46F847E6" w:rsidR="000E31E3" w:rsidRPr="009E0A6F" w:rsidRDefault="000E31E3" w:rsidP="000E31E3">
            <w:pPr>
              <w:spacing w:after="0" w:line="276" w:lineRule="auto"/>
              <w:jc w:val="right"/>
              <w:rPr>
                <w:rFonts w:ascii="Arial" w:eastAsia="Times New Roman" w:hAnsi="Arial" w:cs="Arial"/>
                <w:sz w:val="16"/>
                <w:szCs w:val="16"/>
                <w:lang w:eastAsia="en-AU"/>
              </w:rPr>
            </w:pPr>
            <w:r>
              <w:rPr>
                <w:rFonts w:ascii="Arial" w:hAnsi="Arial" w:cs="Arial"/>
                <w:sz w:val="16"/>
                <w:szCs w:val="16"/>
              </w:rPr>
              <w:t>9</w:t>
            </w:r>
          </w:p>
        </w:tc>
        <w:tc>
          <w:tcPr>
            <w:tcW w:w="513" w:type="pct"/>
            <w:shd w:val="clear" w:color="auto" w:fill="FFFFFF"/>
            <w:tcMar>
              <w:top w:w="0" w:type="dxa"/>
              <w:left w:w="0" w:type="dxa"/>
              <w:bottom w:w="0" w:type="dxa"/>
              <w:right w:w="0" w:type="dxa"/>
            </w:tcMar>
            <w:vAlign w:val="center"/>
          </w:tcPr>
          <w:p w14:paraId="0B2C671E" w14:textId="7E6E0EB7" w:rsidR="000E31E3" w:rsidRPr="00952173" w:rsidRDefault="000E31E3" w:rsidP="000E31E3">
            <w:pPr>
              <w:spacing w:after="0" w:line="276" w:lineRule="auto"/>
              <w:jc w:val="right"/>
              <w:rPr>
                <w:rFonts w:ascii="Arial" w:hAnsi="Arial" w:cs="Arial"/>
                <w:sz w:val="16"/>
                <w:szCs w:val="16"/>
              </w:rPr>
            </w:pPr>
            <w:r>
              <w:rPr>
                <w:rFonts w:ascii="Arial" w:hAnsi="Arial" w:cs="Arial"/>
                <w:sz w:val="16"/>
                <w:szCs w:val="16"/>
              </w:rPr>
              <w:t>37.5</w:t>
            </w:r>
          </w:p>
        </w:tc>
        <w:tc>
          <w:tcPr>
            <w:tcW w:w="49" w:type="pct"/>
            <w:shd w:val="clear" w:color="auto" w:fill="FFFFFF"/>
            <w:tcMar>
              <w:top w:w="0" w:type="dxa"/>
              <w:left w:w="0" w:type="dxa"/>
              <w:bottom w:w="0" w:type="dxa"/>
              <w:right w:w="0" w:type="dxa"/>
            </w:tcMar>
            <w:vAlign w:val="center"/>
          </w:tcPr>
          <w:p w14:paraId="417CA2B2" w14:textId="593394C3" w:rsidR="000E31E3" w:rsidRPr="00FC25B6" w:rsidRDefault="000E31E3" w:rsidP="000E31E3">
            <w:pPr>
              <w:spacing w:after="0" w:line="276" w:lineRule="auto"/>
              <w:jc w:val="right"/>
              <w:rPr>
                <w:rFonts w:ascii="Arial" w:eastAsia="Times New Roman" w:hAnsi="Arial" w:cs="Arial"/>
                <w:sz w:val="16"/>
                <w:szCs w:val="16"/>
                <w:highlight w:val="yellow"/>
                <w:lang w:eastAsia="en-AU"/>
              </w:rPr>
            </w:pPr>
            <w:r>
              <w:rPr>
                <w:rFonts w:ascii="Arial" w:hAnsi="Arial" w:cs="Arial"/>
                <w:sz w:val="16"/>
                <w:szCs w:val="16"/>
              </w:rPr>
              <w:t> </w:t>
            </w:r>
          </w:p>
        </w:tc>
        <w:tc>
          <w:tcPr>
            <w:tcW w:w="528" w:type="pct"/>
            <w:shd w:val="clear" w:color="auto" w:fill="FFFFFF"/>
            <w:tcMar>
              <w:top w:w="0" w:type="dxa"/>
              <w:left w:w="0" w:type="dxa"/>
              <w:bottom w:w="0" w:type="dxa"/>
              <w:right w:w="0" w:type="dxa"/>
            </w:tcMar>
            <w:vAlign w:val="center"/>
          </w:tcPr>
          <w:p w14:paraId="657A545D" w14:textId="301D840E" w:rsidR="000E31E3" w:rsidRPr="009E0A6F" w:rsidRDefault="000E31E3" w:rsidP="000E31E3">
            <w:pPr>
              <w:spacing w:after="0" w:line="276" w:lineRule="auto"/>
              <w:jc w:val="right"/>
              <w:rPr>
                <w:rFonts w:ascii="Arial" w:eastAsia="Times New Roman" w:hAnsi="Arial" w:cs="Arial"/>
                <w:sz w:val="16"/>
                <w:szCs w:val="16"/>
                <w:lang w:eastAsia="en-AU"/>
              </w:rPr>
            </w:pPr>
            <w:r>
              <w:rPr>
                <w:rFonts w:ascii="Arial" w:hAnsi="Arial" w:cs="Arial"/>
                <w:sz w:val="16"/>
                <w:szCs w:val="16"/>
              </w:rPr>
              <w:t>186</w:t>
            </w:r>
          </w:p>
        </w:tc>
        <w:tc>
          <w:tcPr>
            <w:tcW w:w="510" w:type="pct"/>
            <w:shd w:val="clear" w:color="auto" w:fill="FFFFFF"/>
            <w:tcMar>
              <w:top w:w="0" w:type="dxa"/>
              <w:left w:w="0" w:type="dxa"/>
              <w:bottom w:w="0" w:type="dxa"/>
              <w:right w:w="0" w:type="dxa"/>
            </w:tcMar>
            <w:vAlign w:val="center"/>
          </w:tcPr>
          <w:p w14:paraId="21035B7D" w14:textId="340E5093" w:rsidR="000E31E3" w:rsidRPr="0051071F" w:rsidRDefault="000E31E3" w:rsidP="000E31E3">
            <w:pPr>
              <w:spacing w:after="0" w:line="276" w:lineRule="auto"/>
              <w:jc w:val="right"/>
              <w:rPr>
                <w:rFonts w:ascii="Arial" w:eastAsia="Times New Roman" w:hAnsi="Arial" w:cs="Arial"/>
                <w:sz w:val="16"/>
                <w:szCs w:val="16"/>
                <w:lang w:eastAsia="en-AU"/>
              </w:rPr>
            </w:pPr>
            <w:r>
              <w:rPr>
                <w:rFonts w:ascii="Arial" w:hAnsi="Arial" w:cs="Arial"/>
                <w:sz w:val="16"/>
                <w:szCs w:val="16"/>
              </w:rPr>
              <w:t>51.0</w:t>
            </w:r>
          </w:p>
        </w:tc>
      </w:tr>
      <w:tr w:rsidR="000E31E3" w:rsidRPr="00617599" w14:paraId="33896855" w14:textId="77777777" w:rsidTr="000E31E3">
        <w:trPr>
          <w:trHeight w:val="284"/>
        </w:trPr>
        <w:tc>
          <w:tcPr>
            <w:tcW w:w="692" w:type="pct"/>
            <w:shd w:val="clear" w:color="auto" w:fill="FFFFFF"/>
            <w:tcMar>
              <w:top w:w="0" w:type="dxa"/>
              <w:left w:w="0" w:type="dxa"/>
              <w:bottom w:w="0" w:type="dxa"/>
              <w:right w:w="0" w:type="dxa"/>
            </w:tcMar>
            <w:vAlign w:val="center"/>
          </w:tcPr>
          <w:p w14:paraId="5BC5AEC6" w14:textId="661ACDEA" w:rsidR="000E31E3" w:rsidRPr="009E0A6F" w:rsidRDefault="000E31E3" w:rsidP="000E31E3">
            <w:pPr>
              <w:spacing w:after="0" w:line="276" w:lineRule="auto"/>
              <w:rPr>
                <w:rFonts w:ascii="Arial" w:eastAsia="Times New Roman" w:hAnsi="Arial" w:cs="Arial"/>
                <w:sz w:val="16"/>
                <w:szCs w:val="16"/>
                <w:lang w:eastAsia="en-AU"/>
              </w:rPr>
            </w:pPr>
            <w:r>
              <w:rPr>
                <w:rFonts w:ascii="Arial" w:eastAsia="Times New Roman" w:hAnsi="Arial" w:cs="Arial"/>
                <w:sz w:val="16"/>
                <w:szCs w:val="16"/>
                <w:lang w:eastAsia="en-AU"/>
              </w:rPr>
              <w:t>Not stated</w:t>
            </w:r>
          </w:p>
        </w:tc>
        <w:tc>
          <w:tcPr>
            <w:tcW w:w="528" w:type="pct"/>
            <w:shd w:val="clear" w:color="auto" w:fill="FFFFFF"/>
            <w:tcMar>
              <w:top w:w="0" w:type="dxa"/>
              <w:left w:w="0" w:type="dxa"/>
              <w:bottom w:w="0" w:type="dxa"/>
              <w:right w:w="0" w:type="dxa"/>
            </w:tcMar>
            <w:vAlign w:val="center"/>
          </w:tcPr>
          <w:p w14:paraId="49CED565" w14:textId="46053729" w:rsidR="000E31E3" w:rsidRDefault="000E31E3" w:rsidP="000E31E3">
            <w:pPr>
              <w:spacing w:after="0" w:line="276" w:lineRule="auto"/>
              <w:jc w:val="right"/>
              <w:rPr>
                <w:rFonts w:ascii="Arial" w:hAnsi="Arial" w:cs="Arial"/>
                <w:color w:val="000000"/>
                <w:sz w:val="16"/>
                <w:szCs w:val="16"/>
              </w:rPr>
            </w:pPr>
            <w:r>
              <w:rPr>
                <w:rFonts w:ascii="Arial" w:hAnsi="Arial" w:cs="Arial"/>
                <w:sz w:val="16"/>
                <w:szCs w:val="16"/>
              </w:rPr>
              <w:t>0</w:t>
            </w:r>
          </w:p>
        </w:tc>
        <w:tc>
          <w:tcPr>
            <w:tcW w:w="513" w:type="pct"/>
            <w:shd w:val="clear" w:color="auto" w:fill="FFFFFF"/>
            <w:tcMar>
              <w:top w:w="0" w:type="dxa"/>
              <w:left w:w="0" w:type="dxa"/>
              <w:bottom w:w="0" w:type="dxa"/>
              <w:right w:w="0" w:type="dxa"/>
            </w:tcMar>
            <w:vAlign w:val="center"/>
          </w:tcPr>
          <w:p w14:paraId="1EDD5A03" w14:textId="1FFD8CE5" w:rsidR="000E31E3" w:rsidRPr="002C62EB" w:rsidRDefault="000E31E3" w:rsidP="000E31E3">
            <w:pPr>
              <w:spacing w:after="0" w:line="276" w:lineRule="auto"/>
              <w:jc w:val="right"/>
              <w:rPr>
                <w:rFonts w:ascii="Arial" w:hAnsi="Arial" w:cs="Arial"/>
                <w:sz w:val="16"/>
                <w:szCs w:val="16"/>
              </w:rPr>
            </w:pPr>
            <w:r>
              <w:rPr>
                <w:rFonts w:ascii="Arial" w:hAnsi="Arial" w:cs="Arial"/>
                <w:sz w:val="16"/>
                <w:szCs w:val="16"/>
              </w:rPr>
              <w:t>0.0</w:t>
            </w:r>
          </w:p>
        </w:tc>
        <w:tc>
          <w:tcPr>
            <w:tcW w:w="49" w:type="pct"/>
            <w:shd w:val="clear" w:color="auto" w:fill="FFFFFF"/>
            <w:tcMar>
              <w:top w:w="0" w:type="dxa"/>
              <w:left w:w="0" w:type="dxa"/>
              <w:bottom w:w="0" w:type="dxa"/>
              <w:right w:w="0" w:type="dxa"/>
            </w:tcMar>
            <w:vAlign w:val="center"/>
          </w:tcPr>
          <w:p w14:paraId="2CD2E228" w14:textId="34806403" w:rsidR="000E31E3" w:rsidRDefault="000E31E3" w:rsidP="000E31E3">
            <w:pPr>
              <w:spacing w:after="0" w:line="276" w:lineRule="auto"/>
              <w:jc w:val="right"/>
              <w:rPr>
                <w:rFonts w:ascii="Arial" w:hAnsi="Arial" w:cs="Arial"/>
                <w:sz w:val="16"/>
                <w:szCs w:val="16"/>
              </w:rPr>
            </w:pPr>
            <w:r>
              <w:rPr>
                <w:rFonts w:ascii="Arial" w:hAnsi="Arial" w:cs="Arial"/>
                <w:sz w:val="16"/>
                <w:szCs w:val="16"/>
              </w:rPr>
              <w:t> </w:t>
            </w:r>
          </w:p>
        </w:tc>
        <w:tc>
          <w:tcPr>
            <w:tcW w:w="528" w:type="pct"/>
            <w:shd w:val="clear" w:color="auto" w:fill="FFFFFF"/>
            <w:tcMar>
              <w:top w:w="0" w:type="dxa"/>
              <w:left w:w="0" w:type="dxa"/>
              <w:bottom w:w="0" w:type="dxa"/>
              <w:right w:w="0" w:type="dxa"/>
            </w:tcMar>
            <w:vAlign w:val="center"/>
          </w:tcPr>
          <w:p w14:paraId="313AF3CC" w14:textId="428136CB" w:rsidR="000E31E3" w:rsidRDefault="000E31E3" w:rsidP="000E31E3">
            <w:pPr>
              <w:spacing w:after="0" w:line="276" w:lineRule="auto"/>
              <w:jc w:val="right"/>
              <w:rPr>
                <w:rFonts w:ascii="Arial" w:hAnsi="Arial" w:cs="Arial"/>
                <w:color w:val="000000"/>
                <w:sz w:val="16"/>
                <w:szCs w:val="16"/>
              </w:rPr>
            </w:pPr>
            <w:r>
              <w:rPr>
                <w:rFonts w:ascii="Arial" w:hAnsi="Arial" w:cs="Arial"/>
                <w:sz w:val="16"/>
                <w:szCs w:val="16"/>
              </w:rPr>
              <w:t>0</w:t>
            </w:r>
          </w:p>
        </w:tc>
        <w:tc>
          <w:tcPr>
            <w:tcW w:w="513" w:type="pct"/>
            <w:shd w:val="clear" w:color="auto" w:fill="FFFFFF"/>
            <w:tcMar>
              <w:top w:w="0" w:type="dxa"/>
              <w:left w:w="0" w:type="dxa"/>
              <w:bottom w:w="0" w:type="dxa"/>
              <w:right w:w="0" w:type="dxa"/>
            </w:tcMar>
            <w:vAlign w:val="center"/>
          </w:tcPr>
          <w:p w14:paraId="3DA795BA" w14:textId="4E0010EE" w:rsidR="000E31E3" w:rsidRPr="002C62EB" w:rsidRDefault="000E31E3" w:rsidP="000E31E3">
            <w:pPr>
              <w:spacing w:after="0" w:line="276" w:lineRule="auto"/>
              <w:jc w:val="right"/>
              <w:rPr>
                <w:rFonts w:ascii="Arial" w:hAnsi="Arial" w:cs="Arial"/>
                <w:sz w:val="16"/>
                <w:szCs w:val="16"/>
              </w:rPr>
            </w:pPr>
            <w:r>
              <w:rPr>
                <w:rFonts w:ascii="Arial" w:hAnsi="Arial" w:cs="Arial"/>
                <w:sz w:val="16"/>
                <w:szCs w:val="16"/>
              </w:rPr>
              <w:t>0.0</w:t>
            </w:r>
          </w:p>
        </w:tc>
        <w:tc>
          <w:tcPr>
            <w:tcW w:w="49" w:type="pct"/>
            <w:shd w:val="clear" w:color="auto" w:fill="FFFFFF"/>
            <w:tcMar>
              <w:top w:w="0" w:type="dxa"/>
              <w:left w:w="0" w:type="dxa"/>
              <w:bottom w:w="0" w:type="dxa"/>
              <w:right w:w="0" w:type="dxa"/>
            </w:tcMar>
            <w:vAlign w:val="center"/>
          </w:tcPr>
          <w:p w14:paraId="6127D862" w14:textId="53959353" w:rsidR="000E31E3" w:rsidRPr="009E0A6F" w:rsidRDefault="000E31E3" w:rsidP="000E31E3">
            <w:pPr>
              <w:spacing w:after="0" w:line="276" w:lineRule="auto"/>
              <w:jc w:val="right"/>
              <w:rPr>
                <w:rFonts w:ascii="Arial" w:eastAsia="Times New Roman" w:hAnsi="Arial" w:cs="Arial"/>
                <w:sz w:val="16"/>
                <w:szCs w:val="16"/>
                <w:lang w:eastAsia="en-AU"/>
              </w:rPr>
            </w:pPr>
          </w:p>
        </w:tc>
        <w:tc>
          <w:tcPr>
            <w:tcW w:w="528" w:type="pct"/>
            <w:shd w:val="clear" w:color="auto" w:fill="FFFFFF"/>
            <w:tcMar>
              <w:top w:w="0" w:type="dxa"/>
              <w:left w:w="0" w:type="dxa"/>
              <w:bottom w:w="0" w:type="dxa"/>
              <w:right w:w="0" w:type="dxa"/>
            </w:tcMar>
            <w:vAlign w:val="center"/>
          </w:tcPr>
          <w:p w14:paraId="50A5234F" w14:textId="6F1BEB37" w:rsidR="000E31E3" w:rsidRDefault="000E31E3" w:rsidP="000E31E3">
            <w:pPr>
              <w:spacing w:after="0" w:line="276" w:lineRule="auto"/>
              <w:jc w:val="right"/>
              <w:rPr>
                <w:rFonts w:ascii="Arial" w:hAnsi="Arial" w:cs="Arial"/>
                <w:color w:val="000000"/>
                <w:sz w:val="16"/>
                <w:szCs w:val="16"/>
              </w:rPr>
            </w:pPr>
            <w:r>
              <w:rPr>
                <w:rFonts w:ascii="Arial" w:hAnsi="Arial" w:cs="Arial"/>
                <w:sz w:val="16"/>
                <w:szCs w:val="16"/>
              </w:rPr>
              <w:t>0</w:t>
            </w:r>
          </w:p>
        </w:tc>
        <w:tc>
          <w:tcPr>
            <w:tcW w:w="513" w:type="pct"/>
            <w:shd w:val="clear" w:color="auto" w:fill="FFFFFF"/>
            <w:tcMar>
              <w:top w:w="0" w:type="dxa"/>
              <w:left w:w="0" w:type="dxa"/>
              <w:bottom w:w="0" w:type="dxa"/>
              <w:right w:w="0" w:type="dxa"/>
            </w:tcMar>
            <w:vAlign w:val="center"/>
          </w:tcPr>
          <w:p w14:paraId="6A486344" w14:textId="42BB3BD3" w:rsidR="000E31E3" w:rsidRPr="002C62EB" w:rsidRDefault="000E31E3" w:rsidP="000E31E3">
            <w:pPr>
              <w:spacing w:after="0" w:line="276" w:lineRule="auto"/>
              <w:jc w:val="right"/>
              <w:rPr>
                <w:rFonts w:ascii="Arial" w:hAnsi="Arial" w:cs="Arial"/>
                <w:sz w:val="16"/>
                <w:szCs w:val="16"/>
              </w:rPr>
            </w:pPr>
            <w:r>
              <w:rPr>
                <w:rFonts w:ascii="Arial" w:hAnsi="Arial" w:cs="Arial"/>
                <w:sz w:val="16"/>
                <w:szCs w:val="16"/>
              </w:rPr>
              <w:t>0.0</w:t>
            </w:r>
          </w:p>
        </w:tc>
        <w:tc>
          <w:tcPr>
            <w:tcW w:w="49" w:type="pct"/>
            <w:shd w:val="clear" w:color="auto" w:fill="FFFFFF"/>
            <w:tcMar>
              <w:top w:w="0" w:type="dxa"/>
              <w:left w:w="0" w:type="dxa"/>
              <w:bottom w:w="0" w:type="dxa"/>
              <w:right w:w="0" w:type="dxa"/>
            </w:tcMar>
            <w:vAlign w:val="center"/>
          </w:tcPr>
          <w:p w14:paraId="7615122C" w14:textId="2C50BC45" w:rsidR="000E31E3" w:rsidRPr="009E0A6F" w:rsidRDefault="000E31E3" w:rsidP="000E31E3">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28" w:type="pct"/>
            <w:shd w:val="clear" w:color="auto" w:fill="FFFFFF"/>
            <w:tcMar>
              <w:top w:w="0" w:type="dxa"/>
              <w:left w:w="0" w:type="dxa"/>
              <w:bottom w:w="0" w:type="dxa"/>
              <w:right w:w="0" w:type="dxa"/>
            </w:tcMar>
            <w:vAlign w:val="center"/>
          </w:tcPr>
          <w:p w14:paraId="21672676" w14:textId="424CC207" w:rsidR="000E31E3" w:rsidRDefault="000E31E3" w:rsidP="000E31E3">
            <w:pPr>
              <w:spacing w:after="0" w:line="276" w:lineRule="auto"/>
              <w:jc w:val="right"/>
              <w:rPr>
                <w:rFonts w:ascii="Arial" w:hAnsi="Arial" w:cs="Arial"/>
                <w:color w:val="000000"/>
                <w:sz w:val="16"/>
                <w:szCs w:val="16"/>
              </w:rPr>
            </w:pPr>
            <w:r>
              <w:rPr>
                <w:rFonts w:ascii="Arial" w:hAnsi="Arial" w:cs="Arial"/>
                <w:sz w:val="16"/>
                <w:szCs w:val="16"/>
              </w:rPr>
              <w:t>0</w:t>
            </w:r>
          </w:p>
        </w:tc>
        <w:tc>
          <w:tcPr>
            <w:tcW w:w="510" w:type="pct"/>
            <w:shd w:val="clear" w:color="auto" w:fill="FFFFFF"/>
            <w:tcMar>
              <w:top w:w="0" w:type="dxa"/>
              <w:left w:w="0" w:type="dxa"/>
              <w:bottom w:w="0" w:type="dxa"/>
              <w:right w:w="0" w:type="dxa"/>
            </w:tcMar>
            <w:vAlign w:val="center"/>
          </w:tcPr>
          <w:p w14:paraId="0D3B35BE" w14:textId="74913AE1" w:rsidR="000E31E3" w:rsidRPr="00952173" w:rsidRDefault="000E31E3" w:rsidP="000E31E3">
            <w:pPr>
              <w:spacing w:after="0" w:line="276" w:lineRule="auto"/>
              <w:jc w:val="right"/>
              <w:rPr>
                <w:rFonts w:ascii="Arial" w:hAnsi="Arial" w:cs="Arial"/>
                <w:sz w:val="16"/>
                <w:szCs w:val="16"/>
              </w:rPr>
            </w:pPr>
            <w:r>
              <w:rPr>
                <w:rFonts w:ascii="Arial" w:hAnsi="Arial" w:cs="Arial"/>
                <w:sz w:val="16"/>
                <w:szCs w:val="16"/>
              </w:rPr>
              <w:t>0.0</w:t>
            </w:r>
          </w:p>
        </w:tc>
      </w:tr>
      <w:tr w:rsidR="000E31E3" w:rsidRPr="00907A2E" w14:paraId="28B83237" w14:textId="77777777" w:rsidTr="000E31E3">
        <w:trPr>
          <w:trHeight w:val="284"/>
        </w:trPr>
        <w:tc>
          <w:tcPr>
            <w:tcW w:w="692" w:type="pct"/>
            <w:tcBorders>
              <w:bottom w:val="single" w:sz="12" w:space="0" w:color="auto"/>
            </w:tcBorders>
            <w:shd w:val="clear" w:color="auto" w:fill="FFFFFF"/>
            <w:tcMar>
              <w:top w:w="0" w:type="dxa"/>
              <w:left w:w="0" w:type="dxa"/>
              <w:bottom w:w="0" w:type="dxa"/>
              <w:right w:w="0" w:type="dxa"/>
            </w:tcMar>
            <w:vAlign w:val="center"/>
            <w:hideMark/>
          </w:tcPr>
          <w:p w14:paraId="0474BF89" w14:textId="77777777" w:rsidR="000E31E3" w:rsidRPr="009E0A6F" w:rsidRDefault="000E31E3" w:rsidP="000E31E3">
            <w:pPr>
              <w:spacing w:after="0" w:line="276" w:lineRule="auto"/>
              <w:rPr>
                <w:rFonts w:ascii="Arial" w:eastAsia="Times New Roman" w:hAnsi="Arial" w:cs="Arial"/>
                <w:b/>
                <w:sz w:val="16"/>
                <w:szCs w:val="16"/>
                <w:lang w:eastAsia="en-AU"/>
              </w:rPr>
            </w:pPr>
            <w:r w:rsidRPr="009E0A6F">
              <w:rPr>
                <w:rFonts w:ascii="Arial" w:eastAsia="Times New Roman" w:hAnsi="Arial" w:cs="Arial"/>
                <w:b/>
                <w:sz w:val="16"/>
                <w:szCs w:val="16"/>
                <w:lang w:eastAsia="en-AU"/>
              </w:rPr>
              <w:t>Total</w:t>
            </w:r>
          </w:p>
        </w:tc>
        <w:tc>
          <w:tcPr>
            <w:tcW w:w="528" w:type="pct"/>
            <w:tcBorders>
              <w:bottom w:val="single" w:sz="12" w:space="0" w:color="auto"/>
            </w:tcBorders>
            <w:shd w:val="clear" w:color="auto" w:fill="FFFFFF"/>
            <w:tcMar>
              <w:top w:w="0" w:type="dxa"/>
              <w:left w:w="0" w:type="dxa"/>
              <w:bottom w:w="0" w:type="dxa"/>
              <w:right w:w="0" w:type="dxa"/>
            </w:tcMar>
            <w:vAlign w:val="center"/>
          </w:tcPr>
          <w:p w14:paraId="0DE49A34" w14:textId="37E8B5CE" w:rsidR="000E31E3" w:rsidRPr="00952173" w:rsidRDefault="000E31E3" w:rsidP="000E31E3">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3,368</w:t>
            </w:r>
          </w:p>
        </w:tc>
        <w:tc>
          <w:tcPr>
            <w:tcW w:w="513" w:type="pct"/>
            <w:tcBorders>
              <w:bottom w:val="single" w:sz="12" w:space="0" w:color="auto"/>
            </w:tcBorders>
            <w:shd w:val="clear" w:color="auto" w:fill="FFFFFF"/>
            <w:tcMar>
              <w:top w:w="0" w:type="dxa"/>
              <w:left w:w="0" w:type="dxa"/>
              <w:bottom w:w="0" w:type="dxa"/>
              <w:right w:w="0" w:type="dxa"/>
            </w:tcMar>
            <w:vAlign w:val="center"/>
          </w:tcPr>
          <w:p w14:paraId="15FC6F8C" w14:textId="31C480A8" w:rsidR="000E31E3" w:rsidRPr="00952173" w:rsidRDefault="000E31E3" w:rsidP="000E31E3">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100.0</w:t>
            </w:r>
          </w:p>
        </w:tc>
        <w:tc>
          <w:tcPr>
            <w:tcW w:w="49" w:type="pct"/>
            <w:tcBorders>
              <w:bottom w:val="single" w:sz="12" w:space="0" w:color="auto"/>
            </w:tcBorders>
            <w:shd w:val="clear" w:color="auto" w:fill="FFFFFF"/>
            <w:tcMar>
              <w:top w:w="0" w:type="dxa"/>
              <w:left w:w="0" w:type="dxa"/>
              <w:bottom w:w="0" w:type="dxa"/>
              <w:right w:w="0" w:type="dxa"/>
            </w:tcMar>
            <w:vAlign w:val="center"/>
          </w:tcPr>
          <w:p w14:paraId="104FF93F" w14:textId="146CD426" w:rsidR="000E31E3" w:rsidRPr="00952173" w:rsidRDefault="000E31E3" w:rsidP="000E31E3">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 </w:t>
            </w:r>
          </w:p>
        </w:tc>
        <w:tc>
          <w:tcPr>
            <w:tcW w:w="528" w:type="pct"/>
            <w:tcBorders>
              <w:bottom w:val="single" w:sz="12" w:space="0" w:color="auto"/>
            </w:tcBorders>
            <w:shd w:val="clear" w:color="auto" w:fill="FFFFFF"/>
            <w:tcMar>
              <w:top w:w="0" w:type="dxa"/>
              <w:left w:w="0" w:type="dxa"/>
              <w:bottom w:w="0" w:type="dxa"/>
              <w:right w:w="0" w:type="dxa"/>
            </w:tcMar>
            <w:vAlign w:val="center"/>
          </w:tcPr>
          <w:p w14:paraId="67199FE1" w14:textId="6846E9FD" w:rsidR="000E31E3" w:rsidRPr="00952173" w:rsidRDefault="000E31E3" w:rsidP="000E31E3">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4,018</w:t>
            </w:r>
          </w:p>
        </w:tc>
        <w:tc>
          <w:tcPr>
            <w:tcW w:w="513" w:type="pct"/>
            <w:tcBorders>
              <w:bottom w:val="single" w:sz="12" w:space="0" w:color="auto"/>
            </w:tcBorders>
            <w:shd w:val="clear" w:color="auto" w:fill="FFFFFF"/>
            <w:tcMar>
              <w:top w:w="0" w:type="dxa"/>
              <w:left w:w="0" w:type="dxa"/>
              <w:bottom w:w="0" w:type="dxa"/>
              <w:right w:w="0" w:type="dxa"/>
            </w:tcMar>
            <w:vAlign w:val="center"/>
          </w:tcPr>
          <w:p w14:paraId="5D176B34" w14:textId="199CB8A0" w:rsidR="000E31E3" w:rsidRPr="00952173" w:rsidRDefault="000E31E3" w:rsidP="000E31E3">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100.0</w:t>
            </w:r>
          </w:p>
        </w:tc>
        <w:tc>
          <w:tcPr>
            <w:tcW w:w="49" w:type="pct"/>
            <w:tcBorders>
              <w:bottom w:val="single" w:sz="12" w:space="0" w:color="auto"/>
            </w:tcBorders>
            <w:shd w:val="clear" w:color="auto" w:fill="FFFFFF"/>
            <w:tcMar>
              <w:top w:w="0" w:type="dxa"/>
              <w:left w:w="0" w:type="dxa"/>
              <w:bottom w:w="0" w:type="dxa"/>
              <w:right w:w="0" w:type="dxa"/>
            </w:tcMar>
            <w:vAlign w:val="center"/>
          </w:tcPr>
          <w:p w14:paraId="66789C61" w14:textId="2D3C51A3" w:rsidR="000E31E3" w:rsidRPr="00952173" w:rsidRDefault="000E31E3" w:rsidP="000E31E3">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 </w:t>
            </w:r>
          </w:p>
        </w:tc>
        <w:tc>
          <w:tcPr>
            <w:tcW w:w="528" w:type="pct"/>
            <w:tcBorders>
              <w:bottom w:val="single" w:sz="12" w:space="0" w:color="auto"/>
            </w:tcBorders>
            <w:shd w:val="clear" w:color="auto" w:fill="FFFFFF"/>
            <w:tcMar>
              <w:top w:w="0" w:type="dxa"/>
              <w:left w:w="0" w:type="dxa"/>
              <w:bottom w:w="0" w:type="dxa"/>
              <w:right w:w="0" w:type="dxa"/>
            </w:tcMar>
            <w:vAlign w:val="center"/>
          </w:tcPr>
          <w:p w14:paraId="3C14240F" w14:textId="397F34BF" w:rsidR="000E31E3" w:rsidRPr="00952173" w:rsidRDefault="000E31E3" w:rsidP="000E31E3">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24</w:t>
            </w:r>
          </w:p>
        </w:tc>
        <w:tc>
          <w:tcPr>
            <w:tcW w:w="513" w:type="pct"/>
            <w:tcBorders>
              <w:bottom w:val="single" w:sz="12" w:space="0" w:color="auto"/>
            </w:tcBorders>
            <w:shd w:val="clear" w:color="auto" w:fill="FFFFFF"/>
            <w:tcMar>
              <w:top w:w="0" w:type="dxa"/>
              <w:left w:w="0" w:type="dxa"/>
              <w:bottom w:w="0" w:type="dxa"/>
              <w:right w:w="0" w:type="dxa"/>
            </w:tcMar>
            <w:vAlign w:val="center"/>
          </w:tcPr>
          <w:p w14:paraId="6BB81FB9" w14:textId="7AFBB044" w:rsidR="000E31E3" w:rsidRPr="00952173" w:rsidRDefault="000E31E3" w:rsidP="000E31E3">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100.0</w:t>
            </w:r>
          </w:p>
        </w:tc>
        <w:tc>
          <w:tcPr>
            <w:tcW w:w="49" w:type="pct"/>
            <w:tcBorders>
              <w:bottom w:val="single" w:sz="12" w:space="0" w:color="auto"/>
            </w:tcBorders>
            <w:shd w:val="clear" w:color="auto" w:fill="FFFFFF"/>
            <w:tcMar>
              <w:top w:w="0" w:type="dxa"/>
              <w:left w:w="0" w:type="dxa"/>
              <w:bottom w:w="0" w:type="dxa"/>
              <w:right w:w="0" w:type="dxa"/>
            </w:tcMar>
            <w:vAlign w:val="center"/>
          </w:tcPr>
          <w:p w14:paraId="11A5F8F7" w14:textId="653FAD21" w:rsidR="000E31E3" w:rsidRPr="00952173" w:rsidRDefault="000E31E3" w:rsidP="000E31E3">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 </w:t>
            </w:r>
          </w:p>
        </w:tc>
        <w:tc>
          <w:tcPr>
            <w:tcW w:w="528" w:type="pct"/>
            <w:tcBorders>
              <w:bottom w:val="single" w:sz="12" w:space="0" w:color="auto"/>
            </w:tcBorders>
            <w:shd w:val="clear" w:color="auto" w:fill="FFFFFF"/>
            <w:tcMar>
              <w:top w:w="0" w:type="dxa"/>
              <w:left w:w="0" w:type="dxa"/>
              <w:bottom w:w="0" w:type="dxa"/>
              <w:right w:w="0" w:type="dxa"/>
            </w:tcMar>
            <w:vAlign w:val="center"/>
          </w:tcPr>
          <w:p w14:paraId="274CDFD8" w14:textId="69E7A570" w:rsidR="000E31E3" w:rsidRPr="00952173" w:rsidRDefault="000E31E3" w:rsidP="000E31E3">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365</w:t>
            </w:r>
          </w:p>
        </w:tc>
        <w:tc>
          <w:tcPr>
            <w:tcW w:w="510" w:type="pct"/>
            <w:tcBorders>
              <w:bottom w:val="single" w:sz="12" w:space="0" w:color="auto"/>
            </w:tcBorders>
            <w:shd w:val="clear" w:color="auto" w:fill="FFFFFF"/>
            <w:tcMar>
              <w:top w:w="0" w:type="dxa"/>
              <w:left w:w="0" w:type="dxa"/>
              <w:bottom w:w="0" w:type="dxa"/>
              <w:right w:w="0" w:type="dxa"/>
            </w:tcMar>
            <w:vAlign w:val="center"/>
          </w:tcPr>
          <w:p w14:paraId="4B341937" w14:textId="2753E927" w:rsidR="000E31E3" w:rsidRPr="00952173" w:rsidRDefault="000E31E3" w:rsidP="000E31E3">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100.0</w:t>
            </w:r>
          </w:p>
        </w:tc>
      </w:tr>
    </w:tbl>
    <w:p w14:paraId="3D6B3CA6" w14:textId="77777777" w:rsidR="009303CD" w:rsidRPr="00617599" w:rsidRDefault="009303CD" w:rsidP="00814AD1">
      <w:pPr>
        <w:pStyle w:val="TableFigNotesnumbered"/>
        <w:numPr>
          <w:ilvl w:val="0"/>
          <w:numId w:val="5"/>
        </w:numPr>
        <w:spacing w:before="0" w:line="240" w:lineRule="auto"/>
        <w:ind w:left="284" w:hanging="284"/>
        <w:rPr>
          <w:rFonts w:cs="Arial"/>
        </w:rPr>
      </w:pPr>
      <w:r w:rsidRPr="00617599">
        <w:rPr>
          <w:rFonts w:cs="Arial"/>
        </w:rPr>
        <w:t>Fresh cycles where fertilisation was attempted.</w:t>
      </w:r>
    </w:p>
    <w:p w14:paraId="56028FE2" w14:textId="77777777" w:rsidR="009303CD" w:rsidRPr="00617599" w:rsidRDefault="009303CD" w:rsidP="00814AD1">
      <w:pPr>
        <w:pStyle w:val="TableFigNotesnumbered"/>
        <w:numPr>
          <w:ilvl w:val="0"/>
          <w:numId w:val="5"/>
        </w:numPr>
        <w:spacing w:before="0" w:line="240" w:lineRule="auto"/>
        <w:ind w:left="284" w:hanging="284"/>
        <w:rPr>
          <w:rFonts w:cs="Arial"/>
        </w:rPr>
      </w:pPr>
      <w:r w:rsidRPr="00617599">
        <w:rPr>
          <w:rFonts w:cs="Arial"/>
        </w:rPr>
        <w:t>Thaw cycles where embryos were transferred.</w:t>
      </w:r>
    </w:p>
    <w:p w14:paraId="3B56BA4D" w14:textId="77777777" w:rsidR="009303CD" w:rsidRPr="00617599" w:rsidRDefault="009303CD" w:rsidP="00814AD1">
      <w:pPr>
        <w:pStyle w:val="TableFigNotesnumbered"/>
        <w:numPr>
          <w:ilvl w:val="0"/>
          <w:numId w:val="5"/>
        </w:numPr>
        <w:spacing w:before="0" w:line="240" w:lineRule="auto"/>
        <w:ind w:left="284" w:hanging="284"/>
        <w:rPr>
          <w:rFonts w:cs="Arial"/>
        </w:rPr>
      </w:pPr>
      <w:r w:rsidRPr="00617599">
        <w:rPr>
          <w:rFonts w:cs="Arial"/>
        </w:rPr>
        <w:t>Mixed IVF/ICSI cycles were classed as ICSI cycles.</w:t>
      </w:r>
    </w:p>
    <w:p w14:paraId="0935F6B7" w14:textId="77777777" w:rsidR="009303CD" w:rsidRPr="00617599" w:rsidRDefault="009303CD" w:rsidP="009303CD">
      <w:pPr>
        <w:pStyle w:val="Heading3"/>
        <w:rPr>
          <w:rFonts w:eastAsia="Times New Roman" w:cs="Arial"/>
        </w:rPr>
      </w:pPr>
      <w:r w:rsidRPr="00617599">
        <w:rPr>
          <w:rFonts w:cs="Arial"/>
          <w:b w:val="0"/>
          <w:bCs w:val="0"/>
          <w:highlight w:val="yellow"/>
        </w:rPr>
        <w:br w:type="page"/>
      </w:r>
      <w:bookmarkStart w:id="242" w:name="_Toc453061462"/>
      <w:bookmarkStart w:id="243" w:name="_Toc453059059"/>
      <w:bookmarkStart w:id="244" w:name="_Toc453057391"/>
      <w:bookmarkStart w:id="245" w:name="_Toc453055606"/>
      <w:bookmarkStart w:id="246" w:name="_Toc453054832"/>
      <w:r w:rsidRPr="00617599">
        <w:rPr>
          <w:rFonts w:eastAsia="Times New Roman" w:cs="Arial"/>
        </w:rPr>
        <w:lastRenderedPageBreak/>
        <w:t>Number of embryos transferred</w:t>
      </w:r>
      <w:bookmarkEnd w:id="242"/>
      <w:bookmarkEnd w:id="243"/>
      <w:bookmarkEnd w:id="244"/>
      <w:bookmarkEnd w:id="245"/>
      <w:bookmarkEnd w:id="246"/>
    </w:p>
    <w:p w14:paraId="76467CAE" w14:textId="25E54115" w:rsidR="009303CD" w:rsidRPr="00617599" w:rsidRDefault="009303CD" w:rsidP="009303CD">
      <w:pPr>
        <w:pStyle w:val="NPESUbodytext"/>
        <w:rPr>
          <w:rFonts w:cs="Arial"/>
          <w:lang w:eastAsia="en-AU"/>
        </w:rPr>
      </w:pPr>
      <w:r w:rsidRPr="00617599">
        <w:rPr>
          <w:rFonts w:cs="Arial"/>
          <w:lang w:eastAsia="en-AU"/>
        </w:rPr>
        <w:t xml:space="preserve">Of the </w:t>
      </w:r>
      <w:r w:rsidR="008668F0">
        <w:rPr>
          <w:rFonts w:cs="Arial"/>
          <w:lang w:eastAsia="en-AU"/>
        </w:rPr>
        <w:t>6,024</w:t>
      </w:r>
      <w:r w:rsidR="00541C5D" w:rsidRPr="00617599">
        <w:rPr>
          <w:rFonts w:cs="Arial"/>
          <w:lang w:eastAsia="en-AU"/>
        </w:rPr>
        <w:t xml:space="preserve"> </w:t>
      </w:r>
      <w:r w:rsidRPr="00617599">
        <w:rPr>
          <w:rFonts w:cs="Arial"/>
          <w:lang w:eastAsia="en-AU"/>
        </w:rPr>
        <w:t>fresh and thawed autologous</w:t>
      </w:r>
      <w:r w:rsidR="007606DD">
        <w:rPr>
          <w:rFonts w:cs="Arial"/>
          <w:lang w:eastAsia="en-AU"/>
        </w:rPr>
        <w:t xml:space="preserve"> and recipient</w:t>
      </w:r>
      <w:r w:rsidRPr="00617599">
        <w:rPr>
          <w:rFonts w:cs="Arial"/>
          <w:lang w:eastAsia="en-AU"/>
        </w:rPr>
        <w:t xml:space="preserve"> embryo transfer cycles, </w:t>
      </w:r>
      <w:r w:rsidR="00541C5D">
        <w:rPr>
          <w:rFonts w:cs="Arial"/>
          <w:lang w:eastAsia="en-AU"/>
        </w:rPr>
        <w:t>97.</w:t>
      </w:r>
      <w:r w:rsidR="008668F0">
        <w:rPr>
          <w:rFonts w:cs="Arial"/>
          <w:lang w:eastAsia="en-AU"/>
        </w:rPr>
        <w:t>6</w:t>
      </w:r>
      <w:r w:rsidRPr="00617599">
        <w:rPr>
          <w:rFonts w:cs="Arial"/>
          <w:lang w:eastAsia="en-AU"/>
        </w:rPr>
        <w:t>% were single embryo transfer (SET) cycles</w:t>
      </w:r>
      <w:r w:rsidR="00541C5D">
        <w:rPr>
          <w:rFonts w:cs="Arial"/>
          <w:lang w:eastAsia="en-AU"/>
        </w:rPr>
        <w:t>,</w:t>
      </w:r>
      <w:r w:rsidRPr="00617599">
        <w:rPr>
          <w:rFonts w:cs="Arial"/>
          <w:lang w:eastAsia="en-AU"/>
        </w:rPr>
        <w:t xml:space="preserve"> </w:t>
      </w:r>
      <w:r w:rsidR="00541C5D">
        <w:rPr>
          <w:rFonts w:cs="Arial"/>
          <w:lang w:eastAsia="en-AU"/>
        </w:rPr>
        <w:t>2.</w:t>
      </w:r>
      <w:r w:rsidR="008668F0">
        <w:rPr>
          <w:rFonts w:cs="Arial"/>
          <w:lang w:eastAsia="en-AU"/>
        </w:rPr>
        <w:t>4</w:t>
      </w:r>
      <w:r w:rsidRPr="00617599">
        <w:rPr>
          <w:rFonts w:cs="Arial"/>
          <w:lang w:eastAsia="en-AU"/>
        </w:rPr>
        <w:t>% were double embryo transfer (DET) cycles</w:t>
      </w:r>
      <w:r w:rsidR="00541C5D">
        <w:rPr>
          <w:rFonts w:cs="Arial"/>
          <w:lang w:eastAsia="en-AU"/>
        </w:rPr>
        <w:t xml:space="preserve"> and </w:t>
      </w:r>
      <w:r w:rsidR="008668F0">
        <w:rPr>
          <w:rFonts w:cs="Arial"/>
          <w:lang w:eastAsia="en-AU"/>
        </w:rPr>
        <w:t>there were no cycles involving</w:t>
      </w:r>
      <w:r w:rsidR="00F91E18">
        <w:rPr>
          <w:rFonts w:cs="Arial"/>
          <w:lang w:eastAsia="en-AU"/>
        </w:rPr>
        <w:t xml:space="preserve"> the transfer of three or more embryos.</w:t>
      </w:r>
      <w:r w:rsidRPr="00617599">
        <w:rPr>
          <w:rFonts w:cs="Arial"/>
          <w:lang w:eastAsia="en-AU"/>
        </w:rPr>
        <w:t xml:space="preserve"> In </w:t>
      </w:r>
      <w:r w:rsidRPr="001332B6">
        <w:rPr>
          <w:rFonts w:cs="Arial"/>
          <w:lang w:eastAsia="en-AU"/>
        </w:rPr>
        <w:t xml:space="preserve">women </w:t>
      </w:r>
      <w:r w:rsidR="00756CC7" w:rsidRPr="001332B6">
        <w:rPr>
          <w:rFonts w:cs="Arial"/>
          <w:lang w:eastAsia="en-AU"/>
        </w:rPr>
        <w:t xml:space="preserve">aged </w:t>
      </w:r>
      <w:r w:rsidRPr="001332B6">
        <w:rPr>
          <w:rFonts w:cs="Arial"/>
          <w:lang w:eastAsia="en-AU"/>
        </w:rPr>
        <w:t xml:space="preserve">under 35, </w:t>
      </w:r>
      <w:r w:rsidR="00541C5D">
        <w:rPr>
          <w:rFonts w:cs="Arial"/>
          <w:lang w:eastAsia="en-AU"/>
        </w:rPr>
        <w:t>99</w:t>
      </w:r>
      <w:r w:rsidRPr="001332B6">
        <w:rPr>
          <w:rFonts w:cs="Arial"/>
          <w:lang w:eastAsia="en-AU"/>
        </w:rPr>
        <w:t xml:space="preserve">% </w:t>
      </w:r>
      <w:r w:rsidR="00AC26A3" w:rsidRPr="001332B6">
        <w:rPr>
          <w:rFonts w:cs="Arial"/>
          <w:lang w:eastAsia="en-AU"/>
        </w:rPr>
        <w:t xml:space="preserve">of embryo transfer cycles </w:t>
      </w:r>
      <w:r w:rsidRPr="001332B6">
        <w:rPr>
          <w:rFonts w:cs="Arial"/>
          <w:lang w:eastAsia="en-AU"/>
        </w:rPr>
        <w:t xml:space="preserve">were SET cycles and </w:t>
      </w:r>
      <w:r w:rsidR="00541C5D">
        <w:rPr>
          <w:rFonts w:cs="Arial"/>
          <w:lang w:eastAsia="en-AU"/>
        </w:rPr>
        <w:t>1</w:t>
      </w:r>
      <w:r w:rsidRPr="001332B6">
        <w:rPr>
          <w:rFonts w:cs="Arial"/>
          <w:lang w:eastAsia="en-AU"/>
        </w:rPr>
        <w:t>% were DET cycles</w:t>
      </w:r>
      <w:r w:rsidRPr="004B7026">
        <w:rPr>
          <w:rFonts w:cs="Arial"/>
          <w:color w:val="FF0000"/>
          <w:lang w:eastAsia="en-AU"/>
        </w:rPr>
        <w:t xml:space="preserve">. </w:t>
      </w:r>
      <w:r w:rsidRPr="001332B6">
        <w:rPr>
          <w:rFonts w:cs="Arial"/>
          <w:lang w:eastAsia="en-AU"/>
        </w:rPr>
        <w:t xml:space="preserve">In women aged 35 or older, </w:t>
      </w:r>
      <w:r w:rsidR="000C4795" w:rsidRPr="001332B6">
        <w:rPr>
          <w:rFonts w:cs="Arial"/>
          <w:lang w:eastAsia="en-AU"/>
        </w:rPr>
        <w:t>9</w:t>
      </w:r>
      <w:r w:rsidR="008668F0">
        <w:rPr>
          <w:rFonts w:cs="Arial"/>
          <w:lang w:eastAsia="en-AU"/>
        </w:rPr>
        <w:t>6.8</w:t>
      </w:r>
      <w:r w:rsidR="0017417B" w:rsidRPr="001332B6">
        <w:rPr>
          <w:rFonts w:cs="Arial"/>
          <w:lang w:eastAsia="en-AU"/>
        </w:rPr>
        <w:t xml:space="preserve">% of cycles were SET cycles and </w:t>
      </w:r>
      <w:r w:rsidR="008668F0">
        <w:rPr>
          <w:rFonts w:cs="Arial"/>
          <w:lang w:eastAsia="en-AU"/>
        </w:rPr>
        <w:t>3.2</w:t>
      </w:r>
      <w:r w:rsidR="0017417B" w:rsidRPr="001332B6">
        <w:rPr>
          <w:rFonts w:cs="Arial"/>
          <w:lang w:eastAsia="en-AU"/>
        </w:rPr>
        <w:t>%</w:t>
      </w:r>
      <w:r w:rsidRPr="001332B6">
        <w:rPr>
          <w:rFonts w:cs="Arial"/>
          <w:lang w:eastAsia="en-AU"/>
        </w:rPr>
        <w:t xml:space="preserve"> were DET cycles (Table </w:t>
      </w:r>
      <w:r w:rsidR="001C0317">
        <w:rPr>
          <w:rFonts w:cs="Arial"/>
          <w:lang w:eastAsia="en-AU"/>
        </w:rPr>
        <w:t>8</w:t>
      </w:r>
      <w:r w:rsidRPr="001332B6">
        <w:rPr>
          <w:rFonts w:cs="Arial"/>
          <w:lang w:eastAsia="en-AU"/>
        </w:rPr>
        <w:t>).</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925"/>
        <w:gridCol w:w="885"/>
        <w:gridCol w:w="818"/>
        <w:gridCol w:w="88"/>
        <w:gridCol w:w="888"/>
        <w:gridCol w:w="820"/>
        <w:gridCol w:w="88"/>
        <w:gridCol w:w="888"/>
        <w:gridCol w:w="821"/>
        <w:gridCol w:w="88"/>
        <w:gridCol w:w="888"/>
        <w:gridCol w:w="829"/>
      </w:tblGrid>
      <w:tr w:rsidR="00ED0969" w:rsidRPr="00617599" w14:paraId="2E494B2C" w14:textId="77777777" w:rsidTr="00FC25B6">
        <w:trPr>
          <w:tblHeader/>
        </w:trPr>
        <w:tc>
          <w:tcPr>
            <w:tcW w:w="5000" w:type="pct"/>
            <w:gridSpan w:val="12"/>
            <w:shd w:val="clear" w:color="auto" w:fill="auto"/>
            <w:tcMar>
              <w:top w:w="0" w:type="dxa"/>
              <w:left w:w="0" w:type="dxa"/>
              <w:bottom w:w="0" w:type="dxa"/>
              <w:right w:w="0" w:type="dxa"/>
            </w:tcMar>
            <w:vAlign w:val="center"/>
            <w:hideMark/>
          </w:tcPr>
          <w:p w14:paraId="092A13E1" w14:textId="160074D6" w:rsidR="00ED0969" w:rsidRPr="00617599" w:rsidRDefault="00ED0969" w:rsidP="00DA0028">
            <w:pPr>
              <w:pStyle w:val="Caption"/>
              <w:rPr>
                <w:rFonts w:eastAsia="Times New Roman"/>
                <w:lang w:eastAsia="en-AU"/>
              </w:rPr>
            </w:pPr>
            <w:bookmarkStart w:id="247" w:name="_Toc158026557"/>
            <w:bookmarkStart w:id="248" w:name="_Hlk105082000"/>
            <w:r w:rsidRPr="00617599">
              <w:rPr>
                <w:rFonts w:eastAsia="Times New Roman"/>
                <w:lang w:eastAsia="en-AU"/>
              </w:rPr>
              <w:t xml:space="preserve">Table </w:t>
            </w:r>
            <w:r w:rsidR="00F400A5">
              <w:rPr>
                <w:rFonts w:eastAsia="Times New Roman"/>
                <w:lang w:eastAsia="en-AU"/>
              </w:rPr>
              <w:t>8</w:t>
            </w:r>
            <w:r w:rsidRPr="00617599">
              <w:rPr>
                <w:rFonts w:eastAsia="Times New Roman"/>
                <w:lang w:eastAsia="en-AU"/>
              </w:rPr>
              <w:t xml:space="preserve">: Number of embryo transfer cycles by number of embryos transferred per cycle and women’s age group, </w:t>
            </w:r>
            <w:r w:rsidR="00A501CE">
              <w:rPr>
                <w:rFonts w:eastAsia="Times New Roman"/>
                <w:lang w:eastAsia="en-AU"/>
              </w:rPr>
              <w:t>New Zealand, 20</w:t>
            </w:r>
            <w:r w:rsidR="00541C5D">
              <w:rPr>
                <w:rFonts w:eastAsia="Times New Roman"/>
                <w:lang w:eastAsia="en-AU"/>
              </w:rPr>
              <w:t>2</w:t>
            </w:r>
            <w:r w:rsidR="000E31E3">
              <w:rPr>
                <w:rFonts w:eastAsia="Times New Roman"/>
                <w:lang w:eastAsia="en-AU"/>
              </w:rPr>
              <w:t>1</w:t>
            </w:r>
            <w:bookmarkEnd w:id="247"/>
            <w:r w:rsidR="00A501CE">
              <w:rPr>
                <w:rFonts w:eastAsia="Times New Roman"/>
                <w:lang w:eastAsia="en-AU"/>
              </w:rPr>
              <w:t xml:space="preserve"> </w:t>
            </w:r>
          </w:p>
        </w:tc>
      </w:tr>
      <w:tr w:rsidR="00ED0969" w:rsidRPr="00617599" w14:paraId="27265B9E" w14:textId="77777777" w:rsidTr="00FC25B6">
        <w:trPr>
          <w:trHeight w:val="284"/>
          <w:tblHeader/>
        </w:trPr>
        <w:tc>
          <w:tcPr>
            <w:tcW w:w="1066" w:type="pct"/>
            <w:tcBorders>
              <w:top w:val="single" w:sz="12" w:space="0" w:color="auto"/>
            </w:tcBorders>
            <w:shd w:val="clear" w:color="auto" w:fill="auto"/>
            <w:tcMar>
              <w:top w:w="0" w:type="dxa"/>
              <w:left w:w="0" w:type="dxa"/>
              <w:bottom w:w="0" w:type="dxa"/>
              <w:right w:w="0" w:type="dxa"/>
            </w:tcMar>
            <w:vAlign w:val="center"/>
            <w:hideMark/>
          </w:tcPr>
          <w:p w14:paraId="4CD5A5CF" w14:textId="77777777" w:rsidR="00ED0969" w:rsidRPr="00617599" w:rsidRDefault="00ED0969" w:rsidP="002E7CE2">
            <w:pPr>
              <w:spacing w:after="0" w:line="276" w:lineRule="auto"/>
              <w:rPr>
                <w:rFonts w:ascii="Arial" w:eastAsia="Times New Roman" w:hAnsi="Arial" w:cs="Arial"/>
                <w:sz w:val="16"/>
                <w:szCs w:val="16"/>
                <w:lang w:eastAsia="en-AU"/>
              </w:rPr>
            </w:pPr>
          </w:p>
        </w:tc>
        <w:tc>
          <w:tcPr>
            <w:tcW w:w="3934" w:type="pct"/>
            <w:gridSpan w:val="11"/>
            <w:tcBorders>
              <w:top w:val="single" w:sz="12" w:space="0" w:color="auto"/>
              <w:bottom w:val="single" w:sz="6" w:space="0" w:color="808080"/>
            </w:tcBorders>
            <w:shd w:val="clear" w:color="auto" w:fill="auto"/>
            <w:tcMar>
              <w:top w:w="0" w:type="dxa"/>
              <w:left w:w="0" w:type="dxa"/>
              <w:bottom w:w="0" w:type="dxa"/>
              <w:right w:w="0" w:type="dxa"/>
            </w:tcMar>
            <w:vAlign w:val="center"/>
            <w:hideMark/>
          </w:tcPr>
          <w:p w14:paraId="3B46D356" w14:textId="77777777" w:rsidR="00ED0969" w:rsidRPr="00617599" w:rsidRDefault="00ED0969" w:rsidP="002E7CE2">
            <w:pPr>
              <w:spacing w:after="0" w:line="276" w:lineRule="auto"/>
              <w:jc w:val="center"/>
              <w:rPr>
                <w:rFonts w:ascii="Arial" w:eastAsia="Times New Roman" w:hAnsi="Arial" w:cs="Arial"/>
                <w:b/>
                <w:bCs/>
                <w:sz w:val="16"/>
                <w:szCs w:val="16"/>
                <w:lang w:eastAsia="en-AU"/>
              </w:rPr>
            </w:pPr>
            <w:r w:rsidRPr="00F726FD">
              <w:rPr>
                <w:rFonts w:ascii="Arial" w:eastAsia="Times New Roman" w:hAnsi="Arial" w:cs="Arial"/>
                <w:b/>
                <w:bCs/>
                <w:sz w:val="16"/>
                <w:szCs w:val="16"/>
                <w:lang w:eastAsia="en-AU"/>
              </w:rPr>
              <w:t>Number of embryos transferred</w:t>
            </w:r>
          </w:p>
        </w:tc>
      </w:tr>
      <w:tr w:rsidR="00ED0969" w:rsidRPr="00617599" w14:paraId="4CEB6935" w14:textId="77777777" w:rsidTr="00FC25B6">
        <w:trPr>
          <w:trHeight w:val="284"/>
          <w:tblHeader/>
        </w:trPr>
        <w:tc>
          <w:tcPr>
            <w:tcW w:w="1066" w:type="pct"/>
            <w:shd w:val="clear" w:color="auto" w:fill="auto"/>
            <w:tcMar>
              <w:top w:w="0" w:type="dxa"/>
              <w:left w:w="0" w:type="dxa"/>
              <w:bottom w:w="0" w:type="dxa"/>
              <w:right w:w="0" w:type="dxa"/>
            </w:tcMar>
            <w:vAlign w:val="center"/>
            <w:hideMark/>
          </w:tcPr>
          <w:p w14:paraId="059579EB" w14:textId="77777777" w:rsidR="00ED0969" w:rsidRPr="00617599" w:rsidRDefault="00ED0969" w:rsidP="002E7CE2">
            <w:pPr>
              <w:spacing w:after="0" w:line="276" w:lineRule="auto"/>
              <w:jc w:val="center"/>
              <w:rPr>
                <w:rFonts w:ascii="Arial" w:eastAsia="Times New Roman" w:hAnsi="Arial" w:cs="Arial"/>
                <w:b/>
                <w:bCs/>
                <w:sz w:val="16"/>
                <w:szCs w:val="16"/>
                <w:lang w:eastAsia="en-AU"/>
              </w:rPr>
            </w:pPr>
          </w:p>
        </w:tc>
        <w:tc>
          <w:tcPr>
            <w:tcW w:w="943" w:type="pct"/>
            <w:gridSpan w:val="2"/>
            <w:tcBorders>
              <w:bottom w:val="single" w:sz="6" w:space="0" w:color="808080"/>
            </w:tcBorders>
            <w:shd w:val="clear" w:color="auto" w:fill="auto"/>
            <w:tcMar>
              <w:top w:w="0" w:type="dxa"/>
              <w:left w:w="0" w:type="dxa"/>
              <w:bottom w:w="0" w:type="dxa"/>
              <w:right w:w="0" w:type="dxa"/>
            </w:tcMar>
            <w:vAlign w:val="center"/>
            <w:hideMark/>
          </w:tcPr>
          <w:p w14:paraId="5272E4B7" w14:textId="77777777" w:rsidR="00ED0969" w:rsidRPr="00617599" w:rsidRDefault="00ED0969" w:rsidP="002E7CE2">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One</w:t>
            </w:r>
          </w:p>
        </w:tc>
        <w:tc>
          <w:tcPr>
            <w:tcW w:w="49" w:type="pct"/>
            <w:shd w:val="clear" w:color="auto" w:fill="auto"/>
            <w:tcMar>
              <w:top w:w="0" w:type="dxa"/>
              <w:left w:w="0" w:type="dxa"/>
              <w:bottom w:w="0" w:type="dxa"/>
              <w:right w:w="0" w:type="dxa"/>
            </w:tcMar>
            <w:vAlign w:val="center"/>
            <w:hideMark/>
          </w:tcPr>
          <w:p w14:paraId="1CBD311A" w14:textId="77777777" w:rsidR="00ED0969" w:rsidRPr="00617599" w:rsidRDefault="00ED0969" w:rsidP="002E7CE2">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946" w:type="pct"/>
            <w:gridSpan w:val="2"/>
            <w:tcBorders>
              <w:bottom w:val="single" w:sz="6" w:space="0" w:color="808080"/>
            </w:tcBorders>
            <w:shd w:val="clear" w:color="auto" w:fill="auto"/>
            <w:tcMar>
              <w:top w:w="0" w:type="dxa"/>
              <w:left w:w="0" w:type="dxa"/>
              <w:bottom w:w="0" w:type="dxa"/>
              <w:right w:w="0" w:type="dxa"/>
            </w:tcMar>
            <w:vAlign w:val="center"/>
            <w:hideMark/>
          </w:tcPr>
          <w:p w14:paraId="21116626" w14:textId="77777777" w:rsidR="00ED0969" w:rsidRPr="00617599" w:rsidRDefault="00ED0969" w:rsidP="002E7CE2">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Two</w:t>
            </w:r>
          </w:p>
        </w:tc>
        <w:tc>
          <w:tcPr>
            <w:tcW w:w="49" w:type="pct"/>
            <w:shd w:val="clear" w:color="auto" w:fill="auto"/>
            <w:tcMar>
              <w:top w:w="0" w:type="dxa"/>
              <w:left w:w="0" w:type="dxa"/>
              <w:bottom w:w="0" w:type="dxa"/>
              <w:right w:w="0" w:type="dxa"/>
            </w:tcMar>
            <w:vAlign w:val="center"/>
            <w:hideMark/>
          </w:tcPr>
          <w:p w14:paraId="33888005" w14:textId="77777777" w:rsidR="00ED0969" w:rsidRPr="00617599" w:rsidRDefault="00ED0969" w:rsidP="002E7CE2">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947" w:type="pct"/>
            <w:gridSpan w:val="2"/>
            <w:tcBorders>
              <w:bottom w:val="single" w:sz="6" w:space="0" w:color="808080"/>
            </w:tcBorders>
            <w:shd w:val="clear" w:color="auto" w:fill="auto"/>
            <w:tcMar>
              <w:top w:w="0" w:type="dxa"/>
              <w:left w:w="0" w:type="dxa"/>
              <w:bottom w:w="0" w:type="dxa"/>
              <w:right w:w="0" w:type="dxa"/>
            </w:tcMar>
            <w:vAlign w:val="center"/>
            <w:hideMark/>
          </w:tcPr>
          <w:p w14:paraId="16A40CD8" w14:textId="77777777" w:rsidR="00ED0969" w:rsidRPr="00617599" w:rsidRDefault="00ED0969" w:rsidP="002E7CE2">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Three or more</w:t>
            </w:r>
          </w:p>
        </w:tc>
        <w:tc>
          <w:tcPr>
            <w:tcW w:w="49" w:type="pct"/>
            <w:shd w:val="clear" w:color="auto" w:fill="auto"/>
            <w:tcMar>
              <w:top w:w="0" w:type="dxa"/>
              <w:left w:w="0" w:type="dxa"/>
              <w:bottom w:w="0" w:type="dxa"/>
              <w:right w:w="0" w:type="dxa"/>
            </w:tcMar>
            <w:vAlign w:val="center"/>
            <w:hideMark/>
          </w:tcPr>
          <w:p w14:paraId="2E8D89D2" w14:textId="77777777" w:rsidR="00ED0969" w:rsidRPr="00617599" w:rsidRDefault="00ED0969" w:rsidP="002E7CE2">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951" w:type="pct"/>
            <w:gridSpan w:val="2"/>
            <w:tcBorders>
              <w:bottom w:val="single" w:sz="6" w:space="0" w:color="808080"/>
            </w:tcBorders>
            <w:shd w:val="clear" w:color="auto" w:fill="auto"/>
            <w:tcMar>
              <w:top w:w="0" w:type="dxa"/>
              <w:left w:w="0" w:type="dxa"/>
              <w:bottom w:w="0" w:type="dxa"/>
              <w:right w:w="0" w:type="dxa"/>
            </w:tcMar>
            <w:vAlign w:val="center"/>
            <w:hideMark/>
          </w:tcPr>
          <w:p w14:paraId="06ECFE7B" w14:textId="77777777" w:rsidR="00ED0969" w:rsidRPr="00617599" w:rsidRDefault="00ED0969" w:rsidP="002E7CE2">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All</w:t>
            </w:r>
          </w:p>
        </w:tc>
      </w:tr>
      <w:tr w:rsidR="00EC4BB6" w:rsidRPr="00617599" w14:paraId="370C543B" w14:textId="77777777" w:rsidTr="00FC25B6">
        <w:trPr>
          <w:trHeight w:val="284"/>
          <w:tblHeader/>
        </w:trPr>
        <w:tc>
          <w:tcPr>
            <w:tcW w:w="1066" w:type="pct"/>
            <w:tcBorders>
              <w:bottom w:val="single" w:sz="6" w:space="0" w:color="808080"/>
            </w:tcBorders>
            <w:shd w:val="clear" w:color="auto" w:fill="auto"/>
            <w:tcMar>
              <w:top w:w="0" w:type="dxa"/>
              <w:left w:w="0" w:type="dxa"/>
              <w:bottom w:w="0" w:type="dxa"/>
              <w:right w:w="0" w:type="dxa"/>
            </w:tcMar>
            <w:vAlign w:val="center"/>
            <w:hideMark/>
          </w:tcPr>
          <w:p w14:paraId="7E2FFCC1" w14:textId="79CD324B" w:rsidR="00EC4BB6" w:rsidRPr="0004464D" w:rsidRDefault="00EC4BB6" w:rsidP="00EC4BB6">
            <w:pPr>
              <w:spacing w:after="0" w:line="276" w:lineRule="auto"/>
              <w:rPr>
                <w:rFonts w:ascii="Arial" w:eastAsia="Times New Roman" w:hAnsi="Arial" w:cs="Arial"/>
                <w:b/>
                <w:bCs/>
                <w:sz w:val="16"/>
                <w:szCs w:val="16"/>
                <w:vertAlign w:val="superscript"/>
                <w:lang w:eastAsia="en-AU"/>
              </w:rPr>
            </w:pPr>
            <w:r w:rsidRPr="00617599">
              <w:rPr>
                <w:rFonts w:ascii="Arial" w:eastAsia="Times New Roman" w:hAnsi="Arial" w:cs="Arial"/>
                <w:b/>
                <w:bCs/>
                <w:sz w:val="16"/>
                <w:szCs w:val="16"/>
                <w:lang w:eastAsia="en-AU"/>
              </w:rPr>
              <w:t>Age group (years)</w:t>
            </w:r>
            <w:r>
              <w:rPr>
                <w:rFonts w:ascii="Arial" w:eastAsia="Times New Roman" w:hAnsi="Arial" w:cs="Arial"/>
                <w:b/>
                <w:bCs/>
                <w:sz w:val="16"/>
                <w:szCs w:val="16"/>
                <w:vertAlign w:val="superscript"/>
                <w:lang w:eastAsia="en-AU"/>
              </w:rPr>
              <w:t>(a)</w:t>
            </w:r>
          </w:p>
        </w:tc>
        <w:tc>
          <w:tcPr>
            <w:tcW w:w="490" w:type="pct"/>
            <w:tcBorders>
              <w:bottom w:val="single" w:sz="6" w:space="0" w:color="808080"/>
            </w:tcBorders>
            <w:shd w:val="clear" w:color="auto" w:fill="auto"/>
            <w:tcMar>
              <w:top w:w="0" w:type="dxa"/>
              <w:left w:w="0" w:type="dxa"/>
              <w:bottom w:w="0" w:type="dxa"/>
              <w:right w:w="0" w:type="dxa"/>
            </w:tcMar>
            <w:vAlign w:val="center"/>
            <w:hideMark/>
          </w:tcPr>
          <w:p w14:paraId="1200648A" w14:textId="2617D5C8" w:rsidR="00EC4BB6" w:rsidRPr="00617599" w:rsidRDefault="00EC4BB6" w:rsidP="00EC4BB6">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53" w:type="pct"/>
            <w:tcBorders>
              <w:bottom w:val="single" w:sz="6" w:space="0" w:color="808080"/>
            </w:tcBorders>
            <w:shd w:val="clear" w:color="auto" w:fill="auto"/>
            <w:tcMar>
              <w:top w:w="0" w:type="dxa"/>
              <w:left w:w="0" w:type="dxa"/>
              <w:bottom w:w="0" w:type="dxa"/>
              <w:right w:w="0" w:type="dxa"/>
            </w:tcMar>
            <w:vAlign w:val="center"/>
            <w:hideMark/>
          </w:tcPr>
          <w:p w14:paraId="341DAF51" w14:textId="7B7122EF" w:rsidR="00EC4BB6" w:rsidRPr="00617599" w:rsidRDefault="00EC4BB6" w:rsidP="00EC4BB6">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auto"/>
            <w:tcMar>
              <w:top w:w="0" w:type="dxa"/>
              <w:left w:w="0" w:type="dxa"/>
              <w:bottom w:w="0" w:type="dxa"/>
              <w:right w:w="0" w:type="dxa"/>
            </w:tcMar>
            <w:vAlign w:val="center"/>
            <w:hideMark/>
          </w:tcPr>
          <w:p w14:paraId="71DB7E34" w14:textId="77777777" w:rsidR="00EC4BB6" w:rsidRPr="00617599" w:rsidRDefault="00EC4BB6" w:rsidP="00EC4BB6">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492" w:type="pct"/>
            <w:tcBorders>
              <w:bottom w:val="single" w:sz="6" w:space="0" w:color="808080"/>
            </w:tcBorders>
            <w:shd w:val="clear" w:color="auto" w:fill="auto"/>
            <w:tcMar>
              <w:top w:w="0" w:type="dxa"/>
              <w:left w:w="0" w:type="dxa"/>
              <w:bottom w:w="0" w:type="dxa"/>
              <w:right w:w="0" w:type="dxa"/>
            </w:tcMar>
            <w:vAlign w:val="center"/>
            <w:hideMark/>
          </w:tcPr>
          <w:p w14:paraId="0C85918C" w14:textId="3E561D64" w:rsidR="00EC4BB6" w:rsidRPr="00617599" w:rsidRDefault="00EC4BB6" w:rsidP="00EC4BB6">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54" w:type="pct"/>
            <w:tcBorders>
              <w:bottom w:val="single" w:sz="6" w:space="0" w:color="808080"/>
            </w:tcBorders>
            <w:shd w:val="clear" w:color="auto" w:fill="auto"/>
            <w:tcMar>
              <w:top w:w="0" w:type="dxa"/>
              <w:left w:w="0" w:type="dxa"/>
              <w:bottom w:w="0" w:type="dxa"/>
              <w:right w:w="0" w:type="dxa"/>
            </w:tcMar>
            <w:vAlign w:val="center"/>
            <w:hideMark/>
          </w:tcPr>
          <w:p w14:paraId="7B2D56B0" w14:textId="08B254D5" w:rsidR="00EC4BB6" w:rsidRPr="00617599" w:rsidRDefault="00EC4BB6" w:rsidP="00EC4BB6">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auto"/>
            <w:tcMar>
              <w:top w:w="0" w:type="dxa"/>
              <w:left w:w="0" w:type="dxa"/>
              <w:bottom w:w="0" w:type="dxa"/>
              <w:right w:w="0" w:type="dxa"/>
            </w:tcMar>
            <w:vAlign w:val="center"/>
            <w:hideMark/>
          </w:tcPr>
          <w:p w14:paraId="15638BEF" w14:textId="77777777" w:rsidR="00EC4BB6" w:rsidRPr="00617599" w:rsidRDefault="00EC4BB6" w:rsidP="00EC4BB6">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492" w:type="pct"/>
            <w:tcBorders>
              <w:bottom w:val="single" w:sz="6" w:space="0" w:color="808080"/>
            </w:tcBorders>
            <w:shd w:val="clear" w:color="auto" w:fill="auto"/>
            <w:tcMar>
              <w:top w:w="0" w:type="dxa"/>
              <w:left w:w="0" w:type="dxa"/>
              <w:bottom w:w="0" w:type="dxa"/>
              <w:right w:w="0" w:type="dxa"/>
            </w:tcMar>
            <w:vAlign w:val="center"/>
            <w:hideMark/>
          </w:tcPr>
          <w:p w14:paraId="26FC1C2E" w14:textId="3C6D1824" w:rsidR="00EC4BB6" w:rsidRPr="00617599" w:rsidRDefault="00EC4BB6" w:rsidP="00EC4BB6">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55" w:type="pct"/>
            <w:tcBorders>
              <w:bottom w:val="single" w:sz="6" w:space="0" w:color="808080"/>
            </w:tcBorders>
            <w:shd w:val="clear" w:color="auto" w:fill="auto"/>
            <w:tcMar>
              <w:top w:w="0" w:type="dxa"/>
              <w:left w:w="0" w:type="dxa"/>
              <w:bottom w:w="0" w:type="dxa"/>
              <w:right w:w="0" w:type="dxa"/>
            </w:tcMar>
            <w:vAlign w:val="center"/>
            <w:hideMark/>
          </w:tcPr>
          <w:p w14:paraId="30D1C7B6" w14:textId="4043EFB9" w:rsidR="00EC4BB6" w:rsidRPr="00617599" w:rsidRDefault="00EC4BB6" w:rsidP="00EC4BB6">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auto"/>
            <w:tcMar>
              <w:top w:w="0" w:type="dxa"/>
              <w:left w:w="0" w:type="dxa"/>
              <w:bottom w:w="0" w:type="dxa"/>
              <w:right w:w="0" w:type="dxa"/>
            </w:tcMar>
            <w:vAlign w:val="center"/>
            <w:hideMark/>
          </w:tcPr>
          <w:p w14:paraId="7AE75107" w14:textId="77777777" w:rsidR="00EC4BB6" w:rsidRPr="00617599" w:rsidRDefault="00EC4BB6" w:rsidP="00EC4BB6">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492" w:type="pct"/>
            <w:tcBorders>
              <w:bottom w:val="single" w:sz="6" w:space="0" w:color="808080"/>
            </w:tcBorders>
            <w:shd w:val="clear" w:color="auto" w:fill="auto"/>
            <w:tcMar>
              <w:top w:w="0" w:type="dxa"/>
              <w:left w:w="0" w:type="dxa"/>
              <w:bottom w:w="0" w:type="dxa"/>
              <w:right w:w="0" w:type="dxa"/>
            </w:tcMar>
            <w:vAlign w:val="center"/>
            <w:hideMark/>
          </w:tcPr>
          <w:p w14:paraId="171C776D" w14:textId="09507376" w:rsidR="00EC4BB6" w:rsidRPr="00617599" w:rsidRDefault="00EC4BB6" w:rsidP="00EC4BB6">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59" w:type="pct"/>
            <w:tcBorders>
              <w:bottom w:val="single" w:sz="6" w:space="0" w:color="808080"/>
            </w:tcBorders>
            <w:shd w:val="clear" w:color="auto" w:fill="auto"/>
            <w:tcMar>
              <w:top w:w="0" w:type="dxa"/>
              <w:left w:w="0" w:type="dxa"/>
              <w:bottom w:w="0" w:type="dxa"/>
              <w:right w:w="0" w:type="dxa"/>
            </w:tcMar>
            <w:vAlign w:val="center"/>
            <w:hideMark/>
          </w:tcPr>
          <w:p w14:paraId="3A1E4A11" w14:textId="6E6A34E1" w:rsidR="00EC4BB6" w:rsidRPr="00617599" w:rsidRDefault="00EC4BB6" w:rsidP="00EC4BB6">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r>
      <w:tr w:rsidR="00B56011" w:rsidRPr="00617599" w14:paraId="0B7B0354" w14:textId="77777777" w:rsidTr="00B56011">
        <w:trPr>
          <w:trHeight w:val="284"/>
        </w:trPr>
        <w:tc>
          <w:tcPr>
            <w:tcW w:w="1066" w:type="pct"/>
            <w:shd w:val="clear" w:color="auto" w:fill="auto"/>
            <w:tcMar>
              <w:top w:w="0" w:type="dxa"/>
              <w:left w:w="0" w:type="dxa"/>
              <w:bottom w:w="0" w:type="dxa"/>
              <w:right w:w="0" w:type="dxa"/>
            </w:tcMar>
            <w:vAlign w:val="center"/>
            <w:hideMark/>
          </w:tcPr>
          <w:p w14:paraId="6F081E0B" w14:textId="77777777" w:rsidR="00B56011" w:rsidRPr="00617599" w:rsidRDefault="00B56011" w:rsidP="00B56011">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&lt;30</w:t>
            </w:r>
          </w:p>
        </w:tc>
        <w:tc>
          <w:tcPr>
            <w:tcW w:w="490" w:type="pct"/>
            <w:shd w:val="clear" w:color="auto" w:fill="auto"/>
            <w:tcMar>
              <w:top w:w="0" w:type="dxa"/>
              <w:left w:w="0" w:type="dxa"/>
              <w:bottom w:w="0" w:type="dxa"/>
              <w:right w:w="0" w:type="dxa"/>
            </w:tcMar>
            <w:vAlign w:val="center"/>
            <w:hideMark/>
          </w:tcPr>
          <w:p w14:paraId="25757832" w14:textId="5C455D85"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471</w:t>
            </w:r>
          </w:p>
        </w:tc>
        <w:tc>
          <w:tcPr>
            <w:tcW w:w="453" w:type="pct"/>
            <w:shd w:val="clear" w:color="auto" w:fill="auto"/>
            <w:tcMar>
              <w:top w:w="0" w:type="dxa"/>
              <w:left w:w="0" w:type="dxa"/>
              <w:bottom w:w="0" w:type="dxa"/>
              <w:right w:w="0" w:type="dxa"/>
            </w:tcMar>
            <w:vAlign w:val="center"/>
            <w:hideMark/>
          </w:tcPr>
          <w:p w14:paraId="2690D4BB" w14:textId="627672E9"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99.4</w:t>
            </w:r>
          </w:p>
        </w:tc>
        <w:tc>
          <w:tcPr>
            <w:tcW w:w="49" w:type="pct"/>
            <w:shd w:val="clear" w:color="auto" w:fill="auto"/>
            <w:tcMar>
              <w:top w:w="0" w:type="dxa"/>
              <w:left w:w="0" w:type="dxa"/>
              <w:bottom w:w="0" w:type="dxa"/>
              <w:right w:w="0" w:type="dxa"/>
            </w:tcMar>
            <w:vAlign w:val="center"/>
            <w:hideMark/>
          </w:tcPr>
          <w:p w14:paraId="1D3DD71D" w14:textId="710DC10A"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92" w:type="pct"/>
            <w:shd w:val="clear" w:color="auto" w:fill="auto"/>
            <w:tcMar>
              <w:top w:w="0" w:type="dxa"/>
              <w:left w:w="0" w:type="dxa"/>
              <w:bottom w:w="0" w:type="dxa"/>
              <w:right w:w="0" w:type="dxa"/>
            </w:tcMar>
            <w:vAlign w:val="center"/>
            <w:hideMark/>
          </w:tcPr>
          <w:p w14:paraId="68722A75" w14:textId="5B3F1571"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3</w:t>
            </w:r>
          </w:p>
        </w:tc>
        <w:tc>
          <w:tcPr>
            <w:tcW w:w="454" w:type="pct"/>
            <w:shd w:val="clear" w:color="auto" w:fill="auto"/>
            <w:tcMar>
              <w:top w:w="0" w:type="dxa"/>
              <w:left w:w="0" w:type="dxa"/>
              <w:bottom w:w="0" w:type="dxa"/>
              <w:right w:w="0" w:type="dxa"/>
            </w:tcMar>
            <w:vAlign w:val="center"/>
            <w:hideMark/>
          </w:tcPr>
          <w:p w14:paraId="7ED3A9CF" w14:textId="465F5778"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0.6</w:t>
            </w:r>
          </w:p>
        </w:tc>
        <w:tc>
          <w:tcPr>
            <w:tcW w:w="49" w:type="pct"/>
            <w:shd w:val="clear" w:color="auto" w:fill="auto"/>
            <w:tcMar>
              <w:top w:w="0" w:type="dxa"/>
              <w:left w:w="0" w:type="dxa"/>
              <w:bottom w:w="0" w:type="dxa"/>
              <w:right w:w="0" w:type="dxa"/>
            </w:tcMar>
            <w:vAlign w:val="center"/>
            <w:hideMark/>
          </w:tcPr>
          <w:p w14:paraId="19266C34" w14:textId="05AEC05B"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92" w:type="pct"/>
            <w:shd w:val="clear" w:color="auto" w:fill="auto"/>
            <w:tcMar>
              <w:top w:w="0" w:type="dxa"/>
              <w:left w:w="0" w:type="dxa"/>
              <w:bottom w:w="0" w:type="dxa"/>
              <w:right w:w="0" w:type="dxa"/>
            </w:tcMar>
            <w:vAlign w:val="center"/>
            <w:hideMark/>
          </w:tcPr>
          <w:p w14:paraId="7211C00F" w14:textId="1C160CCC"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455" w:type="pct"/>
            <w:shd w:val="clear" w:color="auto" w:fill="auto"/>
            <w:tcMar>
              <w:top w:w="0" w:type="dxa"/>
              <w:left w:w="0" w:type="dxa"/>
              <w:bottom w:w="0" w:type="dxa"/>
              <w:right w:w="0" w:type="dxa"/>
            </w:tcMar>
            <w:vAlign w:val="center"/>
            <w:hideMark/>
          </w:tcPr>
          <w:p w14:paraId="2E01EFFE" w14:textId="14F5B3C1"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0.0</w:t>
            </w:r>
          </w:p>
        </w:tc>
        <w:tc>
          <w:tcPr>
            <w:tcW w:w="49" w:type="pct"/>
            <w:shd w:val="clear" w:color="auto" w:fill="auto"/>
            <w:tcMar>
              <w:top w:w="0" w:type="dxa"/>
              <w:left w:w="0" w:type="dxa"/>
              <w:bottom w:w="0" w:type="dxa"/>
              <w:right w:w="0" w:type="dxa"/>
            </w:tcMar>
            <w:vAlign w:val="center"/>
            <w:hideMark/>
          </w:tcPr>
          <w:p w14:paraId="1B60B685" w14:textId="30FDABCC"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92" w:type="pct"/>
            <w:shd w:val="clear" w:color="auto" w:fill="auto"/>
            <w:tcMar>
              <w:top w:w="0" w:type="dxa"/>
              <w:left w:w="0" w:type="dxa"/>
              <w:bottom w:w="0" w:type="dxa"/>
              <w:right w:w="0" w:type="dxa"/>
            </w:tcMar>
            <w:vAlign w:val="center"/>
            <w:hideMark/>
          </w:tcPr>
          <w:p w14:paraId="6846DE96" w14:textId="1A6F1506"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474</w:t>
            </w:r>
          </w:p>
        </w:tc>
        <w:tc>
          <w:tcPr>
            <w:tcW w:w="459" w:type="pct"/>
            <w:shd w:val="clear" w:color="auto" w:fill="auto"/>
            <w:tcMar>
              <w:top w:w="0" w:type="dxa"/>
              <w:left w:w="0" w:type="dxa"/>
              <w:bottom w:w="0" w:type="dxa"/>
              <w:right w:w="0" w:type="dxa"/>
            </w:tcMar>
            <w:vAlign w:val="center"/>
            <w:hideMark/>
          </w:tcPr>
          <w:p w14:paraId="01D60B45" w14:textId="3EC093D5"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100.0</w:t>
            </w:r>
          </w:p>
        </w:tc>
      </w:tr>
      <w:tr w:rsidR="00B56011" w:rsidRPr="00617599" w14:paraId="08ACA1E2" w14:textId="77777777" w:rsidTr="00B56011">
        <w:trPr>
          <w:trHeight w:val="284"/>
        </w:trPr>
        <w:tc>
          <w:tcPr>
            <w:tcW w:w="1066" w:type="pct"/>
            <w:shd w:val="clear" w:color="auto" w:fill="auto"/>
            <w:tcMar>
              <w:top w:w="0" w:type="dxa"/>
              <w:left w:w="0" w:type="dxa"/>
              <w:bottom w:w="0" w:type="dxa"/>
              <w:right w:w="0" w:type="dxa"/>
            </w:tcMar>
            <w:vAlign w:val="center"/>
            <w:hideMark/>
          </w:tcPr>
          <w:p w14:paraId="093B55E8" w14:textId="77777777" w:rsidR="00B56011" w:rsidRPr="00617599" w:rsidRDefault="00B56011" w:rsidP="00B56011">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30-34</w:t>
            </w:r>
          </w:p>
        </w:tc>
        <w:tc>
          <w:tcPr>
            <w:tcW w:w="490" w:type="pct"/>
            <w:shd w:val="clear" w:color="auto" w:fill="auto"/>
            <w:tcMar>
              <w:top w:w="0" w:type="dxa"/>
              <w:left w:w="0" w:type="dxa"/>
              <w:bottom w:w="0" w:type="dxa"/>
              <w:right w:w="0" w:type="dxa"/>
            </w:tcMar>
            <w:vAlign w:val="center"/>
            <w:hideMark/>
          </w:tcPr>
          <w:p w14:paraId="445B6C14" w14:textId="66B1A38E"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1,882</w:t>
            </w:r>
          </w:p>
        </w:tc>
        <w:tc>
          <w:tcPr>
            <w:tcW w:w="453" w:type="pct"/>
            <w:shd w:val="clear" w:color="auto" w:fill="auto"/>
            <w:tcMar>
              <w:top w:w="0" w:type="dxa"/>
              <w:left w:w="0" w:type="dxa"/>
              <w:bottom w:w="0" w:type="dxa"/>
              <w:right w:w="0" w:type="dxa"/>
            </w:tcMar>
            <w:vAlign w:val="center"/>
            <w:hideMark/>
          </w:tcPr>
          <w:p w14:paraId="024E1ECD" w14:textId="6E247DA4"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98.9</w:t>
            </w:r>
          </w:p>
        </w:tc>
        <w:tc>
          <w:tcPr>
            <w:tcW w:w="49" w:type="pct"/>
            <w:shd w:val="clear" w:color="auto" w:fill="auto"/>
            <w:tcMar>
              <w:top w:w="0" w:type="dxa"/>
              <w:left w:w="0" w:type="dxa"/>
              <w:bottom w:w="0" w:type="dxa"/>
              <w:right w:w="0" w:type="dxa"/>
            </w:tcMar>
            <w:vAlign w:val="center"/>
            <w:hideMark/>
          </w:tcPr>
          <w:p w14:paraId="0A0061C3" w14:textId="37E9CCDC"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92" w:type="pct"/>
            <w:shd w:val="clear" w:color="auto" w:fill="auto"/>
            <w:tcMar>
              <w:top w:w="0" w:type="dxa"/>
              <w:left w:w="0" w:type="dxa"/>
              <w:bottom w:w="0" w:type="dxa"/>
              <w:right w:w="0" w:type="dxa"/>
            </w:tcMar>
            <w:vAlign w:val="center"/>
            <w:hideMark/>
          </w:tcPr>
          <w:p w14:paraId="4BB32DAA" w14:textId="16753EF5"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21</w:t>
            </w:r>
          </w:p>
        </w:tc>
        <w:tc>
          <w:tcPr>
            <w:tcW w:w="454" w:type="pct"/>
            <w:shd w:val="clear" w:color="auto" w:fill="auto"/>
            <w:tcMar>
              <w:top w:w="0" w:type="dxa"/>
              <w:left w:w="0" w:type="dxa"/>
              <w:bottom w:w="0" w:type="dxa"/>
              <w:right w:w="0" w:type="dxa"/>
            </w:tcMar>
            <w:vAlign w:val="center"/>
            <w:hideMark/>
          </w:tcPr>
          <w:p w14:paraId="33EBA997" w14:textId="437A5DAD"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1.1</w:t>
            </w:r>
          </w:p>
        </w:tc>
        <w:tc>
          <w:tcPr>
            <w:tcW w:w="49" w:type="pct"/>
            <w:shd w:val="clear" w:color="auto" w:fill="auto"/>
            <w:tcMar>
              <w:top w:w="0" w:type="dxa"/>
              <w:left w:w="0" w:type="dxa"/>
              <w:bottom w:w="0" w:type="dxa"/>
              <w:right w:w="0" w:type="dxa"/>
            </w:tcMar>
            <w:vAlign w:val="center"/>
            <w:hideMark/>
          </w:tcPr>
          <w:p w14:paraId="72D5E46A" w14:textId="005D755E" w:rsidR="00B56011" w:rsidRPr="00862E2D" w:rsidRDefault="00B56011" w:rsidP="00B56011">
            <w:pPr>
              <w:spacing w:after="0" w:line="276" w:lineRule="auto"/>
              <w:jc w:val="right"/>
              <w:rPr>
                <w:rFonts w:ascii="Arial" w:eastAsia="Times New Roman" w:hAnsi="Arial" w:cs="Arial"/>
                <w:sz w:val="16"/>
                <w:szCs w:val="16"/>
                <w:lang w:eastAsia="en-AU"/>
              </w:rPr>
            </w:pPr>
          </w:p>
        </w:tc>
        <w:tc>
          <w:tcPr>
            <w:tcW w:w="492" w:type="pct"/>
            <w:shd w:val="clear" w:color="auto" w:fill="auto"/>
            <w:tcMar>
              <w:top w:w="0" w:type="dxa"/>
              <w:left w:w="0" w:type="dxa"/>
              <w:bottom w:w="0" w:type="dxa"/>
              <w:right w:w="0" w:type="dxa"/>
            </w:tcMar>
            <w:vAlign w:val="center"/>
            <w:hideMark/>
          </w:tcPr>
          <w:p w14:paraId="12A89931" w14:textId="0F86E8A8"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455" w:type="pct"/>
            <w:shd w:val="clear" w:color="auto" w:fill="auto"/>
            <w:tcMar>
              <w:top w:w="0" w:type="dxa"/>
              <w:left w:w="0" w:type="dxa"/>
              <w:bottom w:w="0" w:type="dxa"/>
              <w:right w:w="0" w:type="dxa"/>
            </w:tcMar>
            <w:vAlign w:val="center"/>
            <w:hideMark/>
          </w:tcPr>
          <w:p w14:paraId="6909A8D1" w14:textId="459835FE"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0.0</w:t>
            </w:r>
          </w:p>
        </w:tc>
        <w:tc>
          <w:tcPr>
            <w:tcW w:w="49" w:type="pct"/>
            <w:shd w:val="clear" w:color="auto" w:fill="auto"/>
            <w:tcMar>
              <w:top w:w="0" w:type="dxa"/>
              <w:left w:w="0" w:type="dxa"/>
              <w:bottom w:w="0" w:type="dxa"/>
              <w:right w:w="0" w:type="dxa"/>
            </w:tcMar>
            <w:vAlign w:val="center"/>
            <w:hideMark/>
          </w:tcPr>
          <w:p w14:paraId="329E46B9" w14:textId="0823013A" w:rsidR="00B56011" w:rsidRPr="00862E2D" w:rsidRDefault="00B56011" w:rsidP="00B56011">
            <w:pPr>
              <w:spacing w:after="0" w:line="276" w:lineRule="auto"/>
              <w:jc w:val="right"/>
              <w:rPr>
                <w:rFonts w:ascii="Arial" w:eastAsia="Times New Roman" w:hAnsi="Arial" w:cs="Arial"/>
                <w:sz w:val="16"/>
                <w:szCs w:val="16"/>
                <w:lang w:eastAsia="en-AU"/>
              </w:rPr>
            </w:pPr>
          </w:p>
        </w:tc>
        <w:tc>
          <w:tcPr>
            <w:tcW w:w="492" w:type="pct"/>
            <w:shd w:val="clear" w:color="auto" w:fill="auto"/>
            <w:tcMar>
              <w:top w:w="0" w:type="dxa"/>
              <w:left w:w="0" w:type="dxa"/>
              <w:bottom w:w="0" w:type="dxa"/>
              <w:right w:w="0" w:type="dxa"/>
            </w:tcMar>
            <w:vAlign w:val="center"/>
            <w:hideMark/>
          </w:tcPr>
          <w:p w14:paraId="7D0BF727" w14:textId="669B61A0"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1,903</w:t>
            </w:r>
          </w:p>
        </w:tc>
        <w:tc>
          <w:tcPr>
            <w:tcW w:w="459" w:type="pct"/>
            <w:shd w:val="clear" w:color="auto" w:fill="auto"/>
            <w:tcMar>
              <w:top w:w="0" w:type="dxa"/>
              <w:left w:w="0" w:type="dxa"/>
              <w:bottom w:w="0" w:type="dxa"/>
              <w:right w:w="0" w:type="dxa"/>
            </w:tcMar>
            <w:vAlign w:val="center"/>
            <w:hideMark/>
          </w:tcPr>
          <w:p w14:paraId="4F158C1A" w14:textId="1CB4C944"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100.0</w:t>
            </w:r>
          </w:p>
        </w:tc>
      </w:tr>
      <w:tr w:rsidR="00B56011" w:rsidRPr="00617599" w14:paraId="3AF0C319" w14:textId="77777777" w:rsidTr="00B56011">
        <w:trPr>
          <w:trHeight w:val="284"/>
        </w:trPr>
        <w:tc>
          <w:tcPr>
            <w:tcW w:w="1066" w:type="pct"/>
            <w:shd w:val="clear" w:color="auto" w:fill="auto"/>
            <w:tcMar>
              <w:top w:w="0" w:type="dxa"/>
              <w:left w:w="0" w:type="dxa"/>
              <w:bottom w:w="0" w:type="dxa"/>
              <w:right w:w="0" w:type="dxa"/>
            </w:tcMar>
            <w:vAlign w:val="center"/>
            <w:hideMark/>
          </w:tcPr>
          <w:p w14:paraId="61CB05CF" w14:textId="77777777" w:rsidR="00B56011" w:rsidRPr="00617599" w:rsidRDefault="00B56011" w:rsidP="00B56011">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35-39</w:t>
            </w:r>
          </w:p>
        </w:tc>
        <w:tc>
          <w:tcPr>
            <w:tcW w:w="490" w:type="pct"/>
            <w:shd w:val="clear" w:color="auto" w:fill="auto"/>
            <w:tcMar>
              <w:top w:w="0" w:type="dxa"/>
              <w:left w:w="0" w:type="dxa"/>
              <w:bottom w:w="0" w:type="dxa"/>
              <w:right w:w="0" w:type="dxa"/>
            </w:tcMar>
            <w:vAlign w:val="center"/>
            <w:hideMark/>
          </w:tcPr>
          <w:p w14:paraId="44AAC492" w14:textId="39E89286"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2,367</w:t>
            </w:r>
          </w:p>
        </w:tc>
        <w:tc>
          <w:tcPr>
            <w:tcW w:w="453" w:type="pct"/>
            <w:shd w:val="clear" w:color="auto" w:fill="auto"/>
            <w:tcMar>
              <w:top w:w="0" w:type="dxa"/>
              <w:left w:w="0" w:type="dxa"/>
              <w:bottom w:w="0" w:type="dxa"/>
              <w:right w:w="0" w:type="dxa"/>
            </w:tcMar>
            <w:vAlign w:val="center"/>
            <w:hideMark/>
          </w:tcPr>
          <w:p w14:paraId="6643DDDE" w14:textId="72823B7A"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98.0</w:t>
            </w:r>
          </w:p>
        </w:tc>
        <w:tc>
          <w:tcPr>
            <w:tcW w:w="49" w:type="pct"/>
            <w:shd w:val="clear" w:color="auto" w:fill="auto"/>
            <w:tcMar>
              <w:top w:w="0" w:type="dxa"/>
              <w:left w:w="0" w:type="dxa"/>
              <w:bottom w:w="0" w:type="dxa"/>
              <w:right w:w="0" w:type="dxa"/>
            </w:tcMar>
            <w:vAlign w:val="center"/>
            <w:hideMark/>
          </w:tcPr>
          <w:p w14:paraId="54A37CC4" w14:textId="69826267"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92" w:type="pct"/>
            <w:shd w:val="clear" w:color="auto" w:fill="auto"/>
            <w:tcMar>
              <w:top w:w="0" w:type="dxa"/>
              <w:left w:w="0" w:type="dxa"/>
              <w:bottom w:w="0" w:type="dxa"/>
              <w:right w:w="0" w:type="dxa"/>
            </w:tcMar>
            <w:vAlign w:val="center"/>
            <w:hideMark/>
          </w:tcPr>
          <w:p w14:paraId="1EF6535B" w14:textId="6EAAC11D"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48</w:t>
            </w:r>
          </w:p>
        </w:tc>
        <w:tc>
          <w:tcPr>
            <w:tcW w:w="454" w:type="pct"/>
            <w:shd w:val="clear" w:color="auto" w:fill="auto"/>
            <w:tcMar>
              <w:top w:w="0" w:type="dxa"/>
              <w:left w:w="0" w:type="dxa"/>
              <w:bottom w:w="0" w:type="dxa"/>
              <w:right w:w="0" w:type="dxa"/>
            </w:tcMar>
            <w:vAlign w:val="center"/>
            <w:hideMark/>
          </w:tcPr>
          <w:p w14:paraId="6AE88FF7" w14:textId="7795FF82"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2.0</w:t>
            </w:r>
          </w:p>
        </w:tc>
        <w:tc>
          <w:tcPr>
            <w:tcW w:w="49" w:type="pct"/>
            <w:shd w:val="clear" w:color="auto" w:fill="auto"/>
            <w:tcMar>
              <w:top w:w="0" w:type="dxa"/>
              <w:left w:w="0" w:type="dxa"/>
              <w:bottom w:w="0" w:type="dxa"/>
              <w:right w:w="0" w:type="dxa"/>
            </w:tcMar>
            <w:vAlign w:val="center"/>
            <w:hideMark/>
          </w:tcPr>
          <w:p w14:paraId="76E7E2A0" w14:textId="3CA58A58" w:rsidR="00B56011" w:rsidRPr="00862E2D" w:rsidRDefault="00B56011" w:rsidP="00B56011">
            <w:pPr>
              <w:spacing w:after="0" w:line="276" w:lineRule="auto"/>
              <w:jc w:val="right"/>
              <w:rPr>
                <w:rFonts w:ascii="Arial" w:eastAsia="Times New Roman" w:hAnsi="Arial" w:cs="Arial"/>
                <w:sz w:val="16"/>
                <w:szCs w:val="16"/>
                <w:lang w:eastAsia="en-AU"/>
              </w:rPr>
            </w:pPr>
          </w:p>
        </w:tc>
        <w:tc>
          <w:tcPr>
            <w:tcW w:w="492" w:type="pct"/>
            <w:shd w:val="clear" w:color="auto" w:fill="auto"/>
            <w:tcMar>
              <w:top w:w="0" w:type="dxa"/>
              <w:left w:w="0" w:type="dxa"/>
              <w:bottom w:w="0" w:type="dxa"/>
              <w:right w:w="0" w:type="dxa"/>
            </w:tcMar>
            <w:vAlign w:val="center"/>
            <w:hideMark/>
          </w:tcPr>
          <w:p w14:paraId="38EE038B" w14:textId="51D3C4B2"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455" w:type="pct"/>
            <w:shd w:val="clear" w:color="auto" w:fill="auto"/>
            <w:tcMar>
              <w:top w:w="0" w:type="dxa"/>
              <w:left w:w="0" w:type="dxa"/>
              <w:bottom w:w="0" w:type="dxa"/>
              <w:right w:w="0" w:type="dxa"/>
            </w:tcMar>
            <w:vAlign w:val="center"/>
            <w:hideMark/>
          </w:tcPr>
          <w:p w14:paraId="1E0AC93C" w14:textId="442DD1E1"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0.0</w:t>
            </w:r>
          </w:p>
        </w:tc>
        <w:tc>
          <w:tcPr>
            <w:tcW w:w="49" w:type="pct"/>
            <w:shd w:val="clear" w:color="auto" w:fill="auto"/>
            <w:tcMar>
              <w:top w:w="0" w:type="dxa"/>
              <w:left w:w="0" w:type="dxa"/>
              <w:bottom w:w="0" w:type="dxa"/>
              <w:right w:w="0" w:type="dxa"/>
            </w:tcMar>
            <w:vAlign w:val="center"/>
            <w:hideMark/>
          </w:tcPr>
          <w:p w14:paraId="1ED6BF31" w14:textId="32CF1928" w:rsidR="00B56011" w:rsidRPr="00862E2D" w:rsidRDefault="00B56011" w:rsidP="00B56011">
            <w:pPr>
              <w:spacing w:after="0" w:line="276" w:lineRule="auto"/>
              <w:jc w:val="right"/>
              <w:rPr>
                <w:rFonts w:ascii="Arial" w:eastAsia="Times New Roman" w:hAnsi="Arial" w:cs="Arial"/>
                <w:sz w:val="16"/>
                <w:szCs w:val="16"/>
                <w:lang w:eastAsia="en-AU"/>
              </w:rPr>
            </w:pPr>
          </w:p>
        </w:tc>
        <w:tc>
          <w:tcPr>
            <w:tcW w:w="492" w:type="pct"/>
            <w:shd w:val="clear" w:color="auto" w:fill="auto"/>
            <w:tcMar>
              <w:top w:w="0" w:type="dxa"/>
              <w:left w:w="0" w:type="dxa"/>
              <w:bottom w:w="0" w:type="dxa"/>
              <w:right w:w="0" w:type="dxa"/>
            </w:tcMar>
            <w:vAlign w:val="center"/>
            <w:hideMark/>
          </w:tcPr>
          <w:p w14:paraId="2F717DB7" w14:textId="1999AAB1"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2,415</w:t>
            </w:r>
          </w:p>
        </w:tc>
        <w:tc>
          <w:tcPr>
            <w:tcW w:w="459" w:type="pct"/>
            <w:shd w:val="clear" w:color="auto" w:fill="auto"/>
            <w:tcMar>
              <w:top w:w="0" w:type="dxa"/>
              <w:left w:w="0" w:type="dxa"/>
              <w:bottom w:w="0" w:type="dxa"/>
              <w:right w:w="0" w:type="dxa"/>
            </w:tcMar>
            <w:vAlign w:val="center"/>
            <w:hideMark/>
          </w:tcPr>
          <w:p w14:paraId="2FF090D3" w14:textId="317D470C"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100.0</w:t>
            </w:r>
          </w:p>
        </w:tc>
      </w:tr>
      <w:tr w:rsidR="00B56011" w:rsidRPr="00617599" w14:paraId="7D977701" w14:textId="77777777" w:rsidTr="00B56011">
        <w:trPr>
          <w:trHeight w:val="284"/>
        </w:trPr>
        <w:tc>
          <w:tcPr>
            <w:tcW w:w="1066" w:type="pct"/>
            <w:shd w:val="clear" w:color="auto" w:fill="auto"/>
            <w:tcMar>
              <w:top w:w="0" w:type="dxa"/>
              <w:left w:w="0" w:type="dxa"/>
              <w:bottom w:w="0" w:type="dxa"/>
              <w:right w:w="0" w:type="dxa"/>
            </w:tcMar>
            <w:vAlign w:val="center"/>
            <w:hideMark/>
          </w:tcPr>
          <w:p w14:paraId="417964C2" w14:textId="77777777" w:rsidR="00B56011" w:rsidRPr="00617599" w:rsidRDefault="00B56011" w:rsidP="00B56011">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40-44</w:t>
            </w:r>
          </w:p>
        </w:tc>
        <w:tc>
          <w:tcPr>
            <w:tcW w:w="490" w:type="pct"/>
            <w:shd w:val="clear" w:color="auto" w:fill="auto"/>
            <w:tcMar>
              <w:top w:w="0" w:type="dxa"/>
              <w:left w:w="0" w:type="dxa"/>
              <w:bottom w:w="0" w:type="dxa"/>
              <w:right w:w="0" w:type="dxa"/>
            </w:tcMar>
            <w:vAlign w:val="center"/>
            <w:hideMark/>
          </w:tcPr>
          <w:p w14:paraId="691B35AC" w14:textId="2C5988E0"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1,055</w:t>
            </w:r>
          </w:p>
        </w:tc>
        <w:tc>
          <w:tcPr>
            <w:tcW w:w="453" w:type="pct"/>
            <w:shd w:val="clear" w:color="auto" w:fill="auto"/>
            <w:tcMar>
              <w:top w:w="0" w:type="dxa"/>
              <w:left w:w="0" w:type="dxa"/>
              <w:bottom w:w="0" w:type="dxa"/>
              <w:right w:w="0" w:type="dxa"/>
            </w:tcMar>
            <w:vAlign w:val="center"/>
            <w:hideMark/>
          </w:tcPr>
          <w:p w14:paraId="53E70776" w14:textId="3F827971" w:rsidR="00B56011" w:rsidRPr="00952173"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94.6</w:t>
            </w:r>
          </w:p>
        </w:tc>
        <w:tc>
          <w:tcPr>
            <w:tcW w:w="49" w:type="pct"/>
            <w:shd w:val="clear" w:color="auto" w:fill="auto"/>
            <w:tcMar>
              <w:top w:w="0" w:type="dxa"/>
              <w:left w:w="0" w:type="dxa"/>
              <w:bottom w:w="0" w:type="dxa"/>
              <w:right w:w="0" w:type="dxa"/>
            </w:tcMar>
            <w:vAlign w:val="center"/>
            <w:hideMark/>
          </w:tcPr>
          <w:p w14:paraId="61161CFF" w14:textId="51F7E53D" w:rsidR="00B56011" w:rsidRPr="00952173"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92" w:type="pct"/>
            <w:shd w:val="clear" w:color="auto" w:fill="auto"/>
            <w:tcMar>
              <w:top w:w="0" w:type="dxa"/>
              <w:left w:w="0" w:type="dxa"/>
              <w:bottom w:w="0" w:type="dxa"/>
              <w:right w:w="0" w:type="dxa"/>
            </w:tcMar>
            <w:vAlign w:val="center"/>
            <w:hideMark/>
          </w:tcPr>
          <w:p w14:paraId="28634864" w14:textId="2C174991" w:rsidR="00B56011" w:rsidRPr="0051071F"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60</w:t>
            </w:r>
          </w:p>
        </w:tc>
        <w:tc>
          <w:tcPr>
            <w:tcW w:w="454" w:type="pct"/>
            <w:shd w:val="clear" w:color="auto" w:fill="auto"/>
            <w:tcMar>
              <w:top w:w="0" w:type="dxa"/>
              <w:left w:w="0" w:type="dxa"/>
              <w:bottom w:w="0" w:type="dxa"/>
              <w:right w:w="0" w:type="dxa"/>
            </w:tcMar>
            <w:vAlign w:val="center"/>
            <w:hideMark/>
          </w:tcPr>
          <w:p w14:paraId="03DCF16F" w14:textId="5E0F578C" w:rsidR="00B56011" w:rsidRPr="0051071F"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5.4</w:t>
            </w:r>
          </w:p>
        </w:tc>
        <w:tc>
          <w:tcPr>
            <w:tcW w:w="49" w:type="pct"/>
            <w:shd w:val="clear" w:color="auto" w:fill="auto"/>
            <w:tcMar>
              <w:top w:w="0" w:type="dxa"/>
              <w:left w:w="0" w:type="dxa"/>
              <w:bottom w:w="0" w:type="dxa"/>
              <w:right w:w="0" w:type="dxa"/>
            </w:tcMar>
            <w:vAlign w:val="center"/>
            <w:hideMark/>
          </w:tcPr>
          <w:p w14:paraId="4E26DF47" w14:textId="6A6E6200" w:rsidR="00B56011" w:rsidRPr="00862E2D" w:rsidRDefault="00B56011" w:rsidP="00B56011">
            <w:pPr>
              <w:spacing w:after="0" w:line="276" w:lineRule="auto"/>
              <w:jc w:val="right"/>
              <w:rPr>
                <w:rFonts w:ascii="Arial" w:eastAsia="Times New Roman" w:hAnsi="Arial" w:cs="Arial"/>
                <w:sz w:val="16"/>
                <w:szCs w:val="16"/>
                <w:lang w:eastAsia="en-AU"/>
              </w:rPr>
            </w:pPr>
          </w:p>
        </w:tc>
        <w:tc>
          <w:tcPr>
            <w:tcW w:w="492" w:type="pct"/>
            <w:shd w:val="clear" w:color="auto" w:fill="auto"/>
            <w:tcMar>
              <w:top w:w="0" w:type="dxa"/>
              <w:left w:w="0" w:type="dxa"/>
              <w:bottom w:w="0" w:type="dxa"/>
              <w:right w:w="0" w:type="dxa"/>
            </w:tcMar>
            <w:vAlign w:val="center"/>
            <w:hideMark/>
          </w:tcPr>
          <w:p w14:paraId="44508A39" w14:textId="0BC3C47D"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eastAsia="Times New Roman" w:hAnsi="Arial" w:cs="Arial"/>
                <w:sz w:val="16"/>
                <w:szCs w:val="16"/>
                <w:lang w:eastAsia="en-AU"/>
              </w:rPr>
              <w:t>0</w:t>
            </w:r>
          </w:p>
        </w:tc>
        <w:tc>
          <w:tcPr>
            <w:tcW w:w="455" w:type="pct"/>
            <w:shd w:val="clear" w:color="auto" w:fill="auto"/>
            <w:tcMar>
              <w:top w:w="0" w:type="dxa"/>
              <w:left w:w="0" w:type="dxa"/>
              <w:bottom w:w="0" w:type="dxa"/>
              <w:right w:w="0" w:type="dxa"/>
            </w:tcMar>
            <w:vAlign w:val="center"/>
            <w:hideMark/>
          </w:tcPr>
          <w:p w14:paraId="60D387F8" w14:textId="1E26295C"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0.0</w:t>
            </w:r>
          </w:p>
        </w:tc>
        <w:tc>
          <w:tcPr>
            <w:tcW w:w="49" w:type="pct"/>
            <w:shd w:val="clear" w:color="auto" w:fill="auto"/>
            <w:tcMar>
              <w:top w:w="0" w:type="dxa"/>
              <w:left w:w="0" w:type="dxa"/>
              <w:bottom w:w="0" w:type="dxa"/>
              <w:right w:w="0" w:type="dxa"/>
            </w:tcMar>
            <w:vAlign w:val="center"/>
            <w:hideMark/>
          </w:tcPr>
          <w:p w14:paraId="2E141813" w14:textId="22929113" w:rsidR="00B56011" w:rsidRPr="00862E2D" w:rsidRDefault="00B56011" w:rsidP="00B56011">
            <w:pPr>
              <w:spacing w:after="0" w:line="276" w:lineRule="auto"/>
              <w:jc w:val="right"/>
              <w:rPr>
                <w:rFonts w:ascii="Arial" w:eastAsia="Times New Roman" w:hAnsi="Arial" w:cs="Arial"/>
                <w:sz w:val="16"/>
                <w:szCs w:val="16"/>
                <w:lang w:eastAsia="en-AU"/>
              </w:rPr>
            </w:pPr>
          </w:p>
        </w:tc>
        <w:tc>
          <w:tcPr>
            <w:tcW w:w="492" w:type="pct"/>
            <w:shd w:val="clear" w:color="auto" w:fill="auto"/>
            <w:tcMar>
              <w:top w:w="0" w:type="dxa"/>
              <w:left w:w="0" w:type="dxa"/>
              <w:bottom w:w="0" w:type="dxa"/>
              <w:right w:w="0" w:type="dxa"/>
            </w:tcMar>
            <w:vAlign w:val="center"/>
            <w:hideMark/>
          </w:tcPr>
          <w:p w14:paraId="53EC68B8" w14:textId="2E4AC47B"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1,115</w:t>
            </w:r>
          </w:p>
        </w:tc>
        <w:tc>
          <w:tcPr>
            <w:tcW w:w="459" w:type="pct"/>
            <w:shd w:val="clear" w:color="auto" w:fill="auto"/>
            <w:tcMar>
              <w:top w:w="0" w:type="dxa"/>
              <w:left w:w="0" w:type="dxa"/>
              <w:bottom w:w="0" w:type="dxa"/>
              <w:right w:w="0" w:type="dxa"/>
            </w:tcMar>
            <w:vAlign w:val="center"/>
            <w:hideMark/>
          </w:tcPr>
          <w:p w14:paraId="2F7A3030" w14:textId="241455B0"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100.0</w:t>
            </w:r>
          </w:p>
        </w:tc>
      </w:tr>
      <w:tr w:rsidR="00B56011" w:rsidRPr="00617599" w14:paraId="19305D88" w14:textId="77777777" w:rsidTr="00B56011">
        <w:trPr>
          <w:trHeight w:val="284"/>
        </w:trPr>
        <w:tc>
          <w:tcPr>
            <w:tcW w:w="1066" w:type="pct"/>
            <w:shd w:val="clear" w:color="auto" w:fill="auto"/>
            <w:tcMar>
              <w:top w:w="0" w:type="dxa"/>
              <w:left w:w="0" w:type="dxa"/>
              <w:bottom w:w="0" w:type="dxa"/>
              <w:right w:w="0" w:type="dxa"/>
            </w:tcMar>
            <w:vAlign w:val="center"/>
            <w:hideMark/>
          </w:tcPr>
          <w:p w14:paraId="36BD4BD6" w14:textId="77777777" w:rsidR="00B56011" w:rsidRPr="00617599" w:rsidRDefault="00B56011" w:rsidP="00B56011">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≥45</w:t>
            </w:r>
          </w:p>
        </w:tc>
        <w:tc>
          <w:tcPr>
            <w:tcW w:w="490" w:type="pct"/>
            <w:shd w:val="clear" w:color="auto" w:fill="auto"/>
            <w:tcMar>
              <w:top w:w="0" w:type="dxa"/>
              <w:left w:w="0" w:type="dxa"/>
              <w:bottom w:w="0" w:type="dxa"/>
              <w:right w:w="0" w:type="dxa"/>
            </w:tcMar>
            <w:vAlign w:val="center"/>
            <w:hideMark/>
          </w:tcPr>
          <w:p w14:paraId="17132EEE" w14:textId="57CD2422"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107</w:t>
            </w:r>
          </w:p>
        </w:tc>
        <w:tc>
          <w:tcPr>
            <w:tcW w:w="453" w:type="pct"/>
            <w:shd w:val="clear" w:color="auto" w:fill="auto"/>
            <w:tcMar>
              <w:top w:w="0" w:type="dxa"/>
              <w:left w:w="0" w:type="dxa"/>
              <w:bottom w:w="0" w:type="dxa"/>
              <w:right w:w="0" w:type="dxa"/>
            </w:tcMar>
            <w:vAlign w:val="center"/>
            <w:hideMark/>
          </w:tcPr>
          <w:p w14:paraId="55FC204D" w14:textId="5AAE9186" w:rsidR="00B56011" w:rsidRPr="00952173"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91.5</w:t>
            </w:r>
          </w:p>
        </w:tc>
        <w:tc>
          <w:tcPr>
            <w:tcW w:w="49" w:type="pct"/>
            <w:shd w:val="clear" w:color="auto" w:fill="auto"/>
            <w:tcMar>
              <w:top w:w="0" w:type="dxa"/>
              <w:left w:w="0" w:type="dxa"/>
              <w:bottom w:w="0" w:type="dxa"/>
              <w:right w:w="0" w:type="dxa"/>
            </w:tcMar>
            <w:vAlign w:val="center"/>
            <w:hideMark/>
          </w:tcPr>
          <w:p w14:paraId="446FFA85" w14:textId="7A6CF2F5" w:rsidR="00B56011" w:rsidRPr="00952173"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92" w:type="pct"/>
            <w:shd w:val="clear" w:color="auto" w:fill="auto"/>
            <w:tcMar>
              <w:top w:w="0" w:type="dxa"/>
              <w:left w:w="0" w:type="dxa"/>
              <w:bottom w:w="0" w:type="dxa"/>
              <w:right w:w="0" w:type="dxa"/>
            </w:tcMar>
            <w:vAlign w:val="center"/>
            <w:hideMark/>
          </w:tcPr>
          <w:p w14:paraId="16EAA446" w14:textId="147D3D31" w:rsidR="00B56011" w:rsidRPr="0051071F"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10</w:t>
            </w:r>
          </w:p>
        </w:tc>
        <w:tc>
          <w:tcPr>
            <w:tcW w:w="454" w:type="pct"/>
            <w:shd w:val="clear" w:color="auto" w:fill="auto"/>
            <w:tcMar>
              <w:top w:w="0" w:type="dxa"/>
              <w:left w:w="0" w:type="dxa"/>
              <w:bottom w:w="0" w:type="dxa"/>
              <w:right w:w="0" w:type="dxa"/>
            </w:tcMar>
            <w:vAlign w:val="center"/>
            <w:hideMark/>
          </w:tcPr>
          <w:p w14:paraId="42ACD0BF" w14:textId="7A2E7BA9" w:rsidR="00B56011" w:rsidRPr="00952173"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8.5</w:t>
            </w:r>
          </w:p>
        </w:tc>
        <w:tc>
          <w:tcPr>
            <w:tcW w:w="49" w:type="pct"/>
            <w:shd w:val="clear" w:color="auto" w:fill="auto"/>
            <w:tcMar>
              <w:top w:w="0" w:type="dxa"/>
              <w:left w:w="0" w:type="dxa"/>
              <w:bottom w:w="0" w:type="dxa"/>
              <w:right w:w="0" w:type="dxa"/>
            </w:tcMar>
            <w:vAlign w:val="center"/>
            <w:hideMark/>
          </w:tcPr>
          <w:p w14:paraId="7AD0F584" w14:textId="0725FFC4" w:rsidR="00B56011" w:rsidRPr="00DE6BE4" w:rsidRDefault="00B56011" w:rsidP="00B56011">
            <w:pPr>
              <w:spacing w:after="0" w:line="276" w:lineRule="auto"/>
              <w:jc w:val="right"/>
              <w:rPr>
                <w:rFonts w:ascii="Arial" w:eastAsia="Times New Roman" w:hAnsi="Arial" w:cs="Arial"/>
                <w:color w:val="FF0000"/>
                <w:sz w:val="16"/>
                <w:szCs w:val="16"/>
                <w:lang w:eastAsia="en-AU"/>
              </w:rPr>
            </w:pPr>
          </w:p>
        </w:tc>
        <w:tc>
          <w:tcPr>
            <w:tcW w:w="492" w:type="pct"/>
            <w:shd w:val="clear" w:color="auto" w:fill="auto"/>
            <w:tcMar>
              <w:top w:w="0" w:type="dxa"/>
              <w:left w:w="0" w:type="dxa"/>
              <w:bottom w:w="0" w:type="dxa"/>
              <w:right w:w="0" w:type="dxa"/>
            </w:tcMar>
            <w:vAlign w:val="center"/>
            <w:hideMark/>
          </w:tcPr>
          <w:p w14:paraId="3D67C9C1" w14:textId="253026B4" w:rsidR="00B56011" w:rsidRPr="00DE6BE4" w:rsidRDefault="00B56011" w:rsidP="00B56011">
            <w:pPr>
              <w:spacing w:after="0" w:line="276" w:lineRule="auto"/>
              <w:jc w:val="right"/>
              <w:rPr>
                <w:rFonts w:ascii="Arial" w:eastAsia="Times New Roman" w:hAnsi="Arial" w:cs="Arial"/>
                <w:color w:val="FF0000"/>
                <w:sz w:val="16"/>
                <w:szCs w:val="16"/>
                <w:lang w:eastAsia="en-AU"/>
              </w:rPr>
            </w:pPr>
            <w:r>
              <w:rPr>
                <w:rFonts w:ascii="Arial" w:hAnsi="Arial" w:cs="Arial"/>
                <w:sz w:val="16"/>
                <w:szCs w:val="16"/>
              </w:rPr>
              <w:t>0</w:t>
            </w:r>
          </w:p>
        </w:tc>
        <w:tc>
          <w:tcPr>
            <w:tcW w:w="455" w:type="pct"/>
            <w:shd w:val="clear" w:color="auto" w:fill="auto"/>
            <w:tcMar>
              <w:top w:w="0" w:type="dxa"/>
              <w:left w:w="0" w:type="dxa"/>
              <w:bottom w:w="0" w:type="dxa"/>
              <w:right w:w="0" w:type="dxa"/>
            </w:tcMar>
            <w:vAlign w:val="center"/>
            <w:hideMark/>
          </w:tcPr>
          <w:p w14:paraId="51B3D43E" w14:textId="43499158"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0.0</w:t>
            </w:r>
          </w:p>
        </w:tc>
        <w:tc>
          <w:tcPr>
            <w:tcW w:w="49" w:type="pct"/>
            <w:shd w:val="clear" w:color="auto" w:fill="auto"/>
            <w:tcMar>
              <w:top w:w="0" w:type="dxa"/>
              <w:left w:w="0" w:type="dxa"/>
              <w:bottom w:w="0" w:type="dxa"/>
              <w:right w:w="0" w:type="dxa"/>
            </w:tcMar>
            <w:vAlign w:val="center"/>
            <w:hideMark/>
          </w:tcPr>
          <w:p w14:paraId="7AE23446" w14:textId="2EB7B543" w:rsidR="00B56011" w:rsidRPr="00862E2D" w:rsidRDefault="00B56011" w:rsidP="00B56011">
            <w:pPr>
              <w:spacing w:after="0" w:line="276" w:lineRule="auto"/>
              <w:jc w:val="right"/>
              <w:rPr>
                <w:rFonts w:ascii="Arial" w:eastAsia="Times New Roman" w:hAnsi="Arial" w:cs="Arial"/>
                <w:sz w:val="16"/>
                <w:szCs w:val="16"/>
                <w:lang w:eastAsia="en-AU"/>
              </w:rPr>
            </w:pPr>
          </w:p>
        </w:tc>
        <w:tc>
          <w:tcPr>
            <w:tcW w:w="492" w:type="pct"/>
            <w:shd w:val="clear" w:color="auto" w:fill="auto"/>
            <w:tcMar>
              <w:top w:w="0" w:type="dxa"/>
              <w:left w:w="0" w:type="dxa"/>
              <w:bottom w:w="0" w:type="dxa"/>
              <w:right w:w="0" w:type="dxa"/>
            </w:tcMar>
            <w:vAlign w:val="center"/>
            <w:hideMark/>
          </w:tcPr>
          <w:p w14:paraId="52FC54E5" w14:textId="6156B532"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117</w:t>
            </w:r>
          </w:p>
        </w:tc>
        <w:tc>
          <w:tcPr>
            <w:tcW w:w="459" w:type="pct"/>
            <w:shd w:val="clear" w:color="auto" w:fill="auto"/>
            <w:tcMar>
              <w:top w:w="0" w:type="dxa"/>
              <w:left w:w="0" w:type="dxa"/>
              <w:bottom w:w="0" w:type="dxa"/>
              <w:right w:w="0" w:type="dxa"/>
            </w:tcMar>
            <w:vAlign w:val="center"/>
            <w:hideMark/>
          </w:tcPr>
          <w:p w14:paraId="3551AB96" w14:textId="26620261" w:rsidR="00B56011" w:rsidRPr="00862E2D" w:rsidRDefault="00B56011" w:rsidP="00B56011">
            <w:pPr>
              <w:spacing w:after="0" w:line="276" w:lineRule="auto"/>
              <w:jc w:val="right"/>
              <w:rPr>
                <w:rFonts w:ascii="Arial" w:eastAsia="Times New Roman" w:hAnsi="Arial" w:cs="Arial"/>
                <w:sz w:val="16"/>
                <w:szCs w:val="16"/>
                <w:lang w:eastAsia="en-AU"/>
              </w:rPr>
            </w:pPr>
            <w:r>
              <w:rPr>
                <w:rFonts w:ascii="Arial" w:hAnsi="Arial" w:cs="Arial"/>
                <w:sz w:val="16"/>
                <w:szCs w:val="16"/>
              </w:rPr>
              <w:t>100.0</w:t>
            </w:r>
          </w:p>
        </w:tc>
      </w:tr>
      <w:tr w:rsidR="00B56011" w:rsidRPr="00617599" w14:paraId="788C3746" w14:textId="77777777" w:rsidTr="00B56011">
        <w:trPr>
          <w:trHeight w:val="284"/>
        </w:trPr>
        <w:tc>
          <w:tcPr>
            <w:tcW w:w="1066" w:type="pct"/>
            <w:tcBorders>
              <w:bottom w:val="single" w:sz="12" w:space="0" w:color="auto"/>
            </w:tcBorders>
            <w:shd w:val="clear" w:color="auto" w:fill="auto"/>
            <w:tcMar>
              <w:top w:w="0" w:type="dxa"/>
              <w:left w:w="0" w:type="dxa"/>
              <w:bottom w:w="0" w:type="dxa"/>
              <w:right w:w="0" w:type="dxa"/>
            </w:tcMar>
            <w:vAlign w:val="center"/>
            <w:hideMark/>
          </w:tcPr>
          <w:p w14:paraId="6F80DB2F" w14:textId="77777777" w:rsidR="00B56011" w:rsidRPr="00617599" w:rsidRDefault="00B56011" w:rsidP="00B56011">
            <w:pPr>
              <w:spacing w:after="0" w:line="276" w:lineRule="auto"/>
              <w:rPr>
                <w:rFonts w:ascii="Arial" w:eastAsia="Times New Roman" w:hAnsi="Arial" w:cs="Arial"/>
                <w:b/>
                <w:sz w:val="16"/>
                <w:szCs w:val="16"/>
                <w:lang w:eastAsia="en-AU"/>
              </w:rPr>
            </w:pPr>
            <w:r w:rsidRPr="00617599">
              <w:rPr>
                <w:rFonts w:ascii="Arial" w:eastAsia="Times New Roman" w:hAnsi="Arial" w:cs="Arial"/>
                <w:b/>
                <w:sz w:val="16"/>
                <w:szCs w:val="16"/>
                <w:lang w:eastAsia="en-AU"/>
              </w:rPr>
              <w:t>Total</w:t>
            </w:r>
          </w:p>
        </w:tc>
        <w:tc>
          <w:tcPr>
            <w:tcW w:w="490" w:type="pct"/>
            <w:tcBorders>
              <w:bottom w:val="single" w:sz="12" w:space="0" w:color="auto"/>
            </w:tcBorders>
            <w:shd w:val="clear" w:color="auto" w:fill="auto"/>
            <w:tcMar>
              <w:top w:w="0" w:type="dxa"/>
              <w:left w:w="0" w:type="dxa"/>
              <w:bottom w:w="0" w:type="dxa"/>
              <w:right w:w="0" w:type="dxa"/>
            </w:tcMar>
            <w:vAlign w:val="center"/>
            <w:hideMark/>
          </w:tcPr>
          <w:p w14:paraId="3D657D6E" w14:textId="1CCD0BE3" w:rsidR="00B56011" w:rsidRPr="00862E2D" w:rsidRDefault="00B56011" w:rsidP="00B56011">
            <w:pPr>
              <w:spacing w:after="0" w:line="276" w:lineRule="auto"/>
              <w:jc w:val="right"/>
              <w:rPr>
                <w:rFonts w:ascii="Arial" w:eastAsia="Times New Roman" w:hAnsi="Arial" w:cs="Arial"/>
                <w:b/>
                <w:sz w:val="16"/>
                <w:szCs w:val="16"/>
                <w:lang w:eastAsia="en-AU"/>
              </w:rPr>
            </w:pPr>
            <w:r>
              <w:rPr>
                <w:rFonts w:ascii="Arial" w:hAnsi="Arial" w:cs="Arial"/>
                <w:b/>
                <w:bCs/>
                <w:sz w:val="16"/>
                <w:szCs w:val="16"/>
              </w:rPr>
              <w:t>5,882</w:t>
            </w:r>
          </w:p>
        </w:tc>
        <w:tc>
          <w:tcPr>
            <w:tcW w:w="453" w:type="pct"/>
            <w:tcBorders>
              <w:bottom w:val="single" w:sz="12" w:space="0" w:color="auto"/>
            </w:tcBorders>
            <w:shd w:val="clear" w:color="auto" w:fill="auto"/>
            <w:tcMar>
              <w:top w:w="0" w:type="dxa"/>
              <w:left w:w="0" w:type="dxa"/>
              <w:bottom w:w="0" w:type="dxa"/>
              <w:right w:w="0" w:type="dxa"/>
            </w:tcMar>
            <w:vAlign w:val="center"/>
            <w:hideMark/>
          </w:tcPr>
          <w:p w14:paraId="7989B967" w14:textId="1FD171CF" w:rsidR="00B56011" w:rsidRPr="00862E2D" w:rsidRDefault="00B56011" w:rsidP="00B56011">
            <w:pPr>
              <w:spacing w:after="0" w:line="276" w:lineRule="auto"/>
              <w:jc w:val="right"/>
              <w:rPr>
                <w:rFonts w:ascii="Arial" w:eastAsia="Times New Roman" w:hAnsi="Arial" w:cs="Arial"/>
                <w:b/>
                <w:sz w:val="16"/>
                <w:szCs w:val="16"/>
                <w:lang w:eastAsia="en-AU"/>
              </w:rPr>
            </w:pPr>
            <w:r>
              <w:rPr>
                <w:rFonts w:ascii="Arial" w:hAnsi="Arial" w:cs="Arial"/>
                <w:b/>
                <w:bCs/>
                <w:sz w:val="16"/>
                <w:szCs w:val="16"/>
              </w:rPr>
              <w:t>97.6</w:t>
            </w:r>
          </w:p>
        </w:tc>
        <w:tc>
          <w:tcPr>
            <w:tcW w:w="49" w:type="pct"/>
            <w:tcBorders>
              <w:bottom w:val="single" w:sz="12" w:space="0" w:color="auto"/>
            </w:tcBorders>
            <w:shd w:val="clear" w:color="auto" w:fill="auto"/>
            <w:tcMar>
              <w:top w:w="0" w:type="dxa"/>
              <w:left w:w="0" w:type="dxa"/>
              <w:bottom w:w="0" w:type="dxa"/>
              <w:right w:w="0" w:type="dxa"/>
            </w:tcMar>
            <w:vAlign w:val="center"/>
            <w:hideMark/>
          </w:tcPr>
          <w:p w14:paraId="339A9975" w14:textId="459E8E5A" w:rsidR="00B56011" w:rsidRPr="00862E2D" w:rsidRDefault="00B56011" w:rsidP="00B56011">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92" w:type="pct"/>
            <w:tcBorders>
              <w:bottom w:val="single" w:sz="12" w:space="0" w:color="auto"/>
            </w:tcBorders>
            <w:shd w:val="clear" w:color="auto" w:fill="auto"/>
            <w:tcMar>
              <w:top w:w="0" w:type="dxa"/>
              <w:left w:w="0" w:type="dxa"/>
              <w:bottom w:w="0" w:type="dxa"/>
              <w:right w:w="0" w:type="dxa"/>
            </w:tcMar>
            <w:vAlign w:val="center"/>
            <w:hideMark/>
          </w:tcPr>
          <w:p w14:paraId="4CFDECDA" w14:textId="2B9E658B" w:rsidR="00B56011" w:rsidRPr="00862E2D" w:rsidRDefault="00B56011" w:rsidP="00B56011">
            <w:pPr>
              <w:spacing w:after="0" w:line="276" w:lineRule="auto"/>
              <w:jc w:val="right"/>
              <w:rPr>
                <w:rFonts w:ascii="Arial" w:eastAsia="Times New Roman" w:hAnsi="Arial" w:cs="Arial"/>
                <w:b/>
                <w:sz w:val="16"/>
                <w:szCs w:val="16"/>
                <w:lang w:eastAsia="en-AU"/>
              </w:rPr>
            </w:pPr>
            <w:r>
              <w:rPr>
                <w:rFonts w:ascii="Arial" w:hAnsi="Arial" w:cs="Arial"/>
                <w:b/>
                <w:bCs/>
                <w:sz w:val="16"/>
                <w:szCs w:val="16"/>
              </w:rPr>
              <w:t>142</w:t>
            </w:r>
          </w:p>
        </w:tc>
        <w:tc>
          <w:tcPr>
            <w:tcW w:w="454" w:type="pct"/>
            <w:tcBorders>
              <w:bottom w:val="single" w:sz="12" w:space="0" w:color="auto"/>
            </w:tcBorders>
            <w:shd w:val="clear" w:color="auto" w:fill="auto"/>
            <w:tcMar>
              <w:top w:w="0" w:type="dxa"/>
              <w:left w:w="0" w:type="dxa"/>
              <w:bottom w:w="0" w:type="dxa"/>
              <w:right w:w="0" w:type="dxa"/>
            </w:tcMar>
            <w:vAlign w:val="center"/>
            <w:hideMark/>
          </w:tcPr>
          <w:p w14:paraId="44744EBF" w14:textId="7C750D52" w:rsidR="00B56011" w:rsidRPr="00862E2D" w:rsidRDefault="00B56011" w:rsidP="00B56011">
            <w:pPr>
              <w:spacing w:after="0" w:line="276" w:lineRule="auto"/>
              <w:jc w:val="right"/>
              <w:rPr>
                <w:rFonts w:ascii="Arial" w:eastAsia="Times New Roman" w:hAnsi="Arial" w:cs="Arial"/>
                <w:b/>
                <w:sz w:val="16"/>
                <w:szCs w:val="16"/>
                <w:lang w:eastAsia="en-AU"/>
              </w:rPr>
            </w:pPr>
            <w:r>
              <w:rPr>
                <w:rFonts w:ascii="Arial" w:hAnsi="Arial" w:cs="Arial"/>
                <w:b/>
                <w:bCs/>
                <w:sz w:val="16"/>
                <w:szCs w:val="16"/>
              </w:rPr>
              <w:t>2.4</w:t>
            </w:r>
          </w:p>
        </w:tc>
        <w:tc>
          <w:tcPr>
            <w:tcW w:w="49" w:type="pct"/>
            <w:tcBorders>
              <w:bottom w:val="single" w:sz="12" w:space="0" w:color="auto"/>
            </w:tcBorders>
            <w:shd w:val="clear" w:color="auto" w:fill="auto"/>
            <w:tcMar>
              <w:top w:w="0" w:type="dxa"/>
              <w:left w:w="0" w:type="dxa"/>
              <w:bottom w:w="0" w:type="dxa"/>
              <w:right w:w="0" w:type="dxa"/>
            </w:tcMar>
            <w:vAlign w:val="center"/>
            <w:hideMark/>
          </w:tcPr>
          <w:p w14:paraId="3CFDD046" w14:textId="1BA45257" w:rsidR="00B56011" w:rsidRPr="00862E2D" w:rsidRDefault="00B56011" w:rsidP="00B56011">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92" w:type="pct"/>
            <w:tcBorders>
              <w:bottom w:val="single" w:sz="12" w:space="0" w:color="auto"/>
            </w:tcBorders>
            <w:shd w:val="clear" w:color="auto" w:fill="auto"/>
            <w:tcMar>
              <w:top w:w="0" w:type="dxa"/>
              <w:left w:w="0" w:type="dxa"/>
              <w:bottom w:w="0" w:type="dxa"/>
              <w:right w:w="0" w:type="dxa"/>
            </w:tcMar>
            <w:vAlign w:val="center"/>
            <w:hideMark/>
          </w:tcPr>
          <w:p w14:paraId="702BF3EE" w14:textId="51158A5D" w:rsidR="00B56011" w:rsidRPr="00862E2D" w:rsidRDefault="00B56011" w:rsidP="00B56011">
            <w:pPr>
              <w:spacing w:after="0" w:line="276" w:lineRule="auto"/>
              <w:jc w:val="right"/>
              <w:rPr>
                <w:rFonts w:ascii="Arial" w:eastAsia="Times New Roman" w:hAnsi="Arial" w:cs="Arial"/>
                <w:b/>
                <w:sz w:val="16"/>
                <w:szCs w:val="16"/>
                <w:lang w:eastAsia="en-AU"/>
              </w:rPr>
            </w:pPr>
            <w:r>
              <w:rPr>
                <w:rFonts w:ascii="Arial" w:eastAsia="Times New Roman" w:hAnsi="Arial" w:cs="Arial"/>
                <w:b/>
                <w:sz w:val="16"/>
                <w:szCs w:val="16"/>
                <w:lang w:eastAsia="en-AU"/>
              </w:rPr>
              <w:t>0</w:t>
            </w:r>
          </w:p>
        </w:tc>
        <w:tc>
          <w:tcPr>
            <w:tcW w:w="455" w:type="pct"/>
            <w:tcBorders>
              <w:bottom w:val="single" w:sz="12" w:space="0" w:color="auto"/>
            </w:tcBorders>
            <w:shd w:val="clear" w:color="auto" w:fill="auto"/>
            <w:tcMar>
              <w:top w:w="0" w:type="dxa"/>
              <w:left w:w="0" w:type="dxa"/>
              <w:bottom w:w="0" w:type="dxa"/>
              <w:right w:w="0" w:type="dxa"/>
            </w:tcMar>
            <w:vAlign w:val="center"/>
            <w:hideMark/>
          </w:tcPr>
          <w:p w14:paraId="6139DDE1" w14:textId="76F3CE9A" w:rsidR="00B56011" w:rsidRPr="00862E2D" w:rsidRDefault="00B56011" w:rsidP="00B56011">
            <w:pPr>
              <w:spacing w:after="0" w:line="276" w:lineRule="auto"/>
              <w:jc w:val="right"/>
              <w:rPr>
                <w:rFonts w:ascii="Arial" w:eastAsia="Times New Roman" w:hAnsi="Arial" w:cs="Arial"/>
                <w:b/>
                <w:sz w:val="16"/>
                <w:szCs w:val="16"/>
                <w:lang w:eastAsia="en-AU"/>
              </w:rPr>
            </w:pPr>
            <w:r>
              <w:rPr>
                <w:rFonts w:ascii="Arial" w:hAnsi="Arial" w:cs="Arial"/>
                <w:b/>
                <w:bCs/>
                <w:sz w:val="16"/>
                <w:szCs w:val="16"/>
              </w:rPr>
              <w:t>0.0</w:t>
            </w:r>
          </w:p>
        </w:tc>
        <w:tc>
          <w:tcPr>
            <w:tcW w:w="49" w:type="pct"/>
            <w:tcBorders>
              <w:bottom w:val="single" w:sz="12" w:space="0" w:color="auto"/>
            </w:tcBorders>
            <w:shd w:val="clear" w:color="auto" w:fill="auto"/>
            <w:tcMar>
              <w:top w:w="0" w:type="dxa"/>
              <w:left w:w="0" w:type="dxa"/>
              <w:bottom w:w="0" w:type="dxa"/>
              <w:right w:w="0" w:type="dxa"/>
            </w:tcMar>
            <w:vAlign w:val="center"/>
            <w:hideMark/>
          </w:tcPr>
          <w:p w14:paraId="0401FAA7" w14:textId="32E843BA" w:rsidR="00B56011" w:rsidRPr="00862E2D" w:rsidRDefault="00B56011" w:rsidP="00B56011">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92" w:type="pct"/>
            <w:tcBorders>
              <w:bottom w:val="single" w:sz="12" w:space="0" w:color="auto"/>
            </w:tcBorders>
            <w:shd w:val="clear" w:color="auto" w:fill="auto"/>
            <w:tcMar>
              <w:top w:w="0" w:type="dxa"/>
              <w:left w:w="0" w:type="dxa"/>
              <w:bottom w:w="0" w:type="dxa"/>
              <w:right w:w="0" w:type="dxa"/>
            </w:tcMar>
            <w:vAlign w:val="center"/>
            <w:hideMark/>
          </w:tcPr>
          <w:p w14:paraId="5AF97A16" w14:textId="743B75C1" w:rsidR="00B56011" w:rsidRPr="00862E2D" w:rsidRDefault="00B56011" w:rsidP="00B56011">
            <w:pPr>
              <w:spacing w:after="0" w:line="276" w:lineRule="auto"/>
              <w:jc w:val="right"/>
              <w:rPr>
                <w:rFonts w:ascii="Arial" w:eastAsia="Times New Roman" w:hAnsi="Arial" w:cs="Arial"/>
                <w:b/>
                <w:sz w:val="16"/>
                <w:szCs w:val="16"/>
                <w:lang w:eastAsia="en-AU"/>
              </w:rPr>
            </w:pPr>
            <w:r>
              <w:rPr>
                <w:rFonts w:ascii="Arial" w:hAnsi="Arial" w:cs="Arial"/>
                <w:b/>
                <w:bCs/>
                <w:sz w:val="16"/>
                <w:szCs w:val="16"/>
              </w:rPr>
              <w:t>6,024</w:t>
            </w:r>
          </w:p>
        </w:tc>
        <w:tc>
          <w:tcPr>
            <w:tcW w:w="459" w:type="pct"/>
            <w:tcBorders>
              <w:bottom w:val="single" w:sz="12" w:space="0" w:color="auto"/>
            </w:tcBorders>
            <w:shd w:val="clear" w:color="auto" w:fill="auto"/>
            <w:tcMar>
              <w:top w:w="0" w:type="dxa"/>
              <w:left w:w="0" w:type="dxa"/>
              <w:bottom w:w="0" w:type="dxa"/>
              <w:right w:w="0" w:type="dxa"/>
            </w:tcMar>
            <w:vAlign w:val="center"/>
            <w:hideMark/>
          </w:tcPr>
          <w:p w14:paraId="2FCD7848" w14:textId="73BB579B" w:rsidR="00B56011" w:rsidRPr="00862E2D" w:rsidRDefault="00B56011" w:rsidP="00B56011">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r>
    </w:tbl>
    <w:bookmarkEnd w:id="248"/>
    <w:p w14:paraId="36315F75" w14:textId="77777777" w:rsidR="009303CD" w:rsidRPr="00617599" w:rsidRDefault="009303CD" w:rsidP="00814AD1">
      <w:pPr>
        <w:pStyle w:val="TableSourcefootnotes"/>
        <w:numPr>
          <w:ilvl w:val="0"/>
          <w:numId w:val="6"/>
        </w:numPr>
        <w:spacing w:before="0" w:after="0" w:line="240" w:lineRule="auto"/>
        <w:ind w:hanging="720"/>
        <w:rPr>
          <w:rFonts w:cs="Arial"/>
          <w:b/>
          <w:sz w:val="20"/>
        </w:rPr>
      </w:pPr>
      <w:r w:rsidRPr="00617599">
        <w:rPr>
          <w:rFonts w:cs="Arial"/>
        </w:rPr>
        <w:t>Age at start of a treatment cycle.</w:t>
      </w:r>
    </w:p>
    <w:p w14:paraId="1F27DC0E" w14:textId="77777777" w:rsidR="009303CD" w:rsidRPr="00617599" w:rsidRDefault="009303CD" w:rsidP="009303CD">
      <w:pPr>
        <w:pStyle w:val="Heading3"/>
        <w:rPr>
          <w:rFonts w:eastAsia="Times New Roman" w:cs="Arial"/>
        </w:rPr>
      </w:pPr>
      <w:bookmarkStart w:id="249" w:name="_Toc453061463"/>
      <w:bookmarkStart w:id="250" w:name="_Toc453059060"/>
      <w:bookmarkStart w:id="251" w:name="_Toc453057392"/>
      <w:bookmarkStart w:id="252" w:name="_Toc453055607"/>
      <w:bookmarkStart w:id="253" w:name="_Toc453054833"/>
      <w:r w:rsidRPr="00617599">
        <w:rPr>
          <w:rFonts w:eastAsia="Times New Roman" w:cs="Arial"/>
        </w:rPr>
        <w:t>Stage of embryo development</w:t>
      </w:r>
      <w:bookmarkEnd w:id="249"/>
      <w:bookmarkEnd w:id="250"/>
      <w:bookmarkEnd w:id="251"/>
      <w:bookmarkEnd w:id="252"/>
      <w:bookmarkEnd w:id="253"/>
    </w:p>
    <w:p w14:paraId="5731C2AD" w14:textId="1ABDFF78" w:rsidR="009303CD" w:rsidRPr="00617599" w:rsidRDefault="009303CD" w:rsidP="009303CD">
      <w:pPr>
        <w:pStyle w:val="NPESUbodytext"/>
        <w:rPr>
          <w:rFonts w:cs="Arial"/>
          <w:lang w:eastAsia="en-AU"/>
        </w:rPr>
      </w:pPr>
      <w:r w:rsidRPr="00617599">
        <w:rPr>
          <w:rFonts w:cs="Arial"/>
          <w:lang w:eastAsia="en-AU"/>
        </w:rPr>
        <w:t xml:space="preserve">Of the </w:t>
      </w:r>
      <w:r w:rsidR="008668F0">
        <w:rPr>
          <w:rFonts w:cs="Arial"/>
          <w:lang w:eastAsia="en-AU"/>
        </w:rPr>
        <w:t>6,024</w:t>
      </w:r>
      <w:r w:rsidR="008668F0" w:rsidRPr="00617599">
        <w:rPr>
          <w:rFonts w:cs="Arial"/>
          <w:lang w:eastAsia="en-AU"/>
        </w:rPr>
        <w:t xml:space="preserve"> </w:t>
      </w:r>
      <w:r w:rsidRPr="00617599">
        <w:rPr>
          <w:rFonts w:cs="Arial"/>
          <w:lang w:eastAsia="en-AU"/>
        </w:rPr>
        <w:t xml:space="preserve">embryo transfer cycles, </w:t>
      </w:r>
      <w:r w:rsidR="008668F0">
        <w:rPr>
          <w:rFonts w:cs="Arial"/>
          <w:lang w:eastAsia="en-AU"/>
        </w:rPr>
        <w:t>87.6</w:t>
      </w:r>
      <w:r w:rsidRPr="004C1783">
        <w:rPr>
          <w:rFonts w:cs="Arial"/>
          <w:lang w:eastAsia="en-AU"/>
        </w:rPr>
        <w:t xml:space="preserve">% </w:t>
      </w:r>
      <w:r w:rsidRPr="00617599">
        <w:rPr>
          <w:rFonts w:cs="Arial"/>
          <w:lang w:eastAsia="en-AU"/>
        </w:rPr>
        <w:t xml:space="preserve">involved the transfer of </w:t>
      </w:r>
      <w:r w:rsidR="009C55A7">
        <w:rPr>
          <w:rFonts w:cs="Arial"/>
          <w:lang w:eastAsia="en-AU"/>
        </w:rPr>
        <w:t>blastocysts (</w:t>
      </w:r>
      <w:r w:rsidRPr="00617599">
        <w:rPr>
          <w:rFonts w:cs="Arial"/>
          <w:lang w:eastAsia="en-AU"/>
        </w:rPr>
        <w:t>day 5-6 embryo</w:t>
      </w:r>
      <w:r w:rsidR="009C55A7">
        <w:rPr>
          <w:rFonts w:cs="Arial"/>
          <w:lang w:eastAsia="en-AU"/>
        </w:rPr>
        <w:t>s</w:t>
      </w:r>
      <w:r w:rsidRPr="00617599">
        <w:rPr>
          <w:rFonts w:cs="Arial"/>
          <w:lang w:eastAsia="en-AU"/>
        </w:rPr>
        <w:t>) with the remain</w:t>
      </w:r>
      <w:r w:rsidR="009C55A7">
        <w:rPr>
          <w:rFonts w:cs="Arial"/>
          <w:lang w:eastAsia="en-AU"/>
        </w:rPr>
        <w:t>ing transfers involving cleavage stage embryos (</w:t>
      </w:r>
      <w:r w:rsidRPr="00617599">
        <w:rPr>
          <w:rFonts w:cs="Arial"/>
          <w:lang w:eastAsia="en-AU"/>
        </w:rPr>
        <w:t>day 2-</w:t>
      </w:r>
      <w:r w:rsidR="00602781">
        <w:rPr>
          <w:rFonts w:cs="Arial"/>
          <w:lang w:eastAsia="en-AU"/>
        </w:rPr>
        <w:t>4</w:t>
      </w:r>
      <w:r w:rsidRPr="00617599">
        <w:rPr>
          <w:rFonts w:cs="Arial"/>
          <w:lang w:eastAsia="en-AU"/>
        </w:rPr>
        <w:t xml:space="preserve"> embryos</w:t>
      </w:r>
      <w:r w:rsidR="009C55A7">
        <w:rPr>
          <w:rFonts w:cs="Arial"/>
          <w:lang w:eastAsia="en-AU"/>
        </w:rPr>
        <w:t xml:space="preserve">). </w:t>
      </w:r>
      <w:r w:rsidRPr="00617599">
        <w:rPr>
          <w:rFonts w:cs="Arial"/>
          <w:lang w:eastAsia="en-AU"/>
        </w:rPr>
        <w:t xml:space="preserve">Of autologous cycles, blastocyst transfers made up </w:t>
      </w:r>
      <w:r w:rsidR="009C55A7">
        <w:rPr>
          <w:rFonts w:cs="Arial"/>
          <w:lang w:eastAsia="en-AU"/>
        </w:rPr>
        <w:t>9</w:t>
      </w:r>
      <w:r w:rsidR="00536CBD">
        <w:rPr>
          <w:rFonts w:cs="Arial"/>
          <w:lang w:eastAsia="en-AU"/>
        </w:rPr>
        <w:t>9.3</w:t>
      </w:r>
      <w:r w:rsidRPr="00617599">
        <w:rPr>
          <w:rFonts w:cs="Arial"/>
          <w:lang w:eastAsia="en-AU"/>
        </w:rPr>
        <w:t xml:space="preserve">% of thaw cycles compared with </w:t>
      </w:r>
      <w:r w:rsidR="00847E72">
        <w:rPr>
          <w:rFonts w:cs="Arial"/>
          <w:lang w:eastAsia="en-AU"/>
        </w:rPr>
        <w:t>5</w:t>
      </w:r>
      <w:r w:rsidR="00536CBD">
        <w:rPr>
          <w:rFonts w:cs="Arial"/>
          <w:lang w:eastAsia="en-AU"/>
        </w:rPr>
        <w:t>6.8</w:t>
      </w:r>
      <w:r w:rsidRPr="00617599">
        <w:rPr>
          <w:rFonts w:cs="Arial"/>
          <w:lang w:eastAsia="en-AU"/>
        </w:rPr>
        <w:t xml:space="preserve">% of fresh cycles (Table </w:t>
      </w:r>
      <w:r w:rsidR="001C0317">
        <w:rPr>
          <w:rFonts w:cs="Arial"/>
          <w:lang w:eastAsia="en-AU"/>
        </w:rPr>
        <w:t>9</w:t>
      </w:r>
      <w:r w:rsidRPr="00617599">
        <w:rPr>
          <w:rFonts w:cs="Arial"/>
          <w:lang w:eastAsia="en-AU"/>
        </w:rPr>
        <w:t>).</w:t>
      </w:r>
    </w:p>
    <w:tbl>
      <w:tblPr>
        <w:tblW w:w="5000" w:type="pct"/>
        <w:tblCellMar>
          <w:top w:w="15" w:type="dxa"/>
          <w:left w:w="15" w:type="dxa"/>
          <w:bottom w:w="15" w:type="dxa"/>
          <w:right w:w="15" w:type="dxa"/>
        </w:tblCellMar>
        <w:tblLook w:val="04A0" w:firstRow="1" w:lastRow="0" w:firstColumn="1" w:lastColumn="0" w:noHBand="0" w:noVBand="1"/>
      </w:tblPr>
      <w:tblGrid>
        <w:gridCol w:w="2116"/>
        <w:gridCol w:w="863"/>
        <w:gridCol w:w="802"/>
        <w:gridCol w:w="88"/>
        <w:gridCol w:w="857"/>
        <w:gridCol w:w="802"/>
        <w:gridCol w:w="88"/>
        <w:gridCol w:w="859"/>
        <w:gridCol w:w="802"/>
        <w:gridCol w:w="88"/>
        <w:gridCol w:w="859"/>
        <w:gridCol w:w="802"/>
      </w:tblGrid>
      <w:tr w:rsidR="00ED0969" w:rsidRPr="00617599" w14:paraId="2BB29D2D" w14:textId="77777777" w:rsidTr="00041835">
        <w:trPr>
          <w:tblHeader/>
        </w:trPr>
        <w:tc>
          <w:tcPr>
            <w:tcW w:w="5000" w:type="pct"/>
            <w:gridSpan w:val="12"/>
            <w:tcBorders>
              <w:bottom w:val="single" w:sz="12" w:space="0" w:color="auto"/>
            </w:tcBorders>
            <w:shd w:val="clear" w:color="auto" w:fill="auto"/>
            <w:tcMar>
              <w:top w:w="0" w:type="dxa"/>
              <w:left w:w="0" w:type="dxa"/>
              <w:bottom w:w="0" w:type="dxa"/>
              <w:right w:w="0" w:type="dxa"/>
            </w:tcMar>
            <w:vAlign w:val="center"/>
            <w:hideMark/>
          </w:tcPr>
          <w:p w14:paraId="2B064C87" w14:textId="236BE532" w:rsidR="00ED0969" w:rsidRPr="00617599" w:rsidRDefault="00ED0969" w:rsidP="00DA0028">
            <w:pPr>
              <w:pStyle w:val="Caption"/>
              <w:rPr>
                <w:rFonts w:eastAsia="Times New Roman"/>
                <w:lang w:eastAsia="en-AU"/>
              </w:rPr>
            </w:pPr>
            <w:bookmarkStart w:id="254" w:name="_Toc158026558"/>
            <w:r w:rsidRPr="00617599">
              <w:rPr>
                <w:rFonts w:eastAsia="Times New Roman"/>
                <w:lang w:eastAsia="en-AU"/>
              </w:rPr>
              <w:t xml:space="preserve">Table </w:t>
            </w:r>
            <w:r w:rsidR="00F400A5">
              <w:rPr>
                <w:rFonts w:eastAsia="Times New Roman"/>
                <w:lang w:eastAsia="en-AU"/>
              </w:rPr>
              <w:t>9</w:t>
            </w:r>
            <w:r w:rsidRPr="00617599">
              <w:rPr>
                <w:rFonts w:eastAsia="Times New Roman"/>
                <w:lang w:eastAsia="en-AU"/>
              </w:rPr>
              <w:t xml:space="preserve">: Number of embryo transfer cycles by treatment type and stage of embryo development, </w:t>
            </w:r>
            <w:r w:rsidR="00A501CE">
              <w:rPr>
                <w:rFonts w:eastAsia="Times New Roman"/>
                <w:lang w:eastAsia="en-AU"/>
              </w:rPr>
              <w:t>New Zealand, 20</w:t>
            </w:r>
            <w:r w:rsidR="00541C5D">
              <w:rPr>
                <w:rFonts w:eastAsia="Times New Roman"/>
                <w:lang w:eastAsia="en-AU"/>
              </w:rPr>
              <w:t>2</w:t>
            </w:r>
            <w:r w:rsidR="00B56011">
              <w:rPr>
                <w:rFonts w:eastAsia="Times New Roman"/>
                <w:lang w:eastAsia="en-AU"/>
              </w:rPr>
              <w:t>1</w:t>
            </w:r>
            <w:bookmarkEnd w:id="254"/>
            <w:r w:rsidR="00A501CE">
              <w:rPr>
                <w:rFonts w:eastAsia="Times New Roman"/>
                <w:lang w:eastAsia="en-AU"/>
              </w:rPr>
              <w:t xml:space="preserve"> </w:t>
            </w:r>
          </w:p>
        </w:tc>
      </w:tr>
      <w:tr w:rsidR="00ED0969" w:rsidRPr="00617599" w14:paraId="22C9C59F" w14:textId="77777777" w:rsidTr="00602781">
        <w:trPr>
          <w:trHeight w:val="284"/>
          <w:tblHeader/>
        </w:trPr>
        <w:tc>
          <w:tcPr>
            <w:tcW w:w="1172" w:type="pct"/>
            <w:tcBorders>
              <w:top w:val="single" w:sz="12" w:space="0" w:color="auto"/>
            </w:tcBorders>
            <w:shd w:val="clear" w:color="auto" w:fill="auto"/>
            <w:tcMar>
              <w:top w:w="0" w:type="dxa"/>
              <w:left w:w="0" w:type="dxa"/>
              <w:bottom w:w="0" w:type="dxa"/>
              <w:right w:w="0" w:type="dxa"/>
            </w:tcMar>
            <w:vAlign w:val="center"/>
            <w:hideMark/>
          </w:tcPr>
          <w:p w14:paraId="7E44A1C8" w14:textId="77777777" w:rsidR="00ED0969" w:rsidRPr="00617599" w:rsidRDefault="00ED0969" w:rsidP="00360E75">
            <w:pPr>
              <w:spacing w:after="0" w:line="276" w:lineRule="auto"/>
              <w:rPr>
                <w:rFonts w:ascii="Arial" w:eastAsia="Times New Roman" w:hAnsi="Arial" w:cs="Arial"/>
                <w:sz w:val="16"/>
                <w:szCs w:val="16"/>
                <w:lang w:eastAsia="en-AU"/>
              </w:rPr>
            </w:pPr>
          </w:p>
        </w:tc>
        <w:tc>
          <w:tcPr>
            <w:tcW w:w="1890" w:type="pct"/>
            <w:gridSpan w:val="5"/>
            <w:tcBorders>
              <w:top w:val="single" w:sz="12" w:space="0" w:color="auto"/>
              <w:bottom w:val="single" w:sz="6" w:space="0" w:color="808080"/>
            </w:tcBorders>
            <w:shd w:val="clear" w:color="auto" w:fill="auto"/>
            <w:tcMar>
              <w:top w:w="0" w:type="dxa"/>
              <w:left w:w="0" w:type="dxa"/>
              <w:bottom w:w="0" w:type="dxa"/>
              <w:right w:w="0" w:type="dxa"/>
            </w:tcMar>
            <w:vAlign w:val="center"/>
            <w:hideMark/>
          </w:tcPr>
          <w:p w14:paraId="29FF7F14"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Autologous</w:t>
            </w:r>
          </w:p>
        </w:tc>
        <w:tc>
          <w:tcPr>
            <w:tcW w:w="49" w:type="pct"/>
            <w:tcBorders>
              <w:top w:val="single" w:sz="12" w:space="0" w:color="auto"/>
            </w:tcBorders>
            <w:shd w:val="clear" w:color="auto" w:fill="auto"/>
            <w:tcMar>
              <w:top w:w="0" w:type="dxa"/>
              <w:left w:w="0" w:type="dxa"/>
              <w:bottom w:w="0" w:type="dxa"/>
              <w:right w:w="0" w:type="dxa"/>
            </w:tcMar>
            <w:vAlign w:val="center"/>
            <w:hideMark/>
          </w:tcPr>
          <w:p w14:paraId="49BADAD6"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1889" w:type="pct"/>
            <w:gridSpan w:val="5"/>
            <w:tcBorders>
              <w:top w:val="single" w:sz="12" w:space="0" w:color="auto"/>
              <w:bottom w:val="single" w:sz="6" w:space="0" w:color="808080"/>
            </w:tcBorders>
            <w:shd w:val="clear" w:color="auto" w:fill="auto"/>
            <w:tcMar>
              <w:top w:w="0" w:type="dxa"/>
              <w:left w:w="0" w:type="dxa"/>
              <w:bottom w:w="0" w:type="dxa"/>
              <w:right w:w="0" w:type="dxa"/>
            </w:tcMar>
            <w:vAlign w:val="center"/>
            <w:hideMark/>
          </w:tcPr>
          <w:p w14:paraId="206A22E7"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Oocyte/embryo recipient</w:t>
            </w:r>
          </w:p>
        </w:tc>
      </w:tr>
      <w:tr w:rsidR="00E8395C" w:rsidRPr="00617599" w14:paraId="54F38B76" w14:textId="77777777" w:rsidTr="00602781">
        <w:trPr>
          <w:trHeight w:val="284"/>
          <w:tblHeader/>
        </w:trPr>
        <w:tc>
          <w:tcPr>
            <w:tcW w:w="1172" w:type="pct"/>
            <w:shd w:val="clear" w:color="auto" w:fill="auto"/>
            <w:tcMar>
              <w:top w:w="0" w:type="dxa"/>
              <w:left w:w="0" w:type="dxa"/>
              <w:bottom w:w="0" w:type="dxa"/>
              <w:right w:w="0" w:type="dxa"/>
            </w:tcMar>
            <w:vAlign w:val="center"/>
            <w:hideMark/>
          </w:tcPr>
          <w:p w14:paraId="31AF261A"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p>
        </w:tc>
        <w:tc>
          <w:tcPr>
            <w:tcW w:w="922" w:type="pct"/>
            <w:gridSpan w:val="2"/>
            <w:tcBorders>
              <w:bottom w:val="single" w:sz="6" w:space="0" w:color="808080"/>
            </w:tcBorders>
            <w:shd w:val="clear" w:color="auto" w:fill="auto"/>
            <w:tcMar>
              <w:top w:w="0" w:type="dxa"/>
              <w:left w:w="0" w:type="dxa"/>
              <w:bottom w:w="0" w:type="dxa"/>
              <w:right w:w="0" w:type="dxa"/>
            </w:tcMar>
            <w:vAlign w:val="center"/>
            <w:hideMark/>
          </w:tcPr>
          <w:p w14:paraId="275575E9"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Fresh</w:t>
            </w:r>
          </w:p>
        </w:tc>
        <w:tc>
          <w:tcPr>
            <w:tcW w:w="49" w:type="pct"/>
            <w:shd w:val="clear" w:color="auto" w:fill="auto"/>
            <w:tcMar>
              <w:top w:w="0" w:type="dxa"/>
              <w:left w:w="0" w:type="dxa"/>
              <w:bottom w:w="0" w:type="dxa"/>
              <w:right w:w="0" w:type="dxa"/>
            </w:tcMar>
            <w:vAlign w:val="center"/>
            <w:hideMark/>
          </w:tcPr>
          <w:p w14:paraId="1499238B"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919" w:type="pct"/>
            <w:gridSpan w:val="2"/>
            <w:tcBorders>
              <w:bottom w:val="single" w:sz="6" w:space="0" w:color="808080"/>
            </w:tcBorders>
            <w:shd w:val="clear" w:color="auto" w:fill="auto"/>
            <w:tcMar>
              <w:top w:w="0" w:type="dxa"/>
              <w:left w:w="0" w:type="dxa"/>
              <w:bottom w:w="0" w:type="dxa"/>
              <w:right w:w="0" w:type="dxa"/>
            </w:tcMar>
            <w:vAlign w:val="center"/>
            <w:hideMark/>
          </w:tcPr>
          <w:p w14:paraId="51F5524D"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Thaw</w:t>
            </w:r>
          </w:p>
        </w:tc>
        <w:tc>
          <w:tcPr>
            <w:tcW w:w="49" w:type="pct"/>
            <w:shd w:val="clear" w:color="auto" w:fill="auto"/>
            <w:tcMar>
              <w:top w:w="0" w:type="dxa"/>
              <w:left w:w="0" w:type="dxa"/>
              <w:bottom w:w="0" w:type="dxa"/>
              <w:right w:w="0" w:type="dxa"/>
            </w:tcMar>
            <w:vAlign w:val="center"/>
            <w:hideMark/>
          </w:tcPr>
          <w:p w14:paraId="4B6346C3"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920" w:type="pct"/>
            <w:gridSpan w:val="2"/>
            <w:tcBorders>
              <w:bottom w:val="single" w:sz="6" w:space="0" w:color="808080"/>
            </w:tcBorders>
            <w:shd w:val="clear" w:color="auto" w:fill="auto"/>
            <w:tcMar>
              <w:top w:w="0" w:type="dxa"/>
              <w:left w:w="0" w:type="dxa"/>
              <w:bottom w:w="0" w:type="dxa"/>
              <w:right w:w="0" w:type="dxa"/>
            </w:tcMar>
            <w:vAlign w:val="center"/>
            <w:hideMark/>
          </w:tcPr>
          <w:p w14:paraId="3A9E8B2B"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Fresh</w:t>
            </w:r>
          </w:p>
        </w:tc>
        <w:tc>
          <w:tcPr>
            <w:tcW w:w="49" w:type="pct"/>
            <w:shd w:val="clear" w:color="auto" w:fill="auto"/>
            <w:tcMar>
              <w:top w:w="0" w:type="dxa"/>
              <w:left w:w="0" w:type="dxa"/>
              <w:bottom w:w="0" w:type="dxa"/>
              <w:right w:w="0" w:type="dxa"/>
            </w:tcMar>
            <w:vAlign w:val="center"/>
            <w:hideMark/>
          </w:tcPr>
          <w:p w14:paraId="6F4DD2C6"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920" w:type="pct"/>
            <w:gridSpan w:val="2"/>
            <w:tcBorders>
              <w:bottom w:val="single" w:sz="6" w:space="0" w:color="808080"/>
            </w:tcBorders>
            <w:shd w:val="clear" w:color="auto" w:fill="auto"/>
            <w:tcMar>
              <w:top w:w="0" w:type="dxa"/>
              <w:left w:w="0" w:type="dxa"/>
              <w:bottom w:w="0" w:type="dxa"/>
              <w:right w:w="0" w:type="dxa"/>
            </w:tcMar>
            <w:vAlign w:val="center"/>
            <w:hideMark/>
          </w:tcPr>
          <w:p w14:paraId="179BF430"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Thaw</w:t>
            </w:r>
          </w:p>
        </w:tc>
      </w:tr>
      <w:tr w:rsidR="00EC4BB6" w:rsidRPr="00617599" w14:paraId="0FCE24C7" w14:textId="77777777" w:rsidTr="00EC4BB6">
        <w:trPr>
          <w:trHeight w:val="284"/>
          <w:tblHeader/>
        </w:trPr>
        <w:tc>
          <w:tcPr>
            <w:tcW w:w="1172" w:type="pct"/>
            <w:tcBorders>
              <w:bottom w:val="single" w:sz="6" w:space="0" w:color="808080"/>
            </w:tcBorders>
            <w:shd w:val="clear" w:color="auto" w:fill="auto"/>
            <w:tcMar>
              <w:top w:w="0" w:type="dxa"/>
              <w:left w:w="0" w:type="dxa"/>
              <w:bottom w:w="0" w:type="dxa"/>
              <w:right w:w="0" w:type="dxa"/>
            </w:tcMar>
            <w:vAlign w:val="center"/>
            <w:hideMark/>
          </w:tcPr>
          <w:p w14:paraId="1E3A0649" w14:textId="77777777" w:rsidR="00EC4BB6" w:rsidRPr="00617599" w:rsidRDefault="00EC4BB6" w:rsidP="00360E75">
            <w:pPr>
              <w:spacing w:after="0" w:line="276" w:lineRule="auto"/>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Type and procedure</w:t>
            </w:r>
          </w:p>
        </w:tc>
        <w:tc>
          <w:tcPr>
            <w:tcW w:w="478" w:type="pct"/>
            <w:tcBorders>
              <w:bottom w:val="single" w:sz="6" w:space="0" w:color="808080"/>
            </w:tcBorders>
            <w:shd w:val="clear" w:color="auto" w:fill="auto"/>
            <w:tcMar>
              <w:top w:w="0" w:type="dxa"/>
              <w:left w:w="0" w:type="dxa"/>
              <w:bottom w:w="0" w:type="dxa"/>
              <w:right w:w="0" w:type="dxa"/>
            </w:tcMar>
            <w:vAlign w:val="center"/>
            <w:hideMark/>
          </w:tcPr>
          <w:p w14:paraId="330FDEE2" w14:textId="08E28408"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44" w:type="pct"/>
            <w:tcBorders>
              <w:bottom w:val="single" w:sz="6" w:space="0" w:color="808080"/>
            </w:tcBorders>
            <w:shd w:val="clear" w:color="auto" w:fill="auto"/>
            <w:tcMar>
              <w:top w:w="0" w:type="dxa"/>
              <w:left w:w="0" w:type="dxa"/>
              <w:bottom w:w="0" w:type="dxa"/>
              <w:right w:w="0" w:type="dxa"/>
            </w:tcMar>
            <w:vAlign w:val="center"/>
            <w:hideMark/>
          </w:tcPr>
          <w:p w14:paraId="02E65F12" w14:textId="74EFE9BD"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auto"/>
            <w:tcMar>
              <w:top w:w="0" w:type="dxa"/>
              <w:left w:w="0" w:type="dxa"/>
              <w:bottom w:w="0" w:type="dxa"/>
              <w:right w:w="0" w:type="dxa"/>
            </w:tcMar>
            <w:vAlign w:val="center"/>
            <w:hideMark/>
          </w:tcPr>
          <w:p w14:paraId="5AD9D648"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475" w:type="pct"/>
            <w:tcBorders>
              <w:bottom w:val="single" w:sz="6" w:space="0" w:color="808080"/>
            </w:tcBorders>
            <w:shd w:val="clear" w:color="auto" w:fill="auto"/>
            <w:tcMar>
              <w:top w:w="0" w:type="dxa"/>
              <w:left w:w="0" w:type="dxa"/>
              <w:bottom w:w="0" w:type="dxa"/>
              <w:right w:w="0" w:type="dxa"/>
            </w:tcMar>
            <w:vAlign w:val="center"/>
            <w:hideMark/>
          </w:tcPr>
          <w:p w14:paraId="71FE7075" w14:textId="32E6F8C3"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44" w:type="pct"/>
            <w:tcBorders>
              <w:bottom w:val="single" w:sz="6" w:space="0" w:color="808080"/>
            </w:tcBorders>
            <w:shd w:val="clear" w:color="auto" w:fill="auto"/>
            <w:tcMar>
              <w:top w:w="0" w:type="dxa"/>
              <w:left w:w="0" w:type="dxa"/>
              <w:bottom w:w="0" w:type="dxa"/>
              <w:right w:w="0" w:type="dxa"/>
            </w:tcMar>
            <w:vAlign w:val="center"/>
            <w:hideMark/>
          </w:tcPr>
          <w:p w14:paraId="492D235A" w14:textId="61E2297A"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auto"/>
            <w:tcMar>
              <w:top w:w="0" w:type="dxa"/>
              <w:left w:w="0" w:type="dxa"/>
              <w:bottom w:w="0" w:type="dxa"/>
              <w:right w:w="0" w:type="dxa"/>
            </w:tcMar>
            <w:vAlign w:val="center"/>
            <w:hideMark/>
          </w:tcPr>
          <w:p w14:paraId="63B20E6E"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476" w:type="pct"/>
            <w:tcBorders>
              <w:bottom w:val="single" w:sz="6" w:space="0" w:color="808080"/>
            </w:tcBorders>
            <w:shd w:val="clear" w:color="auto" w:fill="auto"/>
            <w:tcMar>
              <w:top w:w="0" w:type="dxa"/>
              <w:left w:w="0" w:type="dxa"/>
              <w:bottom w:w="0" w:type="dxa"/>
              <w:right w:w="0" w:type="dxa"/>
            </w:tcMar>
            <w:vAlign w:val="center"/>
            <w:hideMark/>
          </w:tcPr>
          <w:p w14:paraId="40E090E4" w14:textId="3C5E28F4"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44" w:type="pct"/>
            <w:tcBorders>
              <w:bottom w:val="single" w:sz="6" w:space="0" w:color="808080"/>
            </w:tcBorders>
            <w:shd w:val="clear" w:color="auto" w:fill="auto"/>
            <w:tcMar>
              <w:top w:w="0" w:type="dxa"/>
              <w:left w:w="0" w:type="dxa"/>
              <w:bottom w:w="0" w:type="dxa"/>
              <w:right w:w="0" w:type="dxa"/>
            </w:tcMar>
            <w:vAlign w:val="center"/>
            <w:hideMark/>
          </w:tcPr>
          <w:p w14:paraId="02234922" w14:textId="0355E73F"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9" w:type="pct"/>
            <w:tcBorders>
              <w:bottom w:val="single" w:sz="6" w:space="0" w:color="808080"/>
            </w:tcBorders>
            <w:shd w:val="clear" w:color="auto" w:fill="auto"/>
            <w:tcMar>
              <w:top w:w="0" w:type="dxa"/>
              <w:left w:w="0" w:type="dxa"/>
              <w:bottom w:w="0" w:type="dxa"/>
              <w:right w:w="0" w:type="dxa"/>
            </w:tcMar>
            <w:vAlign w:val="center"/>
            <w:hideMark/>
          </w:tcPr>
          <w:p w14:paraId="1EB949B6"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476" w:type="pct"/>
            <w:tcBorders>
              <w:bottom w:val="single" w:sz="6" w:space="0" w:color="808080"/>
            </w:tcBorders>
            <w:shd w:val="clear" w:color="auto" w:fill="auto"/>
            <w:tcMar>
              <w:top w:w="0" w:type="dxa"/>
              <w:left w:w="0" w:type="dxa"/>
              <w:bottom w:w="0" w:type="dxa"/>
              <w:right w:w="0" w:type="dxa"/>
            </w:tcMar>
            <w:vAlign w:val="center"/>
            <w:hideMark/>
          </w:tcPr>
          <w:p w14:paraId="454D92FA" w14:textId="1194FDC2"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44" w:type="pct"/>
            <w:tcBorders>
              <w:bottom w:val="single" w:sz="6" w:space="0" w:color="808080"/>
            </w:tcBorders>
            <w:shd w:val="clear" w:color="auto" w:fill="auto"/>
            <w:tcMar>
              <w:top w:w="0" w:type="dxa"/>
              <w:left w:w="0" w:type="dxa"/>
              <w:bottom w:w="0" w:type="dxa"/>
              <w:right w:w="0" w:type="dxa"/>
            </w:tcMar>
            <w:vAlign w:val="center"/>
            <w:hideMark/>
          </w:tcPr>
          <w:p w14:paraId="4C0C52B7" w14:textId="1BD7B2DA"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r>
      <w:tr w:rsidR="00177DDF" w:rsidRPr="00617599" w14:paraId="5CF5CEDA" w14:textId="77777777" w:rsidTr="00177DDF">
        <w:trPr>
          <w:trHeight w:val="284"/>
        </w:trPr>
        <w:tc>
          <w:tcPr>
            <w:tcW w:w="1172" w:type="pct"/>
            <w:shd w:val="clear" w:color="auto" w:fill="auto"/>
            <w:tcMar>
              <w:top w:w="0" w:type="dxa"/>
              <w:left w:w="0" w:type="dxa"/>
              <w:bottom w:w="0" w:type="dxa"/>
              <w:right w:w="0" w:type="dxa"/>
            </w:tcMar>
            <w:vAlign w:val="center"/>
            <w:hideMark/>
          </w:tcPr>
          <w:p w14:paraId="46B545EE" w14:textId="544264B7" w:rsidR="00177DDF" w:rsidRPr="00617599" w:rsidRDefault="00177DDF" w:rsidP="00177DDF">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Cleavage embryo</w:t>
            </w:r>
          </w:p>
        </w:tc>
        <w:tc>
          <w:tcPr>
            <w:tcW w:w="478" w:type="pct"/>
            <w:shd w:val="clear" w:color="auto" w:fill="auto"/>
            <w:tcMar>
              <w:top w:w="0" w:type="dxa"/>
              <w:left w:w="0" w:type="dxa"/>
              <w:bottom w:w="0" w:type="dxa"/>
              <w:right w:w="0" w:type="dxa"/>
            </w:tcMar>
            <w:vAlign w:val="center"/>
            <w:hideMark/>
          </w:tcPr>
          <w:p w14:paraId="334888DD" w14:textId="5282A492" w:rsidR="00177DDF" w:rsidRPr="00E8395C" w:rsidRDefault="00177DDF" w:rsidP="00177DDF">
            <w:pPr>
              <w:spacing w:after="0" w:line="276" w:lineRule="auto"/>
              <w:jc w:val="right"/>
              <w:rPr>
                <w:rFonts w:ascii="Arial" w:eastAsia="Times New Roman" w:hAnsi="Arial" w:cs="Arial"/>
                <w:sz w:val="16"/>
                <w:szCs w:val="16"/>
                <w:lang w:eastAsia="en-AU"/>
              </w:rPr>
            </w:pPr>
            <w:r>
              <w:rPr>
                <w:rFonts w:ascii="Arial" w:hAnsi="Arial" w:cs="Arial"/>
                <w:sz w:val="16"/>
                <w:szCs w:val="16"/>
              </w:rPr>
              <w:t>708</w:t>
            </w:r>
          </w:p>
        </w:tc>
        <w:tc>
          <w:tcPr>
            <w:tcW w:w="444" w:type="pct"/>
            <w:shd w:val="clear" w:color="auto" w:fill="auto"/>
            <w:tcMar>
              <w:top w:w="0" w:type="dxa"/>
              <w:left w:w="0" w:type="dxa"/>
              <w:bottom w:w="0" w:type="dxa"/>
              <w:right w:w="0" w:type="dxa"/>
            </w:tcMar>
            <w:vAlign w:val="center"/>
            <w:hideMark/>
          </w:tcPr>
          <w:p w14:paraId="00B7521E" w14:textId="35FAC051" w:rsidR="00177DDF" w:rsidRPr="00D16CF3" w:rsidRDefault="00177DDF" w:rsidP="00177DDF">
            <w:pPr>
              <w:spacing w:after="0" w:line="276" w:lineRule="auto"/>
              <w:jc w:val="right"/>
              <w:rPr>
                <w:rFonts w:ascii="Arial" w:eastAsia="Times New Roman" w:hAnsi="Arial" w:cs="Arial"/>
                <w:sz w:val="16"/>
                <w:szCs w:val="16"/>
                <w:lang w:eastAsia="en-AU"/>
              </w:rPr>
            </w:pPr>
            <w:r>
              <w:rPr>
                <w:rFonts w:ascii="Arial" w:hAnsi="Arial" w:cs="Arial"/>
                <w:sz w:val="16"/>
                <w:szCs w:val="16"/>
              </w:rPr>
              <w:t>43.2</w:t>
            </w:r>
          </w:p>
        </w:tc>
        <w:tc>
          <w:tcPr>
            <w:tcW w:w="49" w:type="pct"/>
            <w:shd w:val="clear" w:color="auto" w:fill="auto"/>
            <w:tcMar>
              <w:top w:w="0" w:type="dxa"/>
              <w:left w:w="0" w:type="dxa"/>
              <w:bottom w:w="0" w:type="dxa"/>
              <w:right w:w="0" w:type="dxa"/>
            </w:tcMar>
            <w:vAlign w:val="center"/>
            <w:hideMark/>
          </w:tcPr>
          <w:p w14:paraId="13D5F57C" w14:textId="343414BA" w:rsidR="00177DDF" w:rsidRPr="00902D40" w:rsidRDefault="00177DDF" w:rsidP="00177DDF">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75" w:type="pct"/>
            <w:shd w:val="clear" w:color="auto" w:fill="auto"/>
            <w:tcMar>
              <w:top w:w="0" w:type="dxa"/>
              <w:left w:w="0" w:type="dxa"/>
              <w:bottom w:w="0" w:type="dxa"/>
              <w:right w:w="0" w:type="dxa"/>
            </w:tcMar>
            <w:vAlign w:val="center"/>
            <w:hideMark/>
          </w:tcPr>
          <w:p w14:paraId="12374C73" w14:textId="455A4D0D" w:rsidR="00177DDF" w:rsidRPr="00902D40" w:rsidRDefault="00177DDF" w:rsidP="00177DDF">
            <w:pPr>
              <w:spacing w:after="0" w:line="276" w:lineRule="auto"/>
              <w:jc w:val="right"/>
              <w:rPr>
                <w:rFonts w:ascii="Arial" w:eastAsia="Times New Roman" w:hAnsi="Arial" w:cs="Arial"/>
                <w:sz w:val="16"/>
                <w:szCs w:val="16"/>
                <w:lang w:eastAsia="en-AU"/>
              </w:rPr>
            </w:pPr>
            <w:r>
              <w:rPr>
                <w:rFonts w:ascii="Arial" w:hAnsi="Arial" w:cs="Arial"/>
                <w:sz w:val="16"/>
                <w:szCs w:val="16"/>
              </w:rPr>
              <w:t>30</w:t>
            </w:r>
          </w:p>
        </w:tc>
        <w:tc>
          <w:tcPr>
            <w:tcW w:w="444" w:type="pct"/>
            <w:shd w:val="clear" w:color="auto" w:fill="auto"/>
            <w:tcMar>
              <w:top w:w="0" w:type="dxa"/>
              <w:left w:w="0" w:type="dxa"/>
              <w:bottom w:w="0" w:type="dxa"/>
              <w:right w:w="0" w:type="dxa"/>
            </w:tcMar>
            <w:vAlign w:val="center"/>
            <w:hideMark/>
          </w:tcPr>
          <w:p w14:paraId="6E7C91CF" w14:textId="31734F0A" w:rsidR="00177DDF" w:rsidRPr="00E8395C" w:rsidRDefault="00177DDF" w:rsidP="00177DDF">
            <w:pPr>
              <w:spacing w:after="0" w:line="276" w:lineRule="auto"/>
              <w:jc w:val="right"/>
              <w:rPr>
                <w:rFonts w:ascii="Arial" w:eastAsia="Times New Roman" w:hAnsi="Arial" w:cs="Arial"/>
                <w:sz w:val="16"/>
                <w:szCs w:val="16"/>
                <w:lang w:eastAsia="en-AU"/>
              </w:rPr>
            </w:pPr>
            <w:r>
              <w:rPr>
                <w:rFonts w:ascii="Arial" w:hAnsi="Arial" w:cs="Arial"/>
                <w:sz w:val="16"/>
                <w:szCs w:val="16"/>
              </w:rPr>
              <w:t>0.7</w:t>
            </w:r>
          </w:p>
        </w:tc>
        <w:tc>
          <w:tcPr>
            <w:tcW w:w="49" w:type="pct"/>
            <w:shd w:val="clear" w:color="auto" w:fill="auto"/>
            <w:tcMar>
              <w:top w:w="0" w:type="dxa"/>
              <w:left w:w="0" w:type="dxa"/>
              <w:bottom w:w="0" w:type="dxa"/>
              <w:right w:w="0" w:type="dxa"/>
            </w:tcMar>
            <w:vAlign w:val="center"/>
            <w:hideMark/>
          </w:tcPr>
          <w:p w14:paraId="3BF292F8" w14:textId="669CC136" w:rsidR="00177DDF" w:rsidRPr="00E8395C" w:rsidRDefault="00177DDF" w:rsidP="00177DDF">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76" w:type="pct"/>
            <w:shd w:val="clear" w:color="auto" w:fill="auto"/>
            <w:tcMar>
              <w:top w:w="0" w:type="dxa"/>
              <w:left w:w="0" w:type="dxa"/>
              <w:bottom w:w="0" w:type="dxa"/>
              <w:right w:w="0" w:type="dxa"/>
            </w:tcMar>
            <w:vAlign w:val="center"/>
            <w:hideMark/>
          </w:tcPr>
          <w:p w14:paraId="63FD1161" w14:textId="4B28AD96" w:rsidR="00177DDF" w:rsidRPr="00E8395C" w:rsidRDefault="00177DDF" w:rsidP="00177DDF">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444" w:type="pct"/>
            <w:shd w:val="clear" w:color="auto" w:fill="auto"/>
            <w:tcMar>
              <w:top w:w="0" w:type="dxa"/>
              <w:left w:w="0" w:type="dxa"/>
              <w:bottom w:w="0" w:type="dxa"/>
              <w:right w:w="0" w:type="dxa"/>
            </w:tcMar>
            <w:vAlign w:val="center"/>
            <w:hideMark/>
          </w:tcPr>
          <w:p w14:paraId="7E90958B" w14:textId="517A99C9" w:rsidR="00177DDF" w:rsidRPr="00E8395C" w:rsidRDefault="00177DDF" w:rsidP="00177DDF">
            <w:pPr>
              <w:spacing w:after="0" w:line="276" w:lineRule="auto"/>
              <w:jc w:val="right"/>
              <w:rPr>
                <w:rFonts w:ascii="Arial" w:eastAsia="Times New Roman" w:hAnsi="Arial" w:cs="Arial"/>
                <w:sz w:val="16"/>
                <w:szCs w:val="16"/>
                <w:lang w:eastAsia="en-AU"/>
              </w:rPr>
            </w:pPr>
            <w:r>
              <w:rPr>
                <w:rFonts w:ascii="Arial" w:hAnsi="Arial" w:cs="Arial"/>
                <w:sz w:val="16"/>
                <w:szCs w:val="16"/>
              </w:rPr>
              <w:t>0.0</w:t>
            </w:r>
          </w:p>
        </w:tc>
        <w:tc>
          <w:tcPr>
            <w:tcW w:w="49" w:type="pct"/>
            <w:shd w:val="clear" w:color="auto" w:fill="auto"/>
            <w:tcMar>
              <w:top w:w="0" w:type="dxa"/>
              <w:left w:w="0" w:type="dxa"/>
              <w:bottom w:w="0" w:type="dxa"/>
              <w:right w:w="0" w:type="dxa"/>
            </w:tcMar>
            <w:vAlign w:val="center"/>
            <w:hideMark/>
          </w:tcPr>
          <w:p w14:paraId="0BC5F780" w14:textId="6D391A3D" w:rsidR="00177DDF" w:rsidRPr="00E8395C" w:rsidRDefault="00177DDF" w:rsidP="00177DDF">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76" w:type="pct"/>
            <w:shd w:val="clear" w:color="auto" w:fill="auto"/>
            <w:tcMar>
              <w:top w:w="0" w:type="dxa"/>
              <w:left w:w="0" w:type="dxa"/>
              <w:bottom w:w="0" w:type="dxa"/>
              <w:right w:w="0" w:type="dxa"/>
            </w:tcMar>
            <w:vAlign w:val="center"/>
            <w:hideMark/>
          </w:tcPr>
          <w:p w14:paraId="44B4A2AC" w14:textId="7B7BBD9B" w:rsidR="00177DDF" w:rsidRPr="00E8395C" w:rsidRDefault="00177DDF" w:rsidP="00177DDF">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7</w:t>
            </w:r>
          </w:p>
        </w:tc>
        <w:tc>
          <w:tcPr>
            <w:tcW w:w="444" w:type="pct"/>
            <w:shd w:val="clear" w:color="auto" w:fill="auto"/>
            <w:tcMar>
              <w:top w:w="0" w:type="dxa"/>
              <w:left w:w="0" w:type="dxa"/>
              <w:bottom w:w="0" w:type="dxa"/>
              <w:right w:w="0" w:type="dxa"/>
            </w:tcMar>
            <w:vAlign w:val="center"/>
            <w:hideMark/>
          </w:tcPr>
          <w:p w14:paraId="60D16AA9" w14:textId="2AE07B8A" w:rsidR="00177DDF" w:rsidRPr="00E8395C" w:rsidRDefault="00177DDF" w:rsidP="00177DDF">
            <w:pPr>
              <w:spacing w:after="0" w:line="276" w:lineRule="auto"/>
              <w:jc w:val="right"/>
              <w:rPr>
                <w:rFonts w:ascii="Arial" w:eastAsia="Times New Roman" w:hAnsi="Arial" w:cs="Arial"/>
                <w:sz w:val="16"/>
                <w:szCs w:val="16"/>
                <w:lang w:eastAsia="en-AU"/>
              </w:rPr>
            </w:pPr>
            <w:r>
              <w:rPr>
                <w:rFonts w:ascii="Arial" w:hAnsi="Arial" w:cs="Arial"/>
                <w:sz w:val="16"/>
                <w:szCs w:val="16"/>
              </w:rPr>
              <w:t>1.9</w:t>
            </w:r>
          </w:p>
        </w:tc>
      </w:tr>
      <w:tr w:rsidR="00177DDF" w:rsidRPr="00617599" w14:paraId="60FA52CF" w14:textId="77777777" w:rsidTr="00177DDF">
        <w:trPr>
          <w:trHeight w:val="284"/>
        </w:trPr>
        <w:tc>
          <w:tcPr>
            <w:tcW w:w="1172" w:type="pct"/>
            <w:shd w:val="clear" w:color="auto" w:fill="auto"/>
            <w:tcMar>
              <w:top w:w="0" w:type="dxa"/>
              <w:left w:w="0" w:type="dxa"/>
              <w:bottom w:w="0" w:type="dxa"/>
              <w:right w:w="0" w:type="dxa"/>
            </w:tcMar>
            <w:vAlign w:val="center"/>
          </w:tcPr>
          <w:p w14:paraId="720D17B6" w14:textId="275DE7F1" w:rsidR="00177DDF" w:rsidRPr="00617599" w:rsidRDefault="00177DDF" w:rsidP="00177DDF">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Blastocy</w:t>
            </w:r>
            <w:r>
              <w:rPr>
                <w:rFonts w:ascii="Arial" w:eastAsia="Times New Roman" w:hAnsi="Arial" w:cs="Arial"/>
                <w:sz w:val="16"/>
                <w:szCs w:val="16"/>
                <w:lang w:eastAsia="en-AU"/>
              </w:rPr>
              <w:t>st</w:t>
            </w:r>
          </w:p>
        </w:tc>
        <w:tc>
          <w:tcPr>
            <w:tcW w:w="478" w:type="pct"/>
            <w:shd w:val="clear" w:color="auto" w:fill="auto"/>
            <w:tcMar>
              <w:top w:w="0" w:type="dxa"/>
              <w:left w:w="0" w:type="dxa"/>
              <w:bottom w:w="0" w:type="dxa"/>
              <w:right w:w="0" w:type="dxa"/>
            </w:tcMar>
            <w:vAlign w:val="center"/>
          </w:tcPr>
          <w:p w14:paraId="7B5384C5" w14:textId="68DE3C72" w:rsidR="00177DDF" w:rsidRPr="00E8395C" w:rsidRDefault="00177DDF" w:rsidP="00177DDF">
            <w:pPr>
              <w:spacing w:after="0" w:line="276" w:lineRule="auto"/>
              <w:jc w:val="right"/>
              <w:rPr>
                <w:rFonts w:ascii="Arial" w:hAnsi="Arial" w:cs="Arial"/>
                <w:sz w:val="16"/>
                <w:szCs w:val="16"/>
              </w:rPr>
            </w:pPr>
            <w:r>
              <w:rPr>
                <w:rFonts w:ascii="Arial" w:hAnsi="Arial" w:cs="Arial"/>
                <w:color w:val="000000"/>
                <w:sz w:val="16"/>
                <w:szCs w:val="16"/>
              </w:rPr>
              <w:t>932</w:t>
            </w:r>
          </w:p>
        </w:tc>
        <w:tc>
          <w:tcPr>
            <w:tcW w:w="444" w:type="pct"/>
            <w:shd w:val="clear" w:color="auto" w:fill="auto"/>
            <w:tcMar>
              <w:top w:w="0" w:type="dxa"/>
              <w:left w:w="0" w:type="dxa"/>
              <w:bottom w:w="0" w:type="dxa"/>
              <w:right w:w="0" w:type="dxa"/>
            </w:tcMar>
            <w:vAlign w:val="center"/>
          </w:tcPr>
          <w:p w14:paraId="4E1969E2" w14:textId="143672E8" w:rsidR="00177DDF" w:rsidRPr="00D16CF3" w:rsidRDefault="00177DDF" w:rsidP="00177DDF">
            <w:pPr>
              <w:spacing w:after="0" w:line="276" w:lineRule="auto"/>
              <w:jc w:val="right"/>
              <w:rPr>
                <w:rFonts w:ascii="Arial" w:hAnsi="Arial" w:cs="Arial"/>
                <w:sz w:val="16"/>
                <w:szCs w:val="16"/>
              </w:rPr>
            </w:pPr>
            <w:r>
              <w:rPr>
                <w:rFonts w:ascii="Arial" w:hAnsi="Arial" w:cs="Arial"/>
                <w:sz w:val="16"/>
                <w:szCs w:val="16"/>
              </w:rPr>
              <w:t>56.8</w:t>
            </w:r>
          </w:p>
        </w:tc>
        <w:tc>
          <w:tcPr>
            <w:tcW w:w="49" w:type="pct"/>
            <w:shd w:val="clear" w:color="auto" w:fill="auto"/>
            <w:tcMar>
              <w:top w:w="0" w:type="dxa"/>
              <w:left w:w="0" w:type="dxa"/>
              <w:bottom w:w="0" w:type="dxa"/>
              <w:right w:w="0" w:type="dxa"/>
            </w:tcMar>
            <w:vAlign w:val="center"/>
          </w:tcPr>
          <w:p w14:paraId="3FFFE7BB" w14:textId="023BEF11" w:rsidR="00177DDF" w:rsidRPr="00902D40" w:rsidRDefault="00177DDF" w:rsidP="00177DDF">
            <w:pPr>
              <w:spacing w:after="0" w:line="276" w:lineRule="auto"/>
              <w:jc w:val="right"/>
              <w:rPr>
                <w:rFonts w:ascii="Arial" w:hAnsi="Arial" w:cs="Arial"/>
                <w:sz w:val="16"/>
                <w:szCs w:val="16"/>
              </w:rPr>
            </w:pPr>
            <w:r>
              <w:rPr>
                <w:rFonts w:ascii="Arial" w:hAnsi="Arial" w:cs="Arial"/>
                <w:sz w:val="16"/>
                <w:szCs w:val="16"/>
              </w:rPr>
              <w:t> </w:t>
            </w:r>
          </w:p>
        </w:tc>
        <w:tc>
          <w:tcPr>
            <w:tcW w:w="475" w:type="pct"/>
            <w:shd w:val="clear" w:color="auto" w:fill="auto"/>
            <w:tcMar>
              <w:top w:w="0" w:type="dxa"/>
              <w:left w:w="0" w:type="dxa"/>
              <w:bottom w:w="0" w:type="dxa"/>
              <w:right w:w="0" w:type="dxa"/>
            </w:tcMar>
            <w:vAlign w:val="center"/>
          </w:tcPr>
          <w:p w14:paraId="5769C899" w14:textId="763951B2" w:rsidR="00177DDF" w:rsidRPr="00902D40" w:rsidRDefault="00177DDF" w:rsidP="00177DDF">
            <w:pPr>
              <w:spacing w:after="0" w:line="276" w:lineRule="auto"/>
              <w:jc w:val="right"/>
              <w:rPr>
                <w:rFonts w:ascii="Arial" w:hAnsi="Arial" w:cs="Arial"/>
                <w:sz w:val="16"/>
                <w:szCs w:val="16"/>
              </w:rPr>
            </w:pPr>
            <w:r>
              <w:rPr>
                <w:rFonts w:ascii="Arial" w:hAnsi="Arial" w:cs="Arial"/>
                <w:color w:val="000000"/>
                <w:sz w:val="16"/>
                <w:szCs w:val="16"/>
              </w:rPr>
              <w:t>3,988</w:t>
            </w:r>
          </w:p>
        </w:tc>
        <w:tc>
          <w:tcPr>
            <w:tcW w:w="444" w:type="pct"/>
            <w:shd w:val="clear" w:color="auto" w:fill="auto"/>
            <w:tcMar>
              <w:top w:w="0" w:type="dxa"/>
              <w:left w:w="0" w:type="dxa"/>
              <w:bottom w:w="0" w:type="dxa"/>
              <w:right w:w="0" w:type="dxa"/>
            </w:tcMar>
            <w:vAlign w:val="center"/>
          </w:tcPr>
          <w:p w14:paraId="1041835B" w14:textId="6D3DFECB" w:rsidR="00177DDF" w:rsidRDefault="00177DDF" w:rsidP="00177DDF">
            <w:pPr>
              <w:spacing w:after="0" w:line="276" w:lineRule="auto"/>
              <w:jc w:val="right"/>
              <w:rPr>
                <w:rFonts w:ascii="Arial" w:eastAsia="Times New Roman" w:hAnsi="Arial" w:cs="Arial"/>
                <w:sz w:val="16"/>
                <w:szCs w:val="16"/>
                <w:lang w:eastAsia="en-AU"/>
              </w:rPr>
            </w:pPr>
            <w:r>
              <w:rPr>
                <w:rFonts w:ascii="Arial" w:hAnsi="Arial" w:cs="Arial"/>
                <w:sz w:val="16"/>
                <w:szCs w:val="16"/>
              </w:rPr>
              <w:t>99.3</w:t>
            </w:r>
          </w:p>
        </w:tc>
        <w:tc>
          <w:tcPr>
            <w:tcW w:w="49" w:type="pct"/>
            <w:shd w:val="clear" w:color="auto" w:fill="auto"/>
            <w:tcMar>
              <w:top w:w="0" w:type="dxa"/>
              <w:left w:w="0" w:type="dxa"/>
              <w:bottom w:w="0" w:type="dxa"/>
              <w:right w:w="0" w:type="dxa"/>
            </w:tcMar>
            <w:vAlign w:val="center"/>
          </w:tcPr>
          <w:p w14:paraId="3C58F182" w14:textId="43511F0D" w:rsidR="00177DDF" w:rsidRPr="00E8395C" w:rsidRDefault="00177DDF" w:rsidP="00177DDF">
            <w:pPr>
              <w:spacing w:after="0" w:line="276" w:lineRule="auto"/>
              <w:jc w:val="right"/>
              <w:rPr>
                <w:rFonts w:ascii="Arial" w:hAnsi="Arial" w:cs="Arial"/>
                <w:sz w:val="16"/>
                <w:szCs w:val="16"/>
              </w:rPr>
            </w:pPr>
          </w:p>
        </w:tc>
        <w:tc>
          <w:tcPr>
            <w:tcW w:w="476" w:type="pct"/>
            <w:shd w:val="clear" w:color="auto" w:fill="auto"/>
            <w:tcMar>
              <w:top w:w="0" w:type="dxa"/>
              <w:left w:w="0" w:type="dxa"/>
              <w:bottom w:w="0" w:type="dxa"/>
              <w:right w:w="0" w:type="dxa"/>
            </w:tcMar>
            <w:vAlign w:val="center"/>
          </w:tcPr>
          <w:p w14:paraId="3B35CB96" w14:textId="7E9A398A" w:rsidR="00177DDF" w:rsidRPr="00E8395C" w:rsidRDefault="00177DDF" w:rsidP="00177DDF">
            <w:pPr>
              <w:spacing w:after="0" w:line="276" w:lineRule="auto"/>
              <w:jc w:val="right"/>
              <w:rPr>
                <w:rFonts w:ascii="Arial" w:hAnsi="Arial" w:cs="Arial"/>
                <w:sz w:val="16"/>
                <w:szCs w:val="16"/>
              </w:rPr>
            </w:pPr>
            <w:r>
              <w:rPr>
                <w:rFonts w:ascii="Arial" w:hAnsi="Arial" w:cs="Arial"/>
                <w:color w:val="000000"/>
                <w:sz w:val="16"/>
                <w:szCs w:val="16"/>
              </w:rPr>
              <w:t>2</w:t>
            </w:r>
          </w:p>
        </w:tc>
        <w:tc>
          <w:tcPr>
            <w:tcW w:w="444" w:type="pct"/>
            <w:shd w:val="clear" w:color="auto" w:fill="auto"/>
            <w:tcMar>
              <w:top w:w="0" w:type="dxa"/>
              <w:left w:w="0" w:type="dxa"/>
              <w:bottom w:w="0" w:type="dxa"/>
              <w:right w:w="0" w:type="dxa"/>
            </w:tcMar>
            <w:vAlign w:val="center"/>
          </w:tcPr>
          <w:p w14:paraId="19D01EA6" w14:textId="3D47CF2B" w:rsidR="00177DDF" w:rsidRDefault="00177DDF" w:rsidP="00177DDF">
            <w:pPr>
              <w:spacing w:after="0" w:line="276" w:lineRule="auto"/>
              <w:jc w:val="right"/>
              <w:rPr>
                <w:rFonts w:ascii="Arial" w:hAnsi="Arial" w:cs="Arial"/>
                <w:sz w:val="16"/>
                <w:szCs w:val="16"/>
              </w:rPr>
            </w:pPr>
            <w:r>
              <w:rPr>
                <w:rFonts w:ascii="Arial" w:hAnsi="Arial" w:cs="Arial"/>
                <w:sz w:val="16"/>
                <w:szCs w:val="16"/>
              </w:rPr>
              <w:t>100.0</w:t>
            </w:r>
          </w:p>
        </w:tc>
        <w:tc>
          <w:tcPr>
            <w:tcW w:w="49" w:type="pct"/>
            <w:shd w:val="clear" w:color="auto" w:fill="auto"/>
            <w:tcMar>
              <w:top w:w="0" w:type="dxa"/>
              <w:left w:w="0" w:type="dxa"/>
              <w:bottom w:w="0" w:type="dxa"/>
              <w:right w:w="0" w:type="dxa"/>
            </w:tcMar>
            <w:vAlign w:val="center"/>
          </w:tcPr>
          <w:p w14:paraId="60348205" w14:textId="3193FD53" w:rsidR="00177DDF" w:rsidRPr="00E8395C" w:rsidRDefault="00177DDF" w:rsidP="00177DDF">
            <w:pPr>
              <w:spacing w:after="0" w:line="276" w:lineRule="auto"/>
              <w:jc w:val="right"/>
              <w:rPr>
                <w:rFonts w:ascii="Arial" w:hAnsi="Arial" w:cs="Arial"/>
                <w:sz w:val="16"/>
                <w:szCs w:val="16"/>
              </w:rPr>
            </w:pPr>
          </w:p>
        </w:tc>
        <w:tc>
          <w:tcPr>
            <w:tcW w:w="476" w:type="pct"/>
            <w:shd w:val="clear" w:color="auto" w:fill="auto"/>
            <w:tcMar>
              <w:top w:w="0" w:type="dxa"/>
              <w:left w:w="0" w:type="dxa"/>
              <w:bottom w:w="0" w:type="dxa"/>
              <w:right w:w="0" w:type="dxa"/>
            </w:tcMar>
            <w:vAlign w:val="center"/>
          </w:tcPr>
          <w:p w14:paraId="596CF11A" w14:textId="1A76E043" w:rsidR="00177DDF" w:rsidRPr="00E8395C" w:rsidRDefault="00177DDF" w:rsidP="00177DDF">
            <w:pPr>
              <w:spacing w:after="0" w:line="276" w:lineRule="auto"/>
              <w:jc w:val="right"/>
              <w:rPr>
                <w:rFonts w:ascii="Arial" w:hAnsi="Arial" w:cs="Arial"/>
                <w:sz w:val="16"/>
                <w:szCs w:val="16"/>
              </w:rPr>
            </w:pPr>
            <w:r>
              <w:rPr>
                <w:rFonts w:ascii="Arial" w:hAnsi="Arial" w:cs="Arial"/>
                <w:color w:val="000000"/>
                <w:sz w:val="16"/>
                <w:szCs w:val="16"/>
              </w:rPr>
              <w:t>357</w:t>
            </w:r>
          </w:p>
        </w:tc>
        <w:tc>
          <w:tcPr>
            <w:tcW w:w="444" w:type="pct"/>
            <w:shd w:val="clear" w:color="auto" w:fill="auto"/>
            <w:tcMar>
              <w:top w:w="0" w:type="dxa"/>
              <w:left w:w="0" w:type="dxa"/>
              <w:bottom w:w="0" w:type="dxa"/>
              <w:right w:w="0" w:type="dxa"/>
            </w:tcMar>
            <w:vAlign w:val="center"/>
          </w:tcPr>
          <w:p w14:paraId="436A52E1" w14:textId="7DBF91C2" w:rsidR="00177DDF" w:rsidRPr="00E8395C" w:rsidRDefault="00177DDF" w:rsidP="00177DDF">
            <w:pPr>
              <w:spacing w:after="0" w:line="276" w:lineRule="auto"/>
              <w:jc w:val="right"/>
              <w:rPr>
                <w:rFonts w:ascii="Arial" w:hAnsi="Arial" w:cs="Arial"/>
                <w:sz w:val="16"/>
                <w:szCs w:val="16"/>
              </w:rPr>
            </w:pPr>
            <w:r>
              <w:rPr>
                <w:rFonts w:ascii="Arial" w:hAnsi="Arial" w:cs="Arial"/>
                <w:sz w:val="16"/>
                <w:szCs w:val="16"/>
              </w:rPr>
              <w:t>98.1</w:t>
            </w:r>
          </w:p>
        </w:tc>
      </w:tr>
      <w:tr w:rsidR="00177DDF" w:rsidRPr="00617599" w14:paraId="04AB76AC" w14:textId="77777777" w:rsidTr="00177DDF">
        <w:trPr>
          <w:trHeight w:val="284"/>
        </w:trPr>
        <w:tc>
          <w:tcPr>
            <w:tcW w:w="1172" w:type="pct"/>
            <w:tcBorders>
              <w:bottom w:val="single" w:sz="12" w:space="0" w:color="auto"/>
            </w:tcBorders>
            <w:shd w:val="clear" w:color="auto" w:fill="auto"/>
            <w:tcMar>
              <w:top w:w="0" w:type="dxa"/>
              <w:left w:w="0" w:type="dxa"/>
              <w:bottom w:w="0" w:type="dxa"/>
              <w:right w:w="0" w:type="dxa"/>
            </w:tcMar>
            <w:vAlign w:val="center"/>
            <w:hideMark/>
          </w:tcPr>
          <w:p w14:paraId="5D0D6BE4" w14:textId="77777777" w:rsidR="00177DDF" w:rsidRPr="00617599" w:rsidRDefault="00177DDF" w:rsidP="00177DDF">
            <w:pPr>
              <w:spacing w:after="0" w:line="276" w:lineRule="auto"/>
              <w:rPr>
                <w:rFonts w:ascii="Arial" w:eastAsia="Times New Roman" w:hAnsi="Arial" w:cs="Arial"/>
                <w:b/>
                <w:sz w:val="16"/>
                <w:szCs w:val="16"/>
                <w:lang w:eastAsia="en-AU"/>
              </w:rPr>
            </w:pPr>
            <w:r w:rsidRPr="00617599">
              <w:rPr>
                <w:rFonts w:ascii="Arial" w:eastAsia="Times New Roman" w:hAnsi="Arial" w:cs="Arial"/>
                <w:b/>
                <w:sz w:val="16"/>
                <w:szCs w:val="16"/>
                <w:lang w:eastAsia="en-AU"/>
              </w:rPr>
              <w:t>Total</w:t>
            </w:r>
          </w:p>
        </w:tc>
        <w:tc>
          <w:tcPr>
            <w:tcW w:w="478" w:type="pct"/>
            <w:tcBorders>
              <w:bottom w:val="single" w:sz="12" w:space="0" w:color="auto"/>
            </w:tcBorders>
            <w:shd w:val="clear" w:color="auto" w:fill="auto"/>
            <w:tcMar>
              <w:top w:w="0" w:type="dxa"/>
              <w:left w:w="0" w:type="dxa"/>
              <w:bottom w:w="0" w:type="dxa"/>
              <w:right w:w="0" w:type="dxa"/>
            </w:tcMar>
            <w:vAlign w:val="center"/>
            <w:hideMark/>
          </w:tcPr>
          <w:p w14:paraId="66F0FCD7" w14:textId="290F3DB7" w:rsidR="00177DDF" w:rsidRPr="00E8395C" w:rsidRDefault="00177DDF" w:rsidP="00177DDF">
            <w:pPr>
              <w:spacing w:after="0" w:line="276" w:lineRule="auto"/>
              <w:jc w:val="right"/>
              <w:rPr>
                <w:rFonts w:ascii="Arial" w:eastAsia="Times New Roman" w:hAnsi="Arial" w:cs="Arial"/>
                <w:b/>
                <w:sz w:val="16"/>
                <w:szCs w:val="16"/>
                <w:lang w:eastAsia="en-AU"/>
              </w:rPr>
            </w:pPr>
            <w:r>
              <w:rPr>
                <w:rFonts w:ascii="Arial" w:hAnsi="Arial" w:cs="Arial"/>
                <w:b/>
                <w:bCs/>
                <w:sz w:val="16"/>
                <w:szCs w:val="16"/>
              </w:rPr>
              <w:t>1,640</w:t>
            </w:r>
          </w:p>
        </w:tc>
        <w:tc>
          <w:tcPr>
            <w:tcW w:w="444" w:type="pct"/>
            <w:tcBorders>
              <w:bottom w:val="single" w:sz="12" w:space="0" w:color="auto"/>
            </w:tcBorders>
            <w:shd w:val="clear" w:color="auto" w:fill="auto"/>
            <w:tcMar>
              <w:top w:w="0" w:type="dxa"/>
              <w:left w:w="0" w:type="dxa"/>
              <w:bottom w:w="0" w:type="dxa"/>
              <w:right w:w="0" w:type="dxa"/>
            </w:tcMar>
            <w:vAlign w:val="center"/>
            <w:hideMark/>
          </w:tcPr>
          <w:p w14:paraId="4620BD57" w14:textId="708F0BF2" w:rsidR="00177DDF" w:rsidRPr="00E8395C" w:rsidRDefault="00177DDF" w:rsidP="00177DDF">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9" w:type="pct"/>
            <w:tcBorders>
              <w:bottom w:val="single" w:sz="12" w:space="0" w:color="auto"/>
            </w:tcBorders>
            <w:shd w:val="clear" w:color="auto" w:fill="auto"/>
            <w:tcMar>
              <w:top w:w="0" w:type="dxa"/>
              <w:left w:w="0" w:type="dxa"/>
              <w:bottom w:w="0" w:type="dxa"/>
              <w:right w:w="0" w:type="dxa"/>
            </w:tcMar>
            <w:vAlign w:val="center"/>
            <w:hideMark/>
          </w:tcPr>
          <w:p w14:paraId="710C8865" w14:textId="42148BFA" w:rsidR="00177DDF" w:rsidRPr="00E8395C" w:rsidRDefault="00177DDF" w:rsidP="00177DDF">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75" w:type="pct"/>
            <w:tcBorders>
              <w:bottom w:val="single" w:sz="12" w:space="0" w:color="auto"/>
            </w:tcBorders>
            <w:shd w:val="clear" w:color="auto" w:fill="auto"/>
            <w:tcMar>
              <w:top w:w="0" w:type="dxa"/>
              <w:left w:w="0" w:type="dxa"/>
              <w:bottom w:w="0" w:type="dxa"/>
              <w:right w:w="0" w:type="dxa"/>
            </w:tcMar>
            <w:vAlign w:val="center"/>
            <w:hideMark/>
          </w:tcPr>
          <w:p w14:paraId="08D98A13" w14:textId="73EC9869" w:rsidR="00177DDF" w:rsidRPr="00E8395C" w:rsidRDefault="00177DDF" w:rsidP="00177DDF">
            <w:pPr>
              <w:spacing w:after="0" w:line="276" w:lineRule="auto"/>
              <w:jc w:val="right"/>
              <w:rPr>
                <w:rFonts w:ascii="Arial" w:eastAsia="Times New Roman" w:hAnsi="Arial" w:cs="Arial"/>
                <w:b/>
                <w:sz w:val="16"/>
                <w:szCs w:val="16"/>
                <w:lang w:eastAsia="en-AU"/>
              </w:rPr>
            </w:pPr>
            <w:r>
              <w:rPr>
                <w:rFonts w:ascii="Arial" w:hAnsi="Arial" w:cs="Arial"/>
                <w:b/>
                <w:bCs/>
                <w:sz w:val="16"/>
                <w:szCs w:val="16"/>
              </w:rPr>
              <w:t>4,018</w:t>
            </w:r>
          </w:p>
        </w:tc>
        <w:tc>
          <w:tcPr>
            <w:tcW w:w="444" w:type="pct"/>
            <w:tcBorders>
              <w:bottom w:val="single" w:sz="12" w:space="0" w:color="auto"/>
            </w:tcBorders>
            <w:shd w:val="clear" w:color="auto" w:fill="auto"/>
            <w:tcMar>
              <w:top w:w="0" w:type="dxa"/>
              <w:left w:w="0" w:type="dxa"/>
              <w:bottom w:w="0" w:type="dxa"/>
              <w:right w:w="0" w:type="dxa"/>
            </w:tcMar>
            <w:vAlign w:val="center"/>
            <w:hideMark/>
          </w:tcPr>
          <w:p w14:paraId="1C92A64A" w14:textId="4E0F72E0" w:rsidR="00177DDF" w:rsidRPr="00E8395C" w:rsidRDefault="00177DDF" w:rsidP="00177DDF">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9" w:type="pct"/>
            <w:tcBorders>
              <w:bottom w:val="single" w:sz="12" w:space="0" w:color="auto"/>
            </w:tcBorders>
            <w:shd w:val="clear" w:color="auto" w:fill="auto"/>
            <w:tcMar>
              <w:top w:w="0" w:type="dxa"/>
              <w:left w:w="0" w:type="dxa"/>
              <w:bottom w:w="0" w:type="dxa"/>
              <w:right w:w="0" w:type="dxa"/>
            </w:tcMar>
            <w:vAlign w:val="center"/>
            <w:hideMark/>
          </w:tcPr>
          <w:p w14:paraId="41021EE1" w14:textId="58DBFBDE" w:rsidR="00177DDF" w:rsidRPr="00E8395C" w:rsidRDefault="00177DDF" w:rsidP="00177DDF">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76" w:type="pct"/>
            <w:tcBorders>
              <w:bottom w:val="single" w:sz="12" w:space="0" w:color="auto"/>
            </w:tcBorders>
            <w:shd w:val="clear" w:color="auto" w:fill="auto"/>
            <w:tcMar>
              <w:top w:w="0" w:type="dxa"/>
              <w:left w:w="0" w:type="dxa"/>
              <w:bottom w:w="0" w:type="dxa"/>
              <w:right w:w="0" w:type="dxa"/>
            </w:tcMar>
            <w:vAlign w:val="center"/>
            <w:hideMark/>
          </w:tcPr>
          <w:p w14:paraId="096767D9" w14:textId="5CF66EE3" w:rsidR="00177DDF" w:rsidRPr="00E8395C" w:rsidRDefault="00177DDF" w:rsidP="00177DDF">
            <w:pPr>
              <w:spacing w:after="0" w:line="276" w:lineRule="auto"/>
              <w:jc w:val="right"/>
              <w:rPr>
                <w:rFonts w:ascii="Arial" w:eastAsia="Times New Roman" w:hAnsi="Arial" w:cs="Arial"/>
                <w:b/>
                <w:sz w:val="16"/>
                <w:szCs w:val="16"/>
                <w:lang w:eastAsia="en-AU"/>
              </w:rPr>
            </w:pPr>
            <w:r>
              <w:rPr>
                <w:rFonts w:ascii="Arial" w:hAnsi="Arial" w:cs="Arial"/>
                <w:b/>
                <w:bCs/>
                <w:sz w:val="16"/>
                <w:szCs w:val="16"/>
              </w:rPr>
              <w:t>2</w:t>
            </w:r>
          </w:p>
        </w:tc>
        <w:tc>
          <w:tcPr>
            <w:tcW w:w="444" w:type="pct"/>
            <w:tcBorders>
              <w:bottom w:val="single" w:sz="12" w:space="0" w:color="auto"/>
            </w:tcBorders>
            <w:shd w:val="clear" w:color="auto" w:fill="auto"/>
            <w:tcMar>
              <w:top w:w="0" w:type="dxa"/>
              <w:left w:w="0" w:type="dxa"/>
              <w:bottom w:w="0" w:type="dxa"/>
              <w:right w:w="0" w:type="dxa"/>
            </w:tcMar>
            <w:vAlign w:val="center"/>
            <w:hideMark/>
          </w:tcPr>
          <w:p w14:paraId="5F079598" w14:textId="71AB24A4" w:rsidR="00177DDF" w:rsidRPr="00E8395C" w:rsidRDefault="00177DDF" w:rsidP="00177DDF">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9" w:type="pct"/>
            <w:tcBorders>
              <w:bottom w:val="single" w:sz="12" w:space="0" w:color="auto"/>
            </w:tcBorders>
            <w:shd w:val="clear" w:color="auto" w:fill="auto"/>
            <w:tcMar>
              <w:top w:w="0" w:type="dxa"/>
              <w:left w:w="0" w:type="dxa"/>
              <w:bottom w:w="0" w:type="dxa"/>
              <w:right w:w="0" w:type="dxa"/>
            </w:tcMar>
            <w:vAlign w:val="center"/>
            <w:hideMark/>
          </w:tcPr>
          <w:p w14:paraId="4102D70A" w14:textId="647EFF8C" w:rsidR="00177DDF" w:rsidRPr="00E8395C" w:rsidRDefault="00177DDF" w:rsidP="00177DDF">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76" w:type="pct"/>
            <w:tcBorders>
              <w:bottom w:val="single" w:sz="12" w:space="0" w:color="auto"/>
            </w:tcBorders>
            <w:shd w:val="clear" w:color="auto" w:fill="auto"/>
            <w:tcMar>
              <w:top w:w="0" w:type="dxa"/>
              <w:left w:w="0" w:type="dxa"/>
              <w:bottom w:w="0" w:type="dxa"/>
              <w:right w:w="0" w:type="dxa"/>
            </w:tcMar>
            <w:vAlign w:val="center"/>
            <w:hideMark/>
          </w:tcPr>
          <w:p w14:paraId="250066E9" w14:textId="112F60EC" w:rsidR="00177DDF" w:rsidRPr="00E8395C" w:rsidRDefault="00177DDF" w:rsidP="00177DDF">
            <w:pPr>
              <w:spacing w:after="0" w:line="276" w:lineRule="auto"/>
              <w:jc w:val="right"/>
              <w:rPr>
                <w:rFonts w:ascii="Arial" w:eastAsia="Times New Roman" w:hAnsi="Arial" w:cs="Arial"/>
                <w:b/>
                <w:sz w:val="16"/>
                <w:szCs w:val="16"/>
                <w:lang w:eastAsia="en-AU"/>
              </w:rPr>
            </w:pPr>
            <w:r>
              <w:rPr>
                <w:rFonts w:ascii="Arial" w:hAnsi="Arial" w:cs="Arial"/>
                <w:b/>
                <w:bCs/>
                <w:sz w:val="16"/>
                <w:szCs w:val="16"/>
              </w:rPr>
              <w:t>364</w:t>
            </w:r>
          </w:p>
        </w:tc>
        <w:tc>
          <w:tcPr>
            <w:tcW w:w="444" w:type="pct"/>
            <w:tcBorders>
              <w:bottom w:val="single" w:sz="12" w:space="0" w:color="auto"/>
            </w:tcBorders>
            <w:shd w:val="clear" w:color="auto" w:fill="auto"/>
            <w:tcMar>
              <w:top w:w="0" w:type="dxa"/>
              <w:left w:w="0" w:type="dxa"/>
              <w:bottom w:w="0" w:type="dxa"/>
              <w:right w:w="0" w:type="dxa"/>
            </w:tcMar>
            <w:vAlign w:val="center"/>
            <w:hideMark/>
          </w:tcPr>
          <w:p w14:paraId="1B78CF0A" w14:textId="38AFF8EF" w:rsidR="00177DDF" w:rsidRPr="00E8395C" w:rsidRDefault="00177DDF" w:rsidP="00177DDF">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r>
    </w:tbl>
    <w:p w14:paraId="40F45543" w14:textId="77777777" w:rsidR="009303CD" w:rsidRPr="00617599" w:rsidRDefault="009303CD" w:rsidP="009303CD">
      <w:pPr>
        <w:pStyle w:val="Heading3"/>
        <w:rPr>
          <w:rFonts w:eastAsia="Times New Roman" w:cs="Arial"/>
        </w:rPr>
      </w:pPr>
      <w:r w:rsidRPr="00617599">
        <w:rPr>
          <w:rFonts w:cs="Arial"/>
          <w:b w:val="0"/>
          <w:bCs w:val="0"/>
          <w:highlight w:val="yellow"/>
        </w:rPr>
        <w:br w:type="page"/>
      </w:r>
      <w:bookmarkStart w:id="255" w:name="_Toc453061464"/>
      <w:bookmarkStart w:id="256" w:name="_Toc453059061"/>
      <w:bookmarkStart w:id="257" w:name="_Toc453057393"/>
      <w:bookmarkStart w:id="258" w:name="_Toc453055608"/>
      <w:bookmarkStart w:id="259" w:name="_Toc453054834"/>
      <w:r w:rsidRPr="00617599">
        <w:rPr>
          <w:rFonts w:eastAsia="Times New Roman" w:cs="Arial"/>
        </w:rPr>
        <w:lastRenderedPageBreak/>
        <w:t>Transfer of cryopreserved embryos</w:t>
      </w:r>
      <w:bookmarkEnd w:id="255"/>
      <w:bookmarkEnd w:id="256"/>
      <w:bookmarkEnd w:id="257"/>
      <w:bookmarkEnd w:id="258"/>
      <w:bookmarkEnd w:id="259"/>
    </w:p>
    <w:p w14:paraId="7877CEB1" w14:textId="48F26C33" w:rsidR="009303CD" w:rsidRPr="00D65C10" w:rsidRDefault="009303CD" w:rsidP="009303CD">
      <w:pPr>
        <w:pStyle w:val="NPESUbodytext"/>
        <w:rPr>
          <w:rFonts w:cs="Arial"/>
          <w:color w:val="FF0000"/>
          <w:lang w:eastAsia="en-AU"/>
        </w:rPr>
      </w:pPr>
      <w:r w:rsidRPr="00617599">
        <w:rPr>
          <w:rFonts w:cs="Arial"/>
          <w:lang w:eastAsia="en-AU"/>
        </w:rPr>
        <w:t>Embryos created in a fresh cycle can be cryopreserved by either slow freezing or ultra-rapid cryopreservation (vitrification) methods. Slow frozen and vitrified embryos can be thawed/warmed and then transferred in subsequent cycles. Of the</w:t>
      </w:r>
      <w:r w:rsidR="00F726FD">
        <w:rPr>
          <w:rFonts w:cs="Arial"/>
          <w:lang w:eastAsia="en-AU"/>
        </w:rPr>
        <w:t xml:space="preserve"> </w:t>
      </w:r>
      <w:r w:rsidR="004D7BD7">
        <w:rPr>
          <w:rFonts w:cs="Arial"/>
          <w:lang w:eastAsia="en-AU"/>
        </w:rPr>
        <w:t>4,</w:t>
      </w:r>
      <w:r w:rsidR="00F226A8">
        <w:rPr>
          <w:rFonts w:cs="Arial"/>
          <w:lang w:eastAsia="en-AU"/>
        </w:rPr>
        <w:t>382</w:t>
      </w:r>
      <w:r w:rsidR="00211CFF" w:rsidRPr="00D65C10">
        <w:rPr>
          <w:rFonts w:cs="Arial"/>
          <w:lang w:eastAsia="en-AU"/>
        </w:rPr>
        <w:t xml:space="preserve"> </w:t>
      </w:r>
      <w:r w:rsidRPr="00D65C10">
        <w:rPr>
          <w:rFonts w:cs="Arial"/>
          <w:lang w:eastAsia="en-AU"/>
        </w:rPr>
        <w:t xml:space="preserve">frozen/thawed embryo transfer cycles, </w:t>
      </w:r>
      <w:r w:rsidR="00F226A8">
        <w:rPr>
          <w:rFonts w:cs="Arial"/>
          <w:lang w:eastAsia="en-AU"/>
        </w:rPr>
        <w:t>95.8</w:t>
      </w:r>
      <w:r w:rsidR="00ED6689" w:rsidRPr="00D65C10">
        <w:rPr>
          <w:rFonts w:cs="Arial"/>
          <w:lang w:eastAsia="en-AU"/>
        </w:rPr>
        <w:t xml:space="preserve">% involved the transfer of vitrified embryos. </w:t>
      </w:r>
    </w:p>
    <w:tbl>
      <w:tblPr>
        <w:tblW w:w="5150" w:type="pct"/>
        <w:shd w:val="clear" w:color="auto" w:fill="FFFFFF"/>
        <w:tblCellMar>
          <w:top w:w="15" w:type="dxa"/>
          <w:left w:w="15" w:type="dxa"/>
          <w:bottom w:w="15" w:type="dxa"/>
          <w:right w:w="15" w:type="dxa"/>
        </w:tblCellMar>
        <w:tblLook w:val="04A0" w:firstRow="1" w:lastRow="0" w:firstColumn="1" w:lastColumn="0" w:noHBand="0" w:noVBand="1"/>
      </w:tblPr>
      <w:tblGrid>
        <w:gridCol w:w="2201"/>
        <w:gridCol w:w="865"/>
        <w:gridCol w:w="848"/>
        <w:gridCol w:w="89"/>
        <w:gridCol w:w="865"/>
        <w:gridCol w:w="844"/>
        <w:gridCol w:w="89"/>
        <w:gridCol w:w="865"/>
        <w:gridCol w:w="842"/>
        <w:gridCol w:w="89"/>
        <w:gridCol w:w="865"/>
        <w:gridCol w:w="835"/>
      </w:tblGrid>
      <w:tr w:rsidR="00ED0969" w:rsidRPr="00617599" w14:paraId="10B1DC2F" w14:textId="77777777" w:rsidTr="00D65C10">
        <w:trPr>
          <w:trHeight w:val="751"/>
          <w:tblHeader/>
        </w:trPr>
        <w:tc>
          <w:tcPr>
            <w:tcW w:w="5000" w:type="pct"/>
            <w:gridSpan w:val="12"/>
            <w:tcBorders>
              <w:bottom w:val="single" w:sz="12" w:space="0" w:color="auto"/>
            </w:tcBorders>
            <w:shd w:val="clear" w:color="auto" w:fill="FFFFFF"/>
            <w:tcMar>
              <w:top w:w="0" w:type="dxa"/>
              <w:left w:w="0" w:type="dxa"/>
              <w:bottom w:w="0" w:type="dxa"/>
              <w:right w:w="0" w:type="dxa"/>
            </w:tcMar>
            <w:vAlign w:val="center"/>
            <w:hideMark/>
          </w:tcPr>
          <w:p w14:paraId="274156F6" w14:textId="5A0310CA" w:rsidR="00ED0969" w:rsidRPr="00617599" w:rsidRDefault="00ED0969" w:rsidP="00360E75">
            <w:pPr>
              <w:pStyle w:val="Caption"/>
              <w:spacing w:before="60" w:line="260" w:lineRule="atLeast"/>
              <w:rPr>
                <w:rFonts w:eastAsia="Times New Roman"/>
                <w:lang w:eastAsia="en-AU"/>
              </w:rPr>
            </w:pPr>
            <w:bookmarkStart w:id="260" w:name="_Toc158026559"/>
            <w:r w:rsidRPr="00617599">
              <w:rPr>
                <w:rFonts w:eastAsia="Times New Roman"/>
                <w:lang w:eastAsia="en-AU"/>
              </w:rPr>
              <w:t xml:space="preserve">Table </w:t>
            </w:r>
            <w:r w:rsidR="00F400A5">
              <w:rPr>
                <w:rFonts w:eastAsia="Times New Roman"/>
                <w:lang w:eastAsia="en-AU"/>
              </w:rPr>
              <w:t>10</w:t>
            </w:r>
            <w:r w:rsidRPr="00617599">
              <w:rPr>
                <w:rFonts w:eastAsia="Times New Roman"/>
                <w:lang w:eastAsia="en-AU"/>
              </w:rPr>
              <w:t xml:space="preserve">: Number of embryo transfer cycles by freezing method and stage of embryo development, </w:t>
            </w:r>
            <w:r w:rsidR="00A501CE">
              <w:rPr>
                <w:rFonts w:eastAsia="Times New Roman"/>
                <w:lang w:eastAsia="en-AU"/>
              </w:rPr>
              <w:t>New Zealand, 20</w:t>
            </w:r>
            <w:r w:rsidR="00D42C71">
              <w:rPr>
                <w:rFonts w:eastAsia="Times New Roman"/>
                <w:lang w:eastAsia="en-AU"/>
              </w:rPr>
              <w:t>2</w:t>
            </w:r>
            <w:r w:rsidR="002712A1">
              <w:rPr>
                <w:rFonts w:eastAsia="Times New Roman"/>
                <w:lang w:eastAsia="en-AU"/>
              </w:rPr>
              <w:t>1</w:t>
            </w:r>
            <w:bookmarkEnd w:id="260"/>
            <w:r w:rsidR="00A501CE">
              <w:rPr>
                <w:rFonts w:eastAsia="Times New Roman"/>
                <w:lang w:eastAsia="en-AU"/>
              </w:rPr>
              <w:t xml:space="preserve"> </w:t>
            </w:r>
          </w:p>
        </w:tc>
      </w:tr>
      <w:tr w:rsidR="00ED0969" w:rsidRPr="00617599" w14:paraId="2BCF5823" w14:textId="77777777" w:rsidTr="004D7BD7">
        <w:trPr>
          <w:trHeight w:val="302"/>
          <w:tblHeader/>
        </w:trPr>
        <w:tc>
          <w:tcPr>
            <w:tcW w:w="1184" w:type="pct"/>
            <w:tcBorders>
              <w:top w:val="single" w:sz="12" w:space="0" w:color="auto"/>
            </w:tcBorders>
            <w:shd w:val="clear" w:color="auto" w:fill="FFFFFF"/>
            <w:tcMar>
              <w:top w:w="0" w:type="dxa"/>
              <w:left w:w="0" w:type="dxa"/>
              <w:bottom w:w="0" w:type="dxa"/>
              <w:right w:w="0" w:type="dxa"/>
            </w:tcMar>
            <w:vAlign w:val="center"/>
            <w:hideMark/>
          </w:tcPr>
          <w:p w14:paraId="1258AF20" w14:textId="77777777" w:rsidR="00ED0969" w:rsidRPr="00617599" w:rsidRDefault="00ED0969" w:rsidP="00360E75">
            <w:pPr>
              <w:spacing w:after="0" w:line="276" w:lineRule="auto"/>
              <w:rPr>
                <w:rFonts w:ascii="Arial" w:eastAsia="Times New Roman" w:hAnsi="Arial" w:cs="Arial"/>
                <w:sz w:val="16"/>
                <w:szCs w:val="16"/>
                <w:lang w:eastAsia="en-AU"/>
              </w:rPr>
            </w:pPr>
          </w:p>
        </w:tc>
        <w:tc>
          <w:tcPr>
            <w:tcW w:w="1888" w:type="pct"/>
            <w:gridSpan w:val="5"/>
            <w:tcBorders>
              <w:top w:val="single" w:sz="12" w:space="0" w:color="auto"/>
              <w:bottom w:val="single" w:sz="6" w:space="0" w:color="808080"/>
            </w:tcBorders>
            <w:shd w:val="clear" w:color="auto" w:fill="FFFFFF"/>
            <w:tcMar>
              <w:top w:w="0" w:type="dxa"/>
              <w:left w:w="0" w:type="dxa"/>
              <w:bottom w:w="0" w:type="dxa"/>
              <w:right w:w="0" w:type="dxa"/>
            </w:tcMar>
            <w:vAlign w:val="center"/>
            <w:hideMark/>
          </w:tcPr>
          <w:p w14:paraId="6F430D01"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Autologous</w:t>
            </w:r>
          </w:p>
        </w:tc>
        <w:tc>
          <w:tcPr>
            <w:tcW w:w="48" w:type="pct"/>
            <w:tcBorders>
              <w:top w:val="single" w:sz="12" w:space="0" w:color="auto"/>
            </w:tcBorders>
            <w:shd w:val="clear" w:color="auto" w:fill="FFFFFF"/>
            <w:tcMar>
              <w:top w:w="0" w:type="dxa"/>
              <w:left w:w="0" w:type="dxa"/>
              <w:bottom w:w="0" w:type="dxa"/>
              <w:right w:w="0" w:type="dxa"/>
            </w:tcMar>
            <w:vAlign w:val="center"/>
            <w:hideMark/>
          </w:tcPr>
          <w:p w14:paraId="7A56C9E8"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1880" w:type="pct"/>
            <w:gridSpan w:val="5"/>
            <w:tcBorders>
              <w:top w:val="single" w:sz="12" w:space="0" w:color="auto"/>
              <w:bottom w:val="single" w:sz="6" w:space="0" w:color="808080"/>
            </w:tcBorders>
            <w:shd w:val="clear" w:color="auto" w:fill="FFFFFF"/>
            <w:tcMar>
              <w:top w:w="0" w:type="dxa"/>
              <w:left w:w="0" w:type="dxa"/>
              <w:bottom w:w="0" w:type="dxa"/>
              <w:right w:w="0" w:type="dxa"/>
            </w:tcMar>
            <w:vAlign w:val="center"/>
            <w:hideMark/>
          </w:tcPr>
          <w:p w14:paraId="6E8CD4DF"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Oocyte/embryo recipient</w:t>
            </w:r>
          </w:p>
        </w:tc>
      </w:tr>
      <w:tr w:rsidR="00ED0969" w:rsidRPr="00617599" w14:paraId="1FF82DE8" w14:textId="77777777" w:rsidTr="004D7BD7">
        <w:trPr>
          <w:trHeight w:val="302"/>
          <w:tblHeader/>
        </w:trPr>
        <w:tc>
          <w:tcPr>
            <w:tcW w:w="1184" w:type="pct"/>
            <w:shd w:val="clear" w:color="auto" w:fill="FFFFFF"/>
            <w:tcMar>
              <w:top w:w="0" w:type="dxa"/>
              <w:left w:w="0" w:type="dxa"/>
              <w:bottom w:w="0" w:type="dxa"/>
              <w:right w:w="0" w:type="dxa"/>
            </w:tcMar>
            <w:vAlign w:val="center"/>
            <w:hideMark/>
          </w:tcPr>
          <w:p w14:paraId="4C750A8F"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p>
        </w:tc>
        <w:tc>
          <w:tcPr>
            <w:tcW w:w="921" w:type="pct"/>
            <w:gridSpan w:val="2"/>
            <w:tcBorders>
              <w:bottom w:val="single" w:sz="6" w:space="0" w:color="808080"/>
            </w:tcBorders>
            <w:shd w:val="clear" w:color="auto" w:fill="FFFFFF"/>
            <w:tcMar>
              <w:top w:w="0" w:type="dxa"/>
              <w:left w:w="0" w:type="dxa"/>
              <w:bottom w:w="0" w:type="dxa"/>
              <w:right w:w="0" w:type="dxa"/>
            </w:tcMar>
            <w:vAlign w:val="center"/>
            <w:hideMark/>
          </w:tcPr>
          <w:p w14:paraId="4122F39B"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Cleavage embryo</w:t>
            </w:r>
          </w:p>
        </w:tc>
        <w:tc>
          <w:tcPr>
            <w:tcW w:w="48" w:type="pct"/>
            <w:shd w:val="clear" w:color="auto" w:fill="FFFFFF"/>
            <w:tcMar>
              <w:top w:w="0" w:type="dxa"/>
              <w:left w:w="0" w:type="dxa"/>
              <w:bottom w:w="0" w:type="dxa"/>
              <w:right w:w="0" w:type="dxa"/>
            </w:tcMar>
            <w:vAlign w:val="center"/>
            <w:hideMark/>
          </w:tcPr>
          <w:p w14:paraId="74E84B1C"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919" w:type="pct"/>
            <w:gridSpan w:val="2"/>
            <w:tcBorders>
              <w:bottom w:val="single" w:sz="6" w:space="0" w:color="808080"/>
            </w:tcBorders>
            <w:shd w:val="clear" w:color="auto" w:fill="FFFFFF"/>
            <w:tcMar>
              <w:top w:w="0" w:type="dxa"/>
              <w:left w:w="0" w:type="dxa"/>
              <w:bottom w:w="0" w:type="dxa"/>
              <w:right w:w="0" w:type="dxa"/>
            </w:tcMar>
            <w:vAlign w:val="center"/>
            <w:hideMark/>
          </w:tcPr>
          <w:p w14:paraId="0E966E28"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Blastocyst</w:t>
            </w:r>
          </w:p>
        </w:tc>
        <w:tc>
          <w:tcPr>
            <w:tcW w:w="48" w:type="pct"/>
            <w:shd w:val="clear" w:color="auto" w:fill="FFFFFF"/>
            <w:tcMar>
              <w:top w:w="0" w:type="dxa"/>
              <w:left w:w="0" w:type="dxa"/>
              <w:bottom w:w="0" w:type="dxa"/>
              <w:right w:w="0" w:type="dxa"/>
            </w:tcMar>
            <w:vAlign w:val="center"/>
            <w:hideMark/>
          </w:tcPr>
          <w:p w14:paraId="3C0CA71C"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918" w:type="pct"/>
            <w:gridSpan w:val="2"/>
            <w:tcBorders>
              <w:bottom w:val="single" w:sz="6" w:space="0" w:color="808080"/>
            </w:tcBorders>
            <w:shd w:val="clear" w:color="auto" w:fill="FFFFFF"/>
            <w:tcMar>
              <w:top w:w="0" w:type="dxa"/>
              <w:left w:w="0" w:type="dxa"/>
              <w:bottom w:w="0" w:type="dxa"/>
              <w:right w:w="0" w:type="dxa"/>
            </w:tcMar>
            <w:vAlign w:val="center"/>
            <w:hideMark/>
          </w:tcPr>
          <w:p w14:paraId="4C73A7F3"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Cleavage embryo</w:t>
            </w:r>
          </w:p>
        </w:tc>
        <w:tc>
          <w:tcPr>
            <w:tcW w:w="48" w:type="pct"/>
            <w:shd w:val="clear" w:color="auto" w:fill="FFFFFF"/>
            <w:tcMar>
              <w:top w:w="0" w:type="dxa"/>
              <w:left w:w="0" w:type="dxa"/>
              <w:bottom w:w="0" w:type="dxa"/>
              <w:right w:w="0" w:type="dxa"/>
            </w:tcMar>
            <w:vAlign w:val="center"/>
            <w:hideMark/>
          </w:tcPr>
          <w:p w14:paraId="0BFEF9C2"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914" w:type="pct"/>
            <w:gridSpan w:val="2"/>
            <w:tcBorders>
              <w:bottom w:val="single" w:sz="6" w:space="0" w:color="808080"/>
            </w:tcBorders>
            <w:shd w:val="clear" w:color="auto" w:fill="FFFFFF"/>
            <w:tcMar>
              <w:top w:w="0" w:type="dxa"/>
              <w:left w:w="0" w:type="dxa"/>
              <w:bottom w:w="0" w:type="dxa"/>
              <w:right w:w="0" w:type="dxa"/>
            </w:tcMar>
            <w:vAlign w:val="center"/>
            <w:hideMark/>
          </w:tcPr>
          <w:p w14:paraId="4FC05135" w14:textId="77777777" w:rsidR="00ED0969" w:rsidRPr="00617599" w:rsidRDefault="00ED0969"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Blastocyst</w:t>
            </w:r>
          </w:p>
        </w:tc>
      </w:tr>
      <w:tr w:rsidR="00EC4BB6" w:rsidRPr="00617599" w14:paraId="13E5993D" w14:textId="77777777" w:rsidTr="004D7BD7">
        <w:trPr>
          <w:trHeight w:val="302"/>
          <w:tblHeader/>
        </w:trPr>
        <w:tc>
          <w:tcPr>
            <w:tcW w:w="1184" w:type="pct"/>
            <w:tcBorders>
              <w:bottom w:val="single" w:sz="6" w:space="0" w:color="808080"/>
            </w:tcBorders>
            <w:shd w:val="clear" w:color="auto" w:fill="FFFFFF"/>
            <w:tcMar>
              <w:top w:w="0" w:type="dxa"/>
              <w:left w:w="0" w:type="dxa"/>
              <w:bottom w:w="0" w:type="dxa"/>
              <w:right w:w="0" w:type="dxa"/>
            </w:tcMar>
            <w:vAlign w:val="center"/>
            <w:hideMark/>
          </w:tcPr>
          <w:p w14:paraId="0F05D3FB" w14:textId="77777777" w:rsidR="00EC4BB6" w:rsidRPr="00617599" w:rsidRDefault="00EC4BB6" w:rsidP="00360E75">
            <w:pPr>
              <w:spacing w:after="0" w:line="276" w:lineRule="auto"/>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Type and procedure</w:t>
            </w:r>
          </w:p>
        </w:tc>
        <w:tc>
          <w:tcPr>
            <w:tcW w:w="465" w:type="pct"/>
            <w:tcBorders>
              <w:bottom w:val="single" w:sz="6" w:space="0" w:color="808080"/>
            </w:tcBorders>
            <w:shd w:val="clear" w:color="auto" w:fill="FFFFFF"/>
            <w:tcMar>
              <w:top w:w="0" w:type="dxa"/>
              <w:left w:w="0" w:type="dxa"/>
              <w:bottom w:w="0" w:type="dxa"/>
              <w:right w:w="0" w:type="dxa"/>
            </w:tcMar>
            <w:vAlign w:val="center"/>
            <w:hideMark/>
          </w:tcPr>
          <w:p w14:paraId="6DA20E96" w14:textId="1017232B"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56" w:type="pct"/>
            <w:tcBorders>
              <w:bottom w:val="single" w:sz="6" w:space="0" w:color="808080"/>
            </w:tcBorders>
            <w:shd w:val="clear" w:color="auto" w:fill="FFFFFF"/>
            <w:tcMar>
              <w:top w:w="0" w:type="dxa"/>
              <w:left w:w="0" w:type="dxa"/>
              <w:bottom w:w="0" w:type="dxa"/>
              <w:right w:w="0" w:type="dxa"/>
            </w:tcMar>
            <w:vAlign w:val="center"/>
            <w:hideMark/>
          </w:tcPr>
          <w:p w14:paraId="7D16787D" w14:textId="62ACEFF3"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8" w:type="pct"/>
            <w:tcBorders>
              <w:bottom w:val="single" w:sz="6" w:space="0" w:color="808080"/>
            </w:tcBorders>
            <w:shd w:val="clear" w:color="auto" w:fill="FFFFFF"/>
            <w:tcMar>
              <w:top w:w="0" w:type="dxa"/>
              <w:left w:w="0" w:type="dxa"/>
              <w:bottom w:w="0" w:type="dxa"/>
              <w:right w:w="0" w:type="dxa"/>
            </w:tcMar>
            <w:vAlign w:val="center"/>
            <w:hideMark/>
          </w:tcPr>
          <w:p w14:paraId="6219581B"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465" w:type="pct"/>
            <w:tcBorders>
              <w:bottom w:val="single" w:sz="6" w:space="0" w:color="808080"/>
            </w:tcBorders>
            <w:shd w:val="clear" w:color="auto" w:fill="FFFFFF"/>
            <w:tcMar>
              <w:top w:w="0" w:type="dxa"/>
              <w:left w:w="0" w:type="dxa"/>
              <w:bottom w:w="0" w:type="dxa"/>
              <w:right w:w="0" w:type="dxa"/>
            </w:tcMar>
            <w:vAlign w:val="center"/>
            <w:hideMark/>
          </w:tcPr>
          <w:p w14:paraId="0155F807" w14:textId="1F7E3A7C"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54" w:type="pct"/>
            <w:tcBorders>
              <w:bottom w:val="single" w:sz="6" w:space="0" w:color="808080"/>
            </w:tcBorders>
            <w:shd w:val="clear" w:color="auto" w:fill="FFFFFF"/>
            <w:tcMar>
              <w:top w:w="0" w:type="dxa"/>
              <w:left w:w="0" w:type="dxa"/>
              <w:bottom w:w="0" w:type="dxa"/>
              <w:right w:w="0" w:type="dxa"/>
            </w:tcMar>
            <w:vAlign w:val="center"/>
            <w:hideMark/>
          </w:tcPr>
          <w:p w14:paraId="5A18CD74" w14:textId="48966E87"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8" w:type="pct"/>
            <w:tcBorders>
              <w:bottom w:val="single" w:sz="6" w:space="0" w:color="808080"/>
            </w:tcBorders>
            <w:shd w:val="clear" w:color="auto" w:fill="FFFFFF"/>
            <w:tcMar>
              <w:top w:w="0" w:type="dxa"/>
              <w:left w:w="0" w:type="dxa"/>
              <w:bottom w:w="0" w:type="dxa"/>
              <w:right w:w="0" w:type="dxa"/>
            </w:tcMar>
            <w:vAlign w:val="center"/>
            <w:hideMark/>
          </w:tcPr>
          <w:p w14:paraId="048EBBBA"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465" w:type="pct"/>
            <w:tcBorders>
              <w:bottom w:val="single" w:sz="6" w:space="0" w:color="808080"/>
            </w:tcBorders>
            <w:shd w:val="clear" w:color="auto" w:fill="FFFFFF"/>
            <w:tcMar>
              <w:top w:w="0" w:type="dxa"/>
              <w:left w:w="0" w:type="dxa"/>
              <w:bottom w:w="0" w:type="dxa"/>
              <w:right w:w="0" w:type="dxa"/>
            </w:tcMar>
            <w:vAlign w:val="center"/>
            <w:hideMark/>
          </w:tcPr>
          <w:p w14:paraId="72C492AD" w14:textId="4E1B15D2"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53" w:type="pct"/>
            <w:tcBorders>
              <w:bottom w:val="single" w:sz="6" w:space="0" w:color="808080"/>
            </w:tcBorders>
            <w:shd w:val="clear" w:color="auto" w:fill="FFFFFF"/>
            <w:tcMar>
              <w:top w:w="0" w:type="dxa"/>
              <w:left w:w="0" w:type="dxa"/>
              <w:bottom w:w="0" w:type="dxa"/>
              <w:right w:w="0" w:type="dxa"/>
            </w:tcMar>
            <w:vAlign w:val="center"/>
            <w:hideMark/>
          </w:tcPr>
          <w:p w14:paraId="7A3BFB51" w14:textId="0020FEE5"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48" w:type="pct"/>
            <w:tcBorders>
              <w:bottom w:val="single" w:sz="6" w:space="0" w:color="808080"/>
            </w:tcBorders>
            <w:shd w:val="clear" w:color="auto" w:fill="FFFFFF"/>
            <w:tcMar>
              <w:top w:w="0" w:type="dxa"/>
              <w:left w:w="0" w:type="dxa"/>
              <w:bottom w:w="0" w:type="dxa"/>
              <w:right w:w="0" w:type="dxa"/>
            </w:tcMar>
            <w:vAlign w:val="center"/>
            <w:hideMark/>
          </w:tcPr>
          <w:p w14:paraId="6A255805" w14:textId="77777777" w:rsidR="00EC4BB6" w:rsidRPr="00617599" w:rsidRDefault="00EC4BB6"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w:t>
            </w:r>
          </w:p>
        </w:tc>
        <w:tc>
          <w:tcPr>
            <w:tcW w:w="465" w:type="pct"/>
            <w:tcBorders>
              <w:bottom w:val="single" w:sz="6" w:space="0" w:color="808080"/>
            </w:tcBorders>
            <w:shd w:val="clear" w:color="auto" w:fill="FFFFFF"/>
            <w:tcMar>
              <w:top w:w="0" w:type="dxa"/>
              <w:left w:w="0" w:type="dxa"/>
              <w:bottom w:w="0" w:type="dxa"/>
              <w:right w:w="0" w:type="dxa"/>
            </w:tcMar>
            <w:vAlign w:val="center"/>
            <w:hideMark/>
          </w:tcPr>
          <w:p w14:paraId="35AEB2ED" w14:textId="0CDF565C"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49" w:type="pct"/>
            <w:tcBorders>
              <w:bottom w:val="single" w:sz="6" w:space="0" w:color="808080"/>
            </w:tcBorders>
            <w:shd w:val="clear" w:color="auto" w:fill="FFFFFF"/>
            <w:tcMar>
              <w:top w:w="0" w:type="dxa"/>
              <w:left w:w="0" w:type="dxa"/>
              <w:bottom w:w="0" w:type="dxa"/>
              <w:right w:w="0" w:type="dxa"/>
            </w:tcMar>
            <w:vAlign w:val="center"/>
            <w:hideMark/>
          </w:tcPr>
          <w:p w14:paraId="0A12F249" w14:textId="6F00BF9E" w:rsidR="00EC4BB6" w:rsidRPr="00617599" w:rsidRDefault="00EC4BB6"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r>
      <w:tr w:rsidR="002712A1" w:rsidRPr="00617599" w14:paraId="33B5F4B8" w14:textId="77777777" w:rsidTr="002712A1">
        <w:trPr>
          <w:trHeight w:val="302"/>
        </w:trPr>
        <w:tc>
          <w:tcPr>
            <w:tcW w:w="1184" w:type="pct"/>
            <w:shd w:val="clear" w:color="auto" w:fill="FFFFFF"/>
            <w:tcMar>
              <w:top w:w="0" w:type="dxa"/>
              <w:left w:w="0" w:type="dxa"/>
              <w:bottom w:w="0" w:type="dxa"/>
              <w:right w:w="0" w:type="dxa"/>
            </w:tcMar>
            <w:vAlign w:val="center"/>
            <w:hideMark/>
          </w:tcPr>
          <w:p w14:paraId="6A346DE8" w14:textId="77777777" w:rsidR="002712A1" w:rsidRPr="00617599" w:rsidRDefault="002712A1" w:rsidP="002712A1">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Slow frozen embryo</w:t>
            </w:r>
          </w:p>
        </w:tc>
        <w:tc>
          <w:tcPr>
            <w:tcW w:w="465" w:type="pct"/>
            <w:shd w:val="clear" w:color="auto" w:fill="FFFFFF"/>
            <w:tcMar>
              <w:top w:w="0" w:type="dxa"/>
              <w:left w:w="0" w:type="dxa"/>
              <w:bottom w:w="0" w:type="dxa"/>
              <w:right w:w="0" w:type="dxa"/>
            </w:tcMar>
            <w:vAlign w:val="center"/>
          </w:tcPr>
          <w:p w14:paraId="786958AF" w14:textId="2ED03C4A" w:rsidR="002712A1" w:rsidRPr="00A407A7"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29</w:t>
            </w:r>
          </w:p>
        </w:tc>
        <w:tc>
          <w:tcPr>
            <w:tcW w:w="456" w:type="pct"/>
            <w:shd w:val="clear" w:color="auto" w:fill="FFFFFF"/>
            <w:tcMar>
              <w:top w:w="0" w:type="dxa"/>
              <w:left w:w="0" w:type="dxa"/>
              <w:bottom w:w="0" w:type="dxa"/>
              <w:right w:w="0" w:type="dxa"/>
            </w:tcMar>
            <w:vAlign w:val="center"/>
          </w:tcPr>
          <w:p w14:paraId="7C7C37FE" w14:textId="42E10FE5"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96.7</w:t>
            </w:r>
          </w:p>
        </w:tc>
        <w:tc>
          <w:tcPr>
            <w:tcW w:w="48" w:type="pct"/>
            <w:shd w:val="clear" w:color="auto" w:fill="FFFFFF"/>
            <w:tcMar>
              <w:top w:w="0" w:type="dxa"/>
              <w:left w:w="0" w:type="dxa"/>
              <w:bottom w:w="0" w:type="dxa"/>
              <w:right w:w="0" w:type="dxa"/>
            </w:tcMar>
            <w:vAlign w:val="center"/>
          </w:tcPr>
          <w:p w14:paraId="447D0661" w14:textId="7EC94EFA"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65" w:type="pct"/>
            <w:shd w:val="clear" w:color="auto" w:fill="FFFFFF"/>
            <w:tcMar>
              <w:top w:w="0" w:type="dxa"/>
              <w:left w:w="0" w:type="dxa"/>
              <w:bottom w:w="0" w:type="dxa"/>
              <w:right w:w="0" w:type="dxa"/>
            </w:tcMar>
            <w:vAlign w:val="center"/>
          </w:tcPr>
          <w:p w14:paraId="0B6AA1DD" w14:textId="3B17FB78"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126</w:t>
            </w:r>
          </w:p>
        </w:tc>
        <w:tc>
          <w:tcPr>
            <w:tcW w:w="454" w:type="pct"/>
            <w:shd w:val="clear" w:color="auto" w:fill="FFFFFF"/>
            <w:tcMar>
              <w:top w:w="0" w:type="dxa"/>
              <w:left w:w="0" w:type="dxa"/>
              <w:bottom w:w="0" w:type="dxa"/>
              <w:right w:w="0" w:type="dxa"/>
            </w:tcMar>
            <w:vAlign w:val="center"/>
          </w:tcPr>
          <w:p w14:paraId="14D060F9" w14:textId="69091CDF"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3.2</w:t>
            </w:r>
          </w:p>
        </w:tc>
        <w:tc>
          <w:tcPr>
            <w:tcW w:w="48" w:type="pct"/>
            <w:shd w:val="clear" w:color="auto" w:fill="FFFFFF"/>
            <w:tcMar>
              <w:top w:w="0" w:type="dxa"/>
              <w:left w:w="0" w:type="dxa"/>
              <w:bottom w:w="0" w:type="dxa"/>
              <w:right w:w="0" w:type="dxa"/>
            </w:tcMar>
            <w:vAlign w:val="center"/>
          </w:tcPr>
          <w:p w14:paraId="1924E117" w14:textId="1DE197F5"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65" w:type="pct"/>
            <w:shd w:val="clear" w:color="auto" w:fill="FFFFFF"/>
            <w:tcMar>
              <w:top w:w="0" w:type="dxa"/>
              <w:left w:w="0" w:type="dxa"/>
              <w:bottom w:w="0" w:type="dxa"/>
              <w:right w:w="0" w:type="dxa"/>
            </w:tcMar>
            <w:vAlign w:val="center"/>
          </w:tcPr>
          <w:p w14:paraId="36DBDE69" w14:textId="5222494C"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7</w:t>
            </w:r>
          </w:p>
        </w:tc>
        <w:tc>
          <w:tcPr>
            <w:tcW w:w="453" w:type="pct"/>
            <w:shd w:val="clear" w:color="auto" w:fill="FFFFFF"/>
            <w:tcMar>
              <w:top w:w="0" w:type="dxa"/>
              <w:left w:w="0" w:type="dxa"/>
              <w:bottom w:w="0" w:type="dxa"/>
              <w:right w:w="0" w:type="dxa"/>
            </w:tcMar>
            <w:vAlign w:val="center"/>
          </w:tcPr>
          <w:p w14:paraId="2BF03EAF" w14:textId="4F111FD4"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100.0</w:t>
            </w:r>
          </w:p>
        </w:tc>
        <w:tc>
          <w:tcPr>
            <w:tcW w:w="48" w:type="pct"/>
            <w:shd w:val="clear" w:color="auto" w:fill="FFFFFF"/>
            <w:tcMar>
              <w:top w:w="0" w:type="dxa"/>
              <w:left w:w="0" w:type="dxa"/>
              <w:bottom w:w="0" w:type="dxa"/>
              <w:right w:w="0" w:type="dxa"/>
            </w:tcMar>
            <w:vAlign w:val="center"/>
          </w:tcPr>
          <w:p w14:paraId="3AA17F90" w14:textId="7771A5EB"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65" w:type="pct"/>
            <w:shd w:val="clear" w:color="auto" w:fill="FFFFFF"/>
            <w:tcMar>
              <w:top w:w="0" w:type="dxa"/>
              <w:left w:w="0" w:type="dxa"/>
              <w:bottom w:w="0" w:type="dxa"/>
              <w:right w:w="0" w:type="dxa"/>
            </w:tcMar>
            <w:vAlign w:val="center"/>
          </w:tcPr>
          <w:p w14:paraId="60A795CC" w14:textId="7D82D5BD"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20</w:t>
            </w:r>
          </w:p>
        </w:tc>
        <w:tc>
          <w:tcPr>
            <w:tcW w:w="449" w:type="pct"/>
            <w:shd w:val="clear" w:color="auto" w:fill="FFFFFF"/>
            <w:tcMar>
              <w:top w:w="0" w:type="dxa"/>
              <w:left w:w="0" w:type="dxa"/>
              <w:bottom w:w="0" w:type="dxa"/>
              <w:right w:w="0" w:type="dxa"/>
            </w:tcMar>
            <w:vAlign w:val="center"/>
          </w:tcPr>
          <w:p w14:paraId="182A8ED3" w14:textId="25C7C01B" w:rsidR="002712A1" w:rsidRPr="00A407A7"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5.6</w:t>
            </w:r>
          </w:p>
        </w:tc>
      </w:tr>
      <w:tr w:rsidR="002712A1" w:rsidRPr="00617599" w14:paraId="0525FF83" w14:textId="77777777" w:rsidTr="002712A1">
        <w:trPr>
          <w:trHeight w:val="302"/>
        </w:trPr>
        <w:tc>
          <w:tcPr>
            <w:tcW w:w="1184" w:type="pct"/>
            <w:shd w:val="clear" w:color="auto" w:fill="FFFFFF"/>
            <w:tcMar>
              <w:top w:w="0" w:type="dxa"/>
              <w:left w:w="0" w:type="dxa"/>
              <w:bottom w:w="0" w:type="dxa"/>
              <w:right w:w="0" w:type="dxa"/>
            </w:tcMar>
            <w:vAlign w:val="center"/>
            <w:hideMark/>
          </w:tcPr>
          <w:p w14:paraId="6679F5EE" w14:textId="3DCEDC2D" w:rsidR="002712A1" w:rsidRPr="00AA3242" w:rsidRDefault="002712A1" w:rsidP="002712A1">
            <w:pPr>
              <w:spacing w:after="0" w:line="276" w:lineRule="auto"/>
              <w:rPr>
                <w:rFonts w:ascii="Arial" w:eastAsia="Times New Roman" w:hAnsi="Arial" w:cs="Arial"/>
                <w:sz w:val="16"/>
                <w:szCs w:val="16"/>
                <w:vertAlign w:val="superscript"/>
                <w:lang w:eastAsia="en-AU"/>
              </w:rPr>
            </w:pPr>
            <w:r w:rsidRPr="00617599">
              <w:rPr>
                <w:rFonts w:ascii="Arial" w:eastAsia="Times New Roman" w:hAnsi="Arial" w:cs="Arial"/>
                <w:sz w:val="16"/>
                <w:szCs w:val="16"/>
                <w:lang w:eastAsia="en-AU"/>
              </w:rPr>
              <w:t>Vitrified embryo</w:t>
            </w:r>
            <w:r>
              <w:rPr>
                <w:rFonts w:ascii="Arial" w:eastAsia="Times New Roman" w:hAnsi="Arial" w:cs="Arial"/>
                <w:sz w:val="16"/>
                <w:szCs w:val="16"/>
                <w:vertAlign w:val="superscript"/>
                <w:lang w:eastAsia="en-AU"/>
              </w:rPr>
              <w:t>(a)</w:t>
            </w:r>
          </w:p>
        </w:tc>
        <w:tc>
          <w:tcPr>
            <w:tcW w:w="465" w:type="pct"/>
            <w:shd w:val="clear" w:color="auto" w:fill="FFFFFF"/>
            <w:tcMar>
              <w:top w:w="0" w:type="dxa"/>
              <w:left w:w="0" w:type="dxa"/>
              <w:bottom w:w="0" w:type="dxa"/>
              <w:right w:w="0" w:type="dxa"/>
            </w:tcMar>
            <w:vAlign w:val="center"/>
          </w:tcPr>
          <w:p w14:paraId="6FDCA96A" w14:textId="586E5E29" w:rsidR="002712A1" w:rsidRPr="00A407A7" w:rsidRDefault="002712A1" w:rsidP="002712A1">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w:t>
            </w:r>
          </w:p>
        </w:tc>
        <w:tc>
          <w:tcPr>
            <w:tcW w:w="456" w:type="pct"/>
            <w:shd w:val="clear" w:color="auto" w:fill="FFFFFF"/>
            <w:tcMar>
              <w:top w:w="0" w:type="dxa"/>
              <w:left w:w="0" w:type="dxa"/>
              <w:bottom w:w="0" w:type="dxa"/>
              <w:right w:w="0" w:type="dxa"/>
            </w:tcMar>
            <w:vAlign w:val="center"/>
          </w:tcPr>
          <w:p w14:paraId="7F5C2E4E" w14:textId="52B3A539"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3.3</w:t>
            </w:r>
          </w:p>
        </w:tc>
        <w:tc>
          <w:tcPr>
            <w:tcW w:w="48" w:type="pct"/>
            <w:shd w:val="clear" w:color="auto" w:fill="FFFFFF"/>
            <w:tcMar>
              <w:top w:w="0" w:type="dxa"/>
              <w:left w:w="0" w:type="dxa"/>
              <w:bottom w:w="0" w:type="dxa"/>
              <w:right w:w="0" w:type="dxa"/>
            </w:tcMar>
            <w:vAlign w:val="center"/>
          </w:tcPr>
          <w:p w14:paraId="0E696EA2" w14:textId="1346A7E4"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65" w:type="pct"/>
            <w:shd w:val="clear" w:color="auto" w:fill="FFFFFF"/>
            <w:tcMar>
              <w:top w:w="0" w:type="dxa"/>
              <w:left w:w="0" w:type="dxa"/>
              <w:bottom w:w="0" w:type="dxa"/>
              <w:right w:w="0" w:type="dxa"/>
            </w:tcMar>
            <w:vAlign w:val="center"/>
          </w:tcPr>
          <w:p w14:paraId="7DC5FFE9" w14:textId="7336FB34"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3,862</w:t>
            </w:r>
          </w:p>
        </w:tc>
        <w:tc>
          <w:tcPr>
            <w:tcW w:w="454" w:type="pct"/>
            <w:shd w:val="clear" w:color="auto" w:fill="FFFFFF"/>
            <w:tcMar>
              <w:top w:w="0" w:type="dxa"/>
              <w:left w:w="0" w:type="dxa"/>
              <w:bottom w:w="0" w:type="dxa"/>
              <w:right w:w="0" w:type="dxa"/>
            </w:tcMar>
            <w:vAlign w:val="center"/>
          </w:tcPr>
          <w:p w14:paraId="2FF77D4A" w14:textId="58B90DCB"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96.8</w:t>
            </w:r>
          </w:p>
        </w:tc>
        <w:tc>
          <w:tcPr>
            <w:tcW w:w="48" w:type="pct"/>
            <w:shd w:val="clear" w:color="auto" w:fill="FFFFFF"/>
            <w:tcMar>
              <w:top w:w="0" w:type="dxa"/>
              <w:left w:w="0" w:type="dxa"/>
              <w:bottom w:w="0" w:type="dxa"/>
              <w:right w:w="0" w:type="dxa"/>
            </w:tcMar>
            <w:vAlign w:val="center"/>
          </w:tcPr>
          <w:p w14:paraId="448E4C3C" w14:textId="5086238B" w:rsidR="002712A1" w:rsidRPr="00D16CF3" w:rsidRDefault="002712A1" w:rsidP="002712A1">
            <w:pPr>
              <w:spacing w:after="0" w:line="276" w:lineRule="auto"/>
              <w:jc w:val="right"/>
              <w:rPr>
                <w:rFonts w:ascii="Arial" w:eastAsia="Times New Roman" w:hAnsi="Arial" w:cs="Arial"/>
                <w:sz w:val="16"/>
                <w:szCs w:val="16"/>
                <w:lang w:eastAsia="en-AU"/>
              </w:rPr>
            </w:pPr>
          </w:p>
        </w:tc>
        <w:tc>
          <w:tcPr>
            <w:tcW w:w="465" w:type="pct"/>
            <w:shd w:val="clear" w:color="auto" w:fill="FFFFFF"/>
            <w:tcMar>
              <w:top w:w="0" w:type="dxa"/>
              <w:left w:w="0" w:type="dxa"/>
              <w:bottom w:w="0" w:type="dxa"/>
              <w:right w:w="0" w:type="dxa"/>
            </w:tcMar>
            <w:vAlign w:val="center"/>
          </w:tcPr>
          <w:p w14:paraId="220F7729" w14:textId="7336DFB6"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0</w:t>
            </w:r>
          </w:p>
        </w:tc>
        <w:tc>
          <w:tcPr>
            <w:tcW w:w="453" w:type="pct"/>
            <w:shd w:val="clear" w:color="auto" w:fill="FFFFFF"/>
            <w:tcMar>
              <w:top w:w="0" w:type="dxa"/>
              <w:left w:w="0" w:type="dxa"/>
              <w:bottom w:w="0" w:type="dxa"/>
              <w:right w:w="0" w:type="dxa"/>
            </w:tcMar>
            <w:vAlign w:val="center"/>
          </w:tcPr>
          <w:p w14:paraId="465B1FCF" w14:textId="4A4CFDC3"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0.0</w:t>
            </w:r>
          </w:p>
        </w:tc>
        <w:tc>
          <w:tcPr>
            <w:tcW w:w="48" w:type="pct"/>
            <w:shd w:val="clear" w:color="auto" w:fill="FFFFFF"/>
            <w:tcMar>
              <w:top w:w="0" w:type="dxa"/>
              <w:left w:w="0" w:type="dxa"/>
              <w:bottom w:w="0" w:type="dxa"/>
              <w:right w:w="0" w:type="dxa"/>
            </w:tcMar>
            <w:vAlign w:val="center"/>
          </w:tcPr>
          <w:p w14:paraId="30E01FB7" w14:textId="5061FB84" w:rsidR="002712A1" w:rsidRPr="00D16CF3" w:rsidRDefault="002712A1" w:rsidP="002712A1">
            <w:pPr>
              <w:spacing w:after="0" w:line="276" w:lineRule="auto"/>
              <w:jc w:val="right"/>
              <w:rPr>
                <w:rFonts w:ascii="Arial" w:eastAsia="Times New Roman" w:hAnsi="Arial" w:cs="Arial"/>
                <w:sz w:val="16"/>
                <w:szCs w:val="16"/>
                <w:lang w:eastAsia="en-AU"/>
              </w:rPr>
            </w:pPr>
          </w:p>
        </w:tc>
        <w:tc>
          <w:tcPr>
            <w:tcW w:w="465" w:type="pct"/>
            <w:shd w:val="clear" w:color="auto" w:fill="FFFFFF"/>
            <w:tcMar>
              <w:top w:w="0" w:type="dxa"/>
              <w:left w:w="0" w:type="dxa"/>
              <w:bottom w:w="0" w:type="dxa"/>
              <w:right w:w="0" w:type="dxa"/>
            </w:tcMar>
            <w:vAlign w:val="center"/>
          </w:tcPr>
          <w:p w14:paraId="212D8F51" w14:textId="516FEA6C" w:rsidR="002712A1" w:rsidRPr="00D16CF3"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337</w:t>
            </w:r>
          </w:p>
        </w:tc>
        <w:tc>
          <w:tcPr>
            <w:tcW w:w="449" w:type="pct"/>
            <w:shd w:val="clear" w:color="auto" w:fill="FFFFFF"/>
            <w:tcMar>
              <w:top w:w="0" w:type="dxa"/>
              <w:left w:w="0" w:type="dxa"/>
              <w:bottom w:w="0" w:type="dxa"/>
              <w:right w:w="0" w:type="dxa"/>
            </w:tcMar>
            <w:vAlign w:val="center"/>
          </w:tcPr>
          <w:p w14:paraId="6BDFD61D" w14:textId="692879DE" w:rsidR="002712A1" w:rsidRPr="00A407A7" w:rsidRDefault="002712A1" w:rsidP="002712A1">
            <w:pPr>
              <w:spacing w:after="0" w:line="276" w:lineRule="auto"/>
              <w:jc w:val="right"/>
              <w:rPr>
                <w:rFonts w:ascii="Arial" w:eastAsia="Times New Roman" w:hAnsi="Arial" w:cs="Arial"/>
                <w:sz w:val="16"/>
                <w:szCs w:val="16"/>
                <w:lang w:eastAsia="en-AU"/>
              </w:rPr>
            </w:pPr>
            <w:r>
              <w:rPr>
                <w:rFonts w:ascii="Arial" w:hAnsi="Arial" w:cs="Arial"/>
                <w:sz w:val="16"/>
                <w:szCs w:val="16"/>
              </w:rPr>
              <w:t>94.4</w:t>
            </w:r>
          </w:p>
        </w:tc>
      </w:tr>
      <w:tr w:rsidR="002712A1" w:rsidRPr="00617599" w14:paraId="02C6A1F3" w14:textId="77777777" w:rsidTr="002712A1">
        <w:trPr>
          <w:trHeight w:val="302"/>
        </w:trPr>
        <w:tc>
          <w:tcPr>
            <w:tcW w:w="1184" w:type="pct"/>
            <w:tcBorders>
              <w:bottom w:val="single" w:sz="12" w:space="0" w:color="auto"/>
            </w:tcBorders>
            <w:shd w:val="clear" w:color="auto" w:fill="FFFFFF"/>
            <w:tcMar>
              <w:top w:w="0" w:type="dxa"/>
              <w:left w:w="0" w:type="dxa"/>
              <w:bottom w:w="0" w:type="dxa"/>
              <w:right w:w="0" w:type="dxa"/>
            </w:tcMar>
            <w:vAlign w:val="center"/>
            <w:hideMark/>
          </w:tcPr>
          <w:p w14:paraId="1DC80A80" w14:textId="77777777" w:rsidR="002712A1" w:rsidRPr="00617599" w:rsidRDefault="002712A1" w:rsidP="002712A1">
            <w:pPr>
              <w:spacing w:after="0" w:line="276" w:lineRule="auto"/>
              <w:rPr>
                <w:rFonts w:ascii="Arial" w:eastAsia="Times New Roman" w:hAnsi="Arial" w:cs="Arial"/>
                <w:b/>
                <w:sz w:val="16"/>
                <w:szCs w:val="16"/>
                <w:lang w:eastAsia="en-AU"/>
              </w:rPr>
            </w:pPr>
            <w:r w:rsidRPr="00617599">
              <w:rPr>
                <w:rFonts w:ascii="Arial" w:eastAsia="Times New Roman" w:hAnsi="Arial" w:cs="Arial"/>
                <w:b/>
                <w:sz w:val="16"/>
                <w:szCs w:val="16"/>
                <w:lang w:eastAsia="en-AU"/>
              </w:rPr>
              <w:t>Total</w:t>
            </w:r>
          </w:p>
        </w:tc>
        <w:tc>
          <w:tcPr>
            <w:tcW w:w="465" w:type="pct"/>
            <w:tcBorders>
              <w:bottom w:val="single" w:sz="12" w:space="0" w:color="auto"/>
            </w:tcBorders>
            <w:shd w:val="clear" w:color="auto" w:fill="FFFFFF"/>
            <w:tcMar>
              <w:top w:w="0" w:type="dxa"/>
              <w:left w:w="0" w:type="dxa"/>
              <w:bottom w:w="0" w:type="dxa"/>
              <w:right w:w="0" w:type="dxa"/>
            </w:tcMar>
            <w:vAlign w:val="center"/>
          </w:tcPr>
          <w:p w14:paraId="1E479609" w14:textId="4894396E" w:rsidR="002712A1" w:rsidRPr="00A407A7" w:rsidRDefault="002712A1" w:rsidP="002712A1">
            <w:pPr>
              <w:spacing w:after="0" w:line="276" w:lineRule="auto"/>
              <w:jc w:val="right"/>
              <w:rPr>
                <w:rFonts w:ascii="Arial" w:eastAsia="Times New Roman" w:hAnsi="Arial" w:cs="Arial"/>
                <w:b/>
                <w:sz w:val="16"/>
                <w:szCs w:val="16"/>
                <w:lang w:eastAsia="en-AU"/>
              </w:rPr>
            </w:pPr>
            <w:r>
              <w:rPr>
                <w:rFonts w:ascii="Arial" w:hAnsi="Arial" w:cs="Arial"/>
                <w:b/>
                <w:bCs/>
                <w:sz w:val="16"/>
                <w:szCs w:val="16"/>
              </w:rPr>
              <w:t>30</w:t>
            </w:r>
          </w:p>
        </w:tc>
        <w:tc>
          <w:tcPr>
            <w:tcW w:w="456" w:type="pct"/>
            <w:tcBorders>
              <w:bottom w:val="single" w:sz="12" w:space="0" w:color="auto"/>
            </w:tcBorders>
            <w:shd w:val="clear" w:color="auto" w:fill="FFFFFF"/>
            <w:tcMar>
              <w:top w:w="0" w:type="dxa"/>
              <w:left w:w="0" w:type="dxa"/>
              <w:bottom w:w="0" w:type="dxa"/>
              <w:right w:w="0" w:type="dxa"/>
            </w:tcMar>
            <w:vAlign w:val="center"/>
          </w:tcPr>
          <w:p w14:paraId="3B53A053" w14:textId="402974AE" w:rsidR="002712A1" w:rsidRPr="00A407A7" w:rsidRDefault="002712A1" w:rsidP="002712A1">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8" w:type="pct"/>
            <w:tcBorders>
              <w:bottom w:val="single" w:sz="12" w:space="0" w:color="auto"/>
            </w:tcBorders>
            <w:shd w:val="clear" w:color="auto" w:fill="FFFFFF"/>
            <w:tcMar>
              <w:top w:w="0" w:type="dxa"/>
              <w:left w:w="0" w:type="dxa"/>
              <w:bottom w:w="0" w:type="dxa"/>
              <w:right w:w="0" w:type="dxa"/>
            </w:tcMar>
            <w:vAlign w:val="center"/>
          </w:tcPr>
          <w:p w14:paraId="123A6DD1" w14:textId="28C54A1A" w:rsidR="002712A1" w:rsidRPr="00A407A7" w:rsidRDefault="002712A1" w:rsidP="002712A1">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65" w:type="pct"/>
            <w:tcBorders>
              <w:bottom w:val="single" w:sz="12" w:space="0" w:color="auto"/>
            </w:tcBorders>
            <w:shd w:val="clear" w:color="auto" w:fill="FFFFFF"/>
            <w:tcMar>
              <w:top w:w="0" w:type="dxa"/>
              <w:left w:w="0" w:type="dxa"/>
              <w:bottom w:w="0" w:type="dxa"/>
              <w:right w:w="0" w:type="dxa"/>
            </w:tcMar>
            <w:vAlign w:val="center"/>
          </w:tcPr>
          <w:p w14:paraId="6693A059" w14:textId="643C4CC9" w:rsidR="002712A1" w:rsidRPr="00A407A7" w:rsidRDefault="002712A1" w:rsidP="002712A1">
            <w:pPr>
              <w:spacing w:after="0" w:line="276" w:lineRule="auto"/>
              <w:jc w:val="right"/>
              <w:rPr>
                <w:rFonts w:ascii="Arial" w:eastAsia="Times New Roman" w:hAnsi="Arial" w:cs="Arial"/>
                <w:b/>
                <w:sz w:val="16"/>
                <w:szCs w:val="16"/>
                <w:lang w:eastAsia="en-AU"/>
              </w:rPr>
            </w:pPr>
            <w:r>
              <w:rPr>
                <w:rFonts w:ascii="Arial" w:hAnsi="Arial" w:cs="Arial"/>
                <w:b/>
                <w:bCs/>
                <w:sz w:val="16"/>
                <w:szCs w:val="16"/>
              </w:rPr>
              <w:t>3,988</w:t>
            </w:r>
          </w:p>
        </w:tc>
        <w:tc>
          <w:tcPr>
            <w:tcW w:w="454" w:type="pct"/>
            <w:tcBorders>
              <w:bottom w:val="single" w:sz="12" w:space="0" w:color="auto"/>
            </w:tcBorders>
            <w:shd w:val="clear" w:color="auto" w:fill="FFFFFF"/>
            <w:tcMar>
              <w:top w:w="0" w:type="dxa"/>
              <w:left w:w="0" w:type="dxa"/>
              <w:bottom w:w="0" w:type="dxa"/>
              <w:right w:w="0" w:type="dxa"/>
            </w:tcMar>
            <w:vAlign w:val="center"/>
          </w:tcPr>
          <w:p w14:paraId="487B63BA" w14:textId="4B79EF21" w:rsidR="002712A1" w:rsidRPr="00A407A7" w:rsidRDefault="002712A1" w:rsidP="002712A1">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8" w:type="pct"/>
            <w:tcBorders>
              <w:bottom w:val="single" w:sz="12" w:space="0" w:color="auto"/>
            </w:tcBorders>
            <w:shd w:val="clear" w:color="auto" w:fill="FFFFFF"/>
            <w:tcMar>
              <w:top w:w="0" w:type="dxa"/>
              <w:left w:w="0" w:type="dxa"/>
              <w:bottom w:w="0" w:type="dxa"/>
              <w:right w:w="0" w:type="dxa"/>
            </w:tcMar>
            <w:vAlign w:val="center"/>
          </w:tcPr>
          <w:p w14:paraId="40ADB7E7" w14:textId="52153719" w:rsidR="002712A1" w:rsidRPr="00A407A7" w:rsidRDefault="002712A1" w:rsidP="002712A1">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65" w:type="pct"/>
            <w:tcBorders>
              <w:bottom w:val="single" w:sz="12" w:space="0" w:color="auto"/>
            </w:tcBorders>
            <w:shd w:val="clear" w:color="auto" w:fill="FFFFFF"/>
            <w:tcMar>
              <w:top w:w="0" w:type="dxa"/>
              <w:left w:w="0" w:type="dxa"/>
              <w:bottom w:w="0" w:type="dxa"/>
              <w:right w:w="0" w:type="dxa"/>
            </w:tcMar>
            <w:vAlign w:val="center"/>
          </w:tcPr>
          <w:p w14:paraId="6374F0E2" w14:textId="2AE95645" w:rsidR="002712A1" w:rsidRPr="00A407A7" w:rsidRDefault="002712A1" w:rsidP="002712A1">
            <w:pPr>
              <w:spacing w:after="0" w:line="276" w:lineRule="auto"/>
              <w:jc w:val="right"/>
              <w:rPr>
                <w:rFonts w:ascii="Arial" w:eastAsia="Times New Roman" w:hAnsi="Arial" w:cs="Arial"/>
                <w:b/>
                <w:sz w:val="16"/>
                <w:szCs w:val="16"/>
                <w:lang w:eastAsia="en-AU"/>
              </w:rPr>
            </w:pPr>
            <w:r>
              <w:rPr>
                <w:rFonts w:ascii="Arial" w:hAnsi="Arial" w:cs="Arial"/>
                <w:b/>
                <w:bCs/>
                <w:sz w:val="16"/>
                <w:szCs w:val="16"/>
              </w:rPr>
              <w:t>7</w:t>
            </w:r>
          </w:p>
        </w:tc>
        <w:tc>
          <w:tcPr>
            <w:tcW w:w="453" w:type="pct"/>
            <w:tcBorders>
              <w:bottom w:val="single" w:sz="12" w:space="0" w:color="auto"/>
            </w:tcBorders>
            <w:shd w:val="clear" w:color="auto" w:fill="FFFFFF"/>
            <w:tcMar>
              <w:top w:w="0" w:type="dxa"/>
              <w:left w:w="0" w:type="dxa"/>
              <w:bottom w:w="0" w:type="dxa"/>
              <w:right w:w="0" w:type="dxa"/>
            </w:tcMar>
            <w:vAlign w:val="center"/>
          </w:tcPr>
          <w:p w14:paraId="1849F162" w14:textId="7FEAD46E" w:rsidR="002712A1" w:rsidRPr="00A407A7" w:rsidRDefault="002712A1" w:rsidP="002712A1">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8" w:type="pct"/>
            <w:tcBorders>
              <w:bottom w:val="single" w:sz="12" w:space="0" w:color="auto"/>
            </w:tcBorders>
            <w:shd w:val="clear" w:color="auto" w:fill="FFFFFF"/>
            <w:tcMar>
              <w:top w:w="0" w:type="dxa"/>
              <w:left w:w="0" w:type="dxa"/>
              <w:bottom w:w="0" w:type="dxa"/>
              <w:right w:w="0" w:type="dxa"/>
            </w:tcMar>
            <w:vAlign w:val="center"/>
          </w:tcPr>
          <w:p w14:paraId="67BE09ED" w14:textId="52577EA6" w:rsidR="002712A1" w:rsidRPr="00A407A7" w:rsidRDefault="002712A1" w:rsidP="002712A1">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65" w:type="pct"/>
            <w:tcBorders>
              <w:bottom w:val="single" w:sz="12" w:space="0" w:color="auto"/>
            </w:tcBorders>
            <w:shd w:val="clear" w:color="auto" w:fill="FFFFFF"/>
            <w:tcMar>
              <w:top w:w="0" w:type="dxa"/>
              <w:left w:w="0" w:type="dxa"/>
              <w:bottom w:w="0" w:type="dxa"/>
              <w:right w:w="0" w:type="dxa"/>
            </w:tcMar>
            <w:vAlign w:val="center"/>
          </w:tcPr>
          <w:p w14:paraId="008FB453" w14:textId="0F72D16D" w:rsidR="002712A1" w:rsidRPr="00A407A7" w:rsidRDefault="002712A1" w:rsidP="002712A1">
            <w:pPr>
              <w:spacing w:after="0" w:line="276" w:lineRule="auto"/>
              <w:jc w:val="right"/>
              <w:rPr>
                <w:rFonts w:ascii="Arial" w:eastAsia="Times New Roman" w:hAnsi="Arial" w:cs="Arial"/>
                <w:b/>
                <w:sz w:val="16"/>
                <w:szCs w:val="16"/>
                <w:lang w:eastAsia="en-AU"/>
              </w:rPr>
            </w:pPr>
            <w:r>
              <w:rPr>
                <w:rFonts w:ascii="Arial" w:hAnsi="Arial" w:cs="Arial"/>
                <w:b/>
                <w:bCs/>
                <w:sz w:val="16"/>
                <w:szCs w:val="16"/>
              </w:rPr>
              <w:t>357</w:t>
            </w:r>
          </w:p>
        </w:tc>
        <w:tc>
          <w:tcPr>
            <w:tcW w:w="449" w:type="pct"/>
            <w:tcBorders>
              <w:bottom w:val="single" w:sz="12" w:space="0" w:color="auto"/>
            </w:tcBorders>
            <w:shd w:val="clear" w:color="auto" w:fill="FFFFFF"/>
            <w:tcMar>
              <w:top w:w="0" w:type="dxa"/>
              <w:left w:w="0" w:type="dxa"/>
              <w:bottom w:w="0" w:type="dxa"/>
              <w:right w:w="0" w:type="dxa"/>
            </w:tcMar>
            <w:vAlign w:val="center"/>
          </w:tcPr>
          <w:p w14:paraId="240584DC" w14:textId="198A3B63" w:rsidR="002712A1" w:rsidRPr="00A407A7" w:rsidRDefault="002712A1" w:rsidP="002712A1">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r>
    </w:tbl>
    <w:p w14:paraId="193FA4D5" w14:textId="77777777" w:rsidR="009303CD" w:rsidRPr="00617599" w:rsidRDefault="009303CD" w:rsidP="00814AD1">
      <w:pPr>
        <w:pStyle w:val="TableFigNotesnumbered"/>
        <w:numPr>
          <w:ilvl w:val="0"/>
          <w:numId w:val="7"/>
        </w:numPr>
        <w:spacing w:before="0" w:line="240" w:lineRule="auto"/>
        <w:ind w:left="284" w:hanging="284"/>
        <w:rPr>
          <w:rFonts w:cs="Arial"/>
        </w:rPr>
      </w:pPr>
      <w:r w:rsidRPr="00617599">
        <w:rPr>
          <w:rFonts w:cs="Arial"/>
        </w:rPr>
        <w:t>Ultra-rapid cryopreservation.</w:t>
      </w:r>
      <w:bookmarkStart w:id="261" w:name="_Toc453057394"/>
      <w:bookmarkStart w:id="262" w:name="_Toc453055609"/>
      <w:bookmarkStart w:id="263" w:name="_Toc453054835"/>
    </w:p>
    <w:p w14:paraId="39A34E65" w14:textId="14624A4D" w:rsidR="009303CD" w:rsidRDefault="009303CD" w:rsidP="009303CD">
      <w:pPr>
        <w:pStyle w:val="Heading3"/>
        <w:rPr>
          <w:rFonts w:cs="Arial"/>
          <w:b w:val="0"/>
          <w:bCs w:val="0"/>
        </w:rPr>
      </w:pPr>
      <w:r w:rsidRPr="00617599">
        <w:rPr>
          <w:rFonts w:cs="Arial"/>
          <w:b w:val="0"/>
          <w:bCs w:val="0"/>
          <w:highlight w:val="yellow"/>
        </w:rPr>
        <w:br w:type="page"/>
      </w:r>
    </w:p>
    <w:p w14:paraId="490344B5" w14:textId="77777777" w:rsidR="009303CD" w:rsidRPr="00617599" w:rsidRDefault="009303CD" w:rsidP="009303CD">
      <w:pPr>
        <w:pStyle w:val="Heading2"/>
        <w:rPr>
          <w:rFonts w:cs="Arial"/>
        </w:rPr>
      </w:pPr>
      <w:bookmarkStart w:id="264" w:name="_Toc453061465"/>
      <w:r w:rsidRPr="00617599">
        <w:rPr>
          <w:rFonts w:cs="Arial"/>
        </w:rPr>
        <w:lastRenderedPageBreak/>
        <w:t>3.2 Autologous fresh cycles</w:t>
      </w:r>
      <w:bookmarkEnd w:id="264"/>
    </w:p>
    <w:p w14:paraId="1D6FA4FB" w14:textId="4386AA44" w:rsidR="009303CD" w:rsidRPr="00617599" w:rsidRDefault="009303CD" w:rsidP="009303CD">
      <w:pPr>
        <w:pStyle w:val="Heading3"/>
        <w:rPr>
          <w:rFonts w:eastAsia="Times New Roman" w:cs="Arial"/>
        </w:rPr>
      </w:pPr>
      <w:bookmarkStart w:id="265" w:name="_Toc453061466"/>
      <w:bookmarkStart w:id="266" w:name="_Toc453059063"/>
      <w:r w:rsidRPr="00617599">
        <w:rPr>
          <w:rFonts w:eastAsia="Times New Roman" w:cs="Arial"/>
        </w:rPr>
        <w:t xml:space="preserve">Clinical pregnancies and live </w:t>
      </w:r>
      <w:r w:rsidR="00C736CE">
        <w:rPr>
          <w:rFonts w:eastAsia="Times New Roman" w:cs="Arial"/>
        </w:rPr>
        <w:t>births</w:t>
      </w:r>
      <w:r w:rsidRPr="00617599">
        <w:rPr>
          <w:rFonts w:eastAsia="Times New Roman" w:cs="Arial"/>
        </w:rPr>
        <w:t xml:space="preserve"> from autologous fresh cycles by women’s age</w:t>
      </w:r>
      <w:bookmarkEnd w:id="261"/>
      <w:bookmarkEnd w:id="262"/>
      <w:bookmarkEnd w:id="263"/>
      <w:bookmarkEnd w:id="265"/>
      <w:bookmarkEnd w:id="266"/>
    </w:p>
    <w:p w14:paraId="5F18E0C3" w14:textId="3321CF66" w:rsidR="009303CD" w:rsidRDefault="009303CD" w:rsidP="009303CD">
      <w:pPr>
        <w:pStyle w:val="NPESUbodytext"/>
        <w:rPr>
          <w:rFonts w:cs="Arial"/>
          <w:lang w:eastAsia="en-AU"/>
        </w:rPr>
      </w:pPr>
      <w:r w:rsidRPr="00617599">
        <w:rPr>
          <w:rFonts w:cs="Arial"/>
          <w:lang w:eastAsia="en-AU"/>
        </w:rPr>
        <w:t xml:space="preserve">The </w:t>
      </w:r>
      <w:r w:rsidRPr="00E47D7D">
        <w:rPr>
          <w:rFonts w:cs="Arial"/>
          <w:lang w:eastAsia="en-AU"/>
        </w:rPr>
        <w:t xml:space="preserve">highest live </w:t>
      </w:r>
      <w:r w:rsidR="00EC42AE" w:rsidRPr="00E47D7D">
        <w:rPr>
          <w:rFonts w:cs="Arial"/>
          <w:lang w:eastAsia="en-AU"/>
        </w:rPr>
        <w:t>birth</w:t>
      </w:r>
      <w:r w:rsidRPr="00E47D7D">
        <w:rPr>
          <w:rFonts w:cs="Arial"/>
          <w:lang w:eastAsia="en-AU"/>
        </w:rPr>
        <w:t xml:space="preserve"> rate per embryo transfer cycle was in women aged </w:t>
      </w:r>
      <w:r w:rsidR="00F226A8">
        <w:rPr>
          <w:rFonts w:cs="Arial"/>
          <w:lang w:eastAsia="en-AU"/>
        </w:rPr>
        <w:t>less than 30</w:t>
      </w:r>
      <w:r w:rsidRPr="00E47D7D">
        <w:rPr>
          <w:rFonts w:cs="Arial"/>
          <w:lang w:eastAsia="en-AU"/>
        </w:rPr>
        <w:t xml:space="preserve"> years (</w:t>
      </w:r>
      <w:r w:rsidR="00CD2A7E" w:rsidRPr="00E47D7D">
        <w:rPr>
          <w:rFonts w:cs="Arial"/>
          <w:lang w:eastAsia="en-AU"/>
        </w:rPr>
        <w:t>4</w:t>
      </w:r>
      <w:r w:rsidR="00F226A8">
        <w:rPr>
          <w:rFonts w:cs="Arial"/>
          <w:lang w:eastAsia="en-AU"/>
        </w:rPr>
        <w:t>2.9</w:t>
      </w:r>
      <w:r w:rsidRPr="00E47D7D">
        <w:rPr>
          <w:rFonts w:cs="Arial"/>
          <w:lang w:eastAsia="en-AU"/>
        </w:rPr>
        <w:t>%).</w:t>
      </w:r>
      <w:r w:rsidR="0049037E">
        <w:rPr>
          <w:rFonts w:cs="Arial"/>
          <w:lang w:eastAsia="en-AU"/>
        </w:rPr>
        <w:t xml:space="preserve"> </w:t>
      </w:r>
      <w:r w:rsidR="0049037E" w:rsidRPr="00617599">
        <w:rPr>
          <w:rFonts w:cs="Arial"/>
          <w:lang w:eastAsia="en-AU"/>
        </w:rPr>
        <w:t xml:space="preserve">The overall live </w:t>
      </w:r>
      <w:r w:rsidR="0049037E">
        <w:rPr>
          <w:rFonts w:cs="Arial"/>
          <w:lang w:eastAsia="en-AU"/>
        </w:rPr>
        <w:t>birth</w:t>
      </w:r>
      <w:r w:rsidR="0049037E" w:rsidRPr="00617599">
        <w:rPr>
          <w:rFonts w:cs="Arial"/>
          <w:lang w:eastAsia="en-AU"/>
        </w:rPr>
        <w:t xml:space="preserve"> rate per autologous fresh embryo transfer cycle was </w:t>
      </w:r>
      <w:r w:rsidR="00F226A8">
        <w:rPr>
          <w:rFonts w:cs="Arial"/>
          <w:lang w:eastAsia="en-AU"/>
        </w:rPr>
        <w:t>29</w:t>
      </w:r>
      <w:r w:rsidR="0049037E" w:rsidRPr="00617599">
        <w:rPr>
          <w:rFonts w:cs="Arial"/>
          <w:lang w:eastAsia="en-AU"/>
        </w:rPr>
        <w:t>%</w:t>
      </w:r>
      <w:r w:rsidR="0049037E">
        <w:rPr>
          <w:rFonts w:cs="Arial"/>
          <w:lang w:eastAsia="en-AU"/>
        </w:rPr>
        <w:t xml:space="preserve"> and the overall live birth rate per initiated autologous fresh cycle (excluding freeze-all) was 2</w:t>
      </w:r>
      <w:r w:rsidR="00F226A8">
        <w:rPr>
          <w:rFonts w:cs="Arial"/>
          <w:lang w:eastAsia="en-AU"/>
        </w:rPr>
        <w:t>0.9</w:t>
      </w:r>
      <w:r w:rsidR="0049037E">
        <w:rPr>
          <w:rFonts w:cs="Arial"/>
          <w:lang w:eastAsia="en-AU"/>
        </w:rPr>
        <w:t xml:space="preserve">% </w:t>
      </w:r>
      <w:r w:rsidRPr="00617599">
        <w:rPr>
          <w:rFonts w:cs="Arial"/>
          <w:lang w:eastAsia="en-AU"/>
        </w:rPr>
        <w:t>(Table</w:t>
      </w:r>
      <w:r w:rsidR="00FD79B7">
        <w:rPr>
          <w:rFonts w:cs="Arial"/>
          <w:lang w:eastAsia="en-AU"/>
        </w:rPr>
        <w:t xml:space="preserve"> 11</w:t>
      </w:r>
      <w:r w:rsidRPr="00617599">
        <w:rPr>
          <w:rFonts w:cs="Arial"/>
          <w:lang w:eastAsia="en-AU"/>
        </w:rPr>
        <w:t>).</w:t>
      </w:r>
    </w:p>
    <w:tbl>
      <w:tblPr>
        <w:tblW w:w="9325" w:type="dxa"/>
        <w:tblCellMar>
          <w:top w:w="17" w:type="dxa"/>
          <w:left w:w="17" w:type="dxa"/>
          <w:bottom w:w="17" w:type="dxa"/>
          <w:right w:w="17" w:type="dxa"/>
        </w:tblCellMar>
        <w:tblLook w:val="04A0" w:firstRow="1" w:lastRow="0" w:firstColumn="1" w:lastColumn="0" w:noHBand="0" w:noVBand="1"/>
      </w:tblPr>
      <w:tblGrid>
        <w:gridCol w:w="4540"/>
        <w:gridCol w:w="760"/>
        <w:gridCol w:w="835"/>
        <w:gridCol w:w="835"/>
        <w:gridCol w:w="760"/>
        <w:gridCol w:w="760"/>
        <w:gridCol w:w="835"/>
      </w:tblGrid>
      <w:tr w:rsidR="002D7070" w:rsidRPr="002D7070" w14:paraId="61B88B7D" w14:textId="77777777" w:rsidTr="00F85C3F">
        <w:trPr>
          <w:trHeight w:val="240"/>
        </w:trPr>
        <w:tc>
          <w:tcPr>
            <w:tcW w:w="9325" w:type="dxa"/>
            <w:gridSpan w:val="7"/>
            <w:tcBorders>
              <w:top w:val="nil"/>
              <w:left w:val="nil"/>
              <w:bottom w:val="single" w:sz="12" w:space="0" w:color="auto"/>
              <w:right w:val="nil"/>
            </w:tcBorders>
            <w:shd w:val="clear" w:color="auto" w:fill="auto"/>
            <w:noWrap/>
            <w:vAlign w:val="center"/>
            <w:hideMark/>
          </w:tcPr>
          <w:p w14:paraId="4572D740" w14:textId="1A6BB848" w:rsidR="002D7070" w:rsidRPr="00584635" w:rsidRDefault="002D7070" w:rsidP="00CC6C74">
            <w:pPr>
              <w:pStyle w:val="Caption"/>
              <w:rPr>
                <w:rFonts w:eastAsia="Times New Roman" w:cs="Arial"/>
                <w:color w:val="000000"/>
                <w:szCs w:val="20"/>
                <w:lang w:eastAsia="en-AU"/>
              </w:rPr>
            </w:pPr>
            <w:bookmarkStart w:id="267" w:name="_Toc158026560"/>
            <w:r w:rsidRPr="00360E75">
              <w:rPr>
                <w:rFonts w:eastAsia="Times New Roman"/>
                <w:lang w:eastAsia="en-AU"/>
              </w:rPr>
              <w:t>Table</w:t>
            </w:r>
            <w:r w:rsidR="00F400A5">
              <w:rPr>
                <w:rFonts w:eastAsia="Times New Roman"/>
                <w:lang w:eastAsia="en-AU"/>
              </w:rPr>
              <w:t xml:space="preserve"> 11</w:t>
            </w:r>
            <w:r w:rsidRPr="00360E75">
              <w:rPr>
                <w:rFonts w:eastAsia="Times New Roman"/>
                <w:lang w:eastAsia="en-AU"/>
              </w:rPr>
              <w:t xml:space="preserve">: Outcomes of autologous fresh cycles by women's age group, </w:t>
            </w:r>
            <w:r w:rsidR="00A501CE">
              <w:rPr>
                <w:rFonts w:eastAsia="Times New Roman"/>
                <w:lang w:eastAsia="en-AU"/>
              </w:rPr>
              <w:t>New Zealand, 20</w:t>
            </w:r>
            <w:r w:rsidR="00FE155D">
              <w:rPr>
                <w:rFonts w:eastAsia="Times New Roman"/>
                <w:lang w:eastAsia="en-AU"/>
              </w:rPr>
              <w:t>2</w:t>
            </w:r>
            <w:r w:rsidR="00F13096">
              <w:rPr>
                <w:rFonts w:eastAsia="Times New Roman"/>
                <w:lang w:eastAsia="en-AU"/>
              </w:rPr>
              <w:t>1</w:t>
            </w:r>
            <w:bookmarkEnd w:id="267"/>
            <w:r w:rsidR="00A501CE">
              <w:rPr>
                <w:rFonts w:eastAsia="Times New Roman"/>
                <w:lang w:eastAsia="en-AU"/>
              </w:rPr>
              <w:t xml:space="preserve"> </w:t>
            </w:r>
          </w:p>
        </w:tc>
      </w:tr>
      <w:tr w:rsidR="002D7070" w:rsidRPr="002D7070" w14:paraId="5CCC6E80" w14:textId="77777777" w:rsidTr="00F85C3F">
        <w:trPr>
          <w:trHeight w:val="225"/>
        </w:trPr>
        <w:tc>
          <w:tcPr>
            <w:tcW w:w="4540" w:type="dxa"/>
            <w:tcBorders>
              <w:top w:val="single" w:sz="12" w:space="0" w:color="auto"/>
              <w:left w:val="nil"/>
              <w:bottom w:val="nil"/>
              <w:right w:val="nil"/>
            </w:tcBorders>
            <w:shd w:val="clear" w:color="auto" w:fill="auto"/>
            <w:noWrap/>
            <w:vAlign w:val="center"/>
            <w:hideMark/>
          </w:tcPr>
          <w:p w14:paraId="7FCC210F" w14:textId="77777777" w:rsidR="002D7070" w:rsidRPr="002D7070" w:rsidRDefault="002D7070" w:rsidP="00360E75">
            <w:pPr>
              <w:spacing w:after="0" w:line="276" w:lineRule="auto"/>
              <w:rPr>
                <w:rFonts w:ascii="Arial" w:eastAsia="Times New Roman" w:hAnsi="Arial" w:cs="Arial"/>
                <w:b/>
                <w:bCs/>
                <w:color w:val="000000"/>
                <w:sz w:val="16"/>
                <w:szCs w:val="16"/>
                <w:lang w:eastAsia="en-AU"/>
              </w:rPr>
            </w:pPr>
            <w:r w:rsidRPr="002D7070">
              <w:rPr>
                <w:rFonts w:ascii="Arial" w:eastAsia="Times New Roman" w:hAnsi="Arial" w:cs="Arial"/>
                <w:b/>
                <w:bCs/>
                <w:color w:val="000000"/>
                <w:sz w:val="16"/>
                <w:szCs w:val="16"/>
                <w:lang w:eastAsia="en-AU"/>
              </w:rPr>
              <w:t> </w:t>
            </w:r>
          </w:p>
        </w:tc>
        <w:tc>
          <w:tcPr>
            <w:tcW w:w="4785" w:type="dxa"/>
            <w:gridSpan w:val="6"/>
            <w:tcBorders>
              <w:top w:val="single" w:sz="12" w:space="0" w:color="auto"/>
              <w:left w:val="nil"/>
              <w:bottom w:val="single" w:sz="4" w:space="0" w:color="auto"/>
              <w:right w:val="nil"/>
            </w:tcBorders>
            <w:shd w:val="clear" w:color="auto" w:fill="auto"/>
            <w:noWrap/>
            <w:vAlign w:val="center"/>
            <w:hideMark/>
          </w:tcPr>
          <w:p w14:paraId="551D36CE" w14:textId="1D2A3C86" w:rsidR="002D7070" w:rsidRPr="002D7070" w:rsidRDefault="002D7070" w:rsidP="00360E75">
            <w:pPr>
              <w:spacing w:after="0" w:line="276" w:lineRule="auto"/>
              <w:jc w:val="center"/>
              <w:rPr>
                <w:rFonts w:ascii="Arial" w:eastAsia="Times New Roman" w:hAnsi="Arial" w:cs="Arial"/>
                <w:b/>
                <w:bCs/>
                <w:color w:val="000000"/>
                <w:sz w:val="16"/>
                <w:szCs w:val="16"/>
                <w:lang w:eastAsia="en-AU"/>
              </w:rPr>
            </w:pPr>
            <w:r w:rsidRPr="002D7070">
              <w:rPr>
                <w:rFonts w:ascii="Arial" w:eastAsia="Times New Roman" w:hAnsi="Arial" w:cs="Arial"/>
                <w:b/>
                <w:bCs/>
                <w:color w:val="000000"/>
                <w:sz w:val="16"/>
                <w:szCs w:val="16"/>
                <w:lang w:eastAsia="en-AU"/>
              </w:rPr>
              <w:t>Age group (years)</w:t>
            </w:r>
            <w:r w:rsidRPr="00617599">
              <w:rPr>
                <w:rFonts w:ascii="Arial" w:eastAsia="Times New Roman" w:hAnsi="Arial" w:cs="Arial"/>
                <w:b/>
                <w:bCs/>
                <w:sz w:val="16"/>
                <w:szCs w:val="16"/>
                <w:vertAlign w:val="superscript"/>
                <w:lang w:eastAsia="en-AU"/>
              </w:rPr>
              <w:t xml:space="preserve"> (a)</w:t>
            </w:r>
          </w:p>
        </w:tc>
      </w:tr>
      <w:tr w:rsidR="002D7070" w:rsidRPr="002D7070" w14:paraId="0F860324" w14:textId="77777777" w:rsidTr="00F85C3F">
        <w:trPr>
          <w:trHeight w:val="225"/>
        </w:trPr>
        <w:tc>
          <w:tcPr>
            <w:tcW w:w="4540" w:type="dxa"/>
            <w:tcBorders>
              <w:top w:val="nil"/>
              <w:left w:val="nil"/>
              <w:bottom w:val="single" w:sz="4" w:space="0" w:color="auto"/>
              <w:right w:val="nil"/>
            </w:tcBorders>
            <w:shd w:val="clear" w:color="auto" w:fill="auto"/>
            <w:noWrap/>
            <w:vAlign w:val="center"/>
            <w:hideMark/>
          </w:tcPr>
          <w:p w14:paraId="29B81365" w14:textId="77777777" w:rsidR="002D7070" w:rsidRPr="002D7070" w:rsidRDefault="002D7070" w:rsidP="00360E75">
            <w:pPr>
              <w:spacing w:after="0" w:line="276" w:lineRule="auto"/>
              <w:rPr>
                <w:rFonts w:ascii="Arial" w:eastAsia="Times New Roman" w:hAnsi="Arial" w:cs="Arial"/>
                <w:b/>
                <w:bCs/>
                <w:color w:val="000000"/>
                <w:sz w:val="16"/>
                <w:szCs w:val="16"/>
                <w:lang w:eastAsia="en-AU"/>
              </w:rPr>
            </w:pPr>
            <w:r w:rsidRPr="002D7070">
              <w:rPr>
                <w:rFonts w:ascii="Arial" w:eastAsia="Times New Roman" w:hAnsi="Arial" w:cs="Arial"/>
                <w:b/>
                <w:bCs/>
                <w:color w:val="000000"/>
                <w:sz w:val="16"/>
                <w:szCs w:val="16"/>
                <w:lang w:eastAsia="en-AU"/>
              </w:rPr>
              <w:t>Stage/outcome of treatment</w:t>
            </w:r>
          </w:p>
        </w:tc>
        <w:tc>
          <w:tcPr>
            <w:tcW w:w="760" w:type="dxa"/>
            <w:tcBorders>
              <w:top w:val="nil"/>
              <w:left w:val="nil"/>
              <w:bottom w:val="single" w:sz="4" w:space="0" w:color="auto"/>
              <w:right w:val="nil"/>
            </w:tcBorders>
            <w:shd w:val="clear" w:color="auto" w:fill="auto"/>
            <w:vAlign w:val="center"/>
            <w:hideMark/>
          </w:tcPr>
          <w:p w14:paraId="15CCDCF1" w14:textId="400EA5D7" w:rsidR="002D7070" w:rsidRPr="002D7070" w:rsidRDefault="002D7070" w:rsidP="00360E75">
            <w:pPr>
              <w:spacing w:after="0" w:line="276" w:lineRule="auto"/>
              <w:jc w:val="right"/>
              <w:rPr>
                <w:rFonts w:ascii="Arial" w:eastAsia="Times New Roman" w:hAnsi="Arial" w:cs="Arial"/>
                <w:b/>
                <w:bCs/>
                <w:color w:val="000000"/>
                <w:sz w:val="16"/>
                <w:szCs w:val="16"/>
                <w:lang w:eastAsia="en-AU"/>
              </w:rPr>
            </w:pPr>
            <w:r w:rsidRPr="002D7070">
              <w:rPr>
                <w:rFonts w:ascii="Arial" w:eastAsia="Times New Roman" w:hAnsi="Arial" w:cs="Arial"/>
                <w:b/>
                <w:bCs/>
                <w:color w:val="000000"/>
                <w:sz w:val="16"/>
                <w:szCs w:val="16"/>
                <w:lang w:eastAsia="en-AU"/>
              </w:rPr>
              <w:t>&lt;</w:t>
            </w:r>
            <w:r w:rsidR="00E75E51">
              <w:rPr>
                <w:rFonts w:ascii="Arial" w:eastAsia="Times New Roman" w:hAnsi="Arial" w:cs="Arial"/>
                <w:b/>
                <w:bCs/>
                <w:color w:val="000000"/>
                <w:sz w:val="16"/>
                <w:szCs w:val="16"/>
                <w:lang w:eastAsia="en-AU"/>
              </w:rPr>
              <w:t xml:space="preserve"> </w:t>
            </w:r>
            <w:r w:rsidRPr="002D7070">
              <w:rPr>
                <w:rFonts w:ascii="Arial" w:eastAsia="Times New Roman" w:hAnsi="Arial" w:cs="Arial"/>
                <w:b/>
                <w:bCs/>
                <w:color w:val="000000"/>
                <w:sz w:val="16"/>
                <w:szCs w:val="16"/>
                <w:lang w:eastAsia="en-AU"/>
              </w:rPr>
              <w:t>30</w:t>
            </w:r>
          </w:p>
        </w:tc>
        <w:tc>
          <w:tcPr>
            <w:tcW w:w="835" w:type="dxa"/>
            <w:tcBorders>
              <w:top w:val="nil"/>
              <w:left w:val="nil"/>
              <w:bottom w:val="single" w:sz="4" w:space="0" w:color="auto"/>
              <w:right w:val="nil"/>
            </w:tcBorders>
            <w:shd w:val="clear" w:color="auto" w:fill="auto"/>
            <w:vAlign w:val="center"/>
            <w:hideMark/>
          </w:tcPr>
          <w:p w14:paraId="6F44B575" w14:textId="77777777" w:rsidR="002D7070" w:rsidRPr="002D7070" w:rsidRDefault="002D7070" w:rsidP="00360E75">
            <w:pPr>
              <w:spacing w:after="0" w:line="276" w:lineRule="auto"/>
              <w:jc w:val="right"/>
              <w:rPr>
                <w:rFonts w:ascii="Arial" w:eastAsia="Times New Roman" w:hAnsi="Arial" w:cs="Arial"/>
                <w:b/>
                <w:bCs/>
                <w:color w:val="000000"/>
                <w:sz w:val="16"/>
                <w:szCs w:val="16"/>
                <w:lang w:eastAsia="en-AU"/>
              </w:rPr>
            </w:pPr>
            <w:r w:rsidRPr="002D7070">
              <w:rPr>
                <w:rFonts w:ascii="Arial" w:eastAsia="Times New Roman" w:hAnsi="Arial" w:cs="Arial"/>
                <w:b/>
                <w:bCs/>
                <w:color w:val="000000"/>
                <w:sz w:val="16"/>
                <w:szCs w:val="16"/>
                <w:lang w:eastAsia="en-AU"/>
              </w:rPr>
              <w:t>30-34</w:t>
            </w:r>
          </w:p>
        </w:tc>
        <w:tc>
          <w:tcPr>
            <w:tcW w:w="835" w:type="dxa"/>
            <w:tcBorders>
              <w:top w:val="nil"/>
              <w:left w:val="nil"/>
              <w:bottom w:val="single" w:sz="4" w:space="0" w:color="auto"/>
              <w:right w:val="nil"/>
            </w:tcBorders>
            <w:shd w:val="clear" w:color="auto" w:fill="auto"/>
            <w:vAlign w:val="center"/>
            <w:hideMark/>
          </w:tcPr>
          <w:p w14:paraId="39F23447" w14:textId="77777777" w:rsidR="002D7070" w:rsidRPr="002D7070" w:rsidRDefault="002D7070" w:rsidP="00360E75">
            <w:pPr>
              <w:spacing w:after="0" w:line="276" w:lineRule="auto"/>
              <w:jc w:val="right"/>
              <w:rPr>
                <w:rFonts w:ascii="Arial" w:eastAsia="Times New Roman" w:hAnsi="Arial" w:cs="Arial"/>
                <w:b/>
                <w:bCs/>
                <w:color w:val="000000"/>
                <w:sz w:val="16"/>
                <w:szCs w:val="16"/>
                <w:lang w:eastAsia="en-AU"/>
              </w:rPr>
            </w:pPr>
            <w:r w:rsidRPr="002D7070">
              <w:rPr>
                <w:rFonts w:ascii="Arial" w:eastAsia="Times New Roman" w:hAnsi="Arial" w:cs="Arial"/>
                <w:b/>
                <w:bCs/>
                <w:color w:val="000000"/>
                <w:sz w:val="16"/>
                <w:szCs w:val="16"/>
                <w:lang w:eastAsia="en-AU"/>
              </w:rPr>
              <w:t>35-39</w:t>
            </w:r>
          </w:p>
        </w:tc>
        <w:tc>
          <w:tcPr>
            <w:tcW w:w="760" w:type="dxa"/>
            <w:tcBorders>
              <w:top w:val="nil"/>
              <w:left w:val="nil"/>
              <w:bottom w:val="single" w:sz="4" w:space="0" w:color="auto"/>
              <w:right w:val="nil"/>
            </w:tcBorders>
            <w:shd w:val="clear" w:color="auto" w:fill="auto"/>
            <w:vAlign w:val="center"/>
            <w:hideMark/>
          </w:tcPr>
          <w:p w14:paraId="1BCC5B7E" w14:textId="77777777" w:rsidR="002D7070" w:rsidRPr="002D7070" w:rsidRDefault="002D7070" w:rsidP="00360E75">
            <w:pPr>
              <w:spacing w:after="0" w:line="276" w:lineRule="auto"/>
              <w:jc w:val="right"/>
              <w:rPr>
                <w:rFonts w:ascii="Arial" w:eastAsia="Times New Roman" w:hAnsi="Arial" w:cs="Arial"/>
                <w:b/>
                <w:bCs/>
                <w:color w:val="000000"/>
                <w:sz w:val="16"/>
                <w:szCs w:val="16"/>
                <w:lang w:eastAsia="en-AU"/>
              </w:rPr>
            </w:pPr>
            <w:r w:rsidRPr="002D7070">
              <w:rPr>
                <w:rFonts w:ascii="Arial" w:eastAsia="Times New Roman" w:hAnsi="Arial" w:cs="Arial"/>
                <w:b/>
                <w:bCs/>
                <w:color w:val="000000"/>
                <w:sz w:val="16"/>
                <w:szCs w:val="16"/>
                <w:lang w:eastAsia="en-AU"/>
              </w:rPr>
              <w:t>40-44</w:t>
            </w:r>
          </w:p>
        </w:tc>
        <w:tc>
          <w:tcPr>
            <w:tcW w:w="760" w:type="dxa"/>
            <w:tcBorders>
              <w:top w:val="nil"/>
              <w:left w:val="nil"/>
              <w:bottom w:val="single" w:sz="4" w:space="0" w:color="auto"/>
              <w:right w:val="nil"/>
            </w:tcBorders>
            <w:shd w:val="clear" w:color="auto" w:fill="auto"/>
            <w:noWrap/>
            <w:vAlign w:val="center"/>
            <w:hideMark/>
          </w:tcPr>
          <w:p w14:paraId="09DEA022" w14:textId="4F008812" w:rsidR="002D7070" w:rsidRPr="002D7070" w:rsidRDefault="002D7070" w:rsidP="00360E75">
            <w:pPr>
              <w:spacing w:after="0" w:line="276" w:lineRule="auto"/>
              <w:jc w:val="right"/>
              <w:rPr>
                <w:rFonts w:ascii="Arial" w:eastAsia="Times New Roman" w:hAnsi="Arial" w:cs="Arial"/>
                <w:b/>
                <w:bCs/>
                <w:color w:val="000000"/>
                <w:sz w:val="16"/>
                <w:szCs w:val="16"/>
                <w:lang w:eastAsia="en-AU"/>
              </w:rPr>
            </w:pPr>
            <w:r w:rsidRPr="002D7070">
              <w:rPr>
                <w:rFonts w:ascii="Arial" w:eastAsia="Times New Roman" w:hAnsi="Arial" w:cs="Arial"/>
                <w:b/>
                <w:bCs/>
                <w:color w:val="000000"/>
                <w:sz w:val="16"/>
                <w:szCs w:val="16"/>
                <w:lang w:eastAsia="en-AU"/>
              </w:rPr>
              <w:t>≥</w:t>
            </w:r>
            <w:r w:rsidR="008A2F6E">
              <w:rPr>
                <w:rFonts w:ascii="Arial" w:eastAsia="Times New Roman" w:hAnsi="Arial" w:cs="Arial"/>
                <w:b/>
                <w:bCs/>
                <w:color w:val="000000"/>
                <w:sz w:val="16"/>
                <w:szCs w:val="16"/>
                <w:lang w:eastAsia="en-AU"/>
              </w:rPr>
              <w:t xml:space="preserve"> </w:t>
            </w:r>
            <w:r w:rsidRPr="002D7070">
              <w:rPr>
                <w:rFonts w:ascii="Arial" w:eastAsia="Times New Roman" w:hAnsi="Arial" w:cs="Arial"/>
                <w:b/>
                <w:bCs/>
                <w:color w:val="000000"/>
                <w:sz w:val="16"/>
                <w:szCs w:val="16"/>
                <w:lang w:eastAsia="en-AU"/>
              </w:rPr>
              <w:t>45</w:t>
            </w:r>
          </w:p>
        </w:tc>
        <w:tc>
          <w:tcPr>
            <w:tcW w:w="835" w:type="dxa"/>
            <w:tcBorders>
              <w:top w:val="nil"/>
              <w:left w:val="nil"/>
              <w:bottom w:val="single" w:sz="4" w:space="0" w:color="auto"/>
              <w:right w:val="nil"/>
            </w:tcBorders>
            <w:shd w:val="clear" w:color="auto" w:fill="auto"/>
            <w:vAlign w:val="center"/>
            <w:hideMark/>
          </w:tcPr>
          <w:p w14:paraId="3CB1E409" w14:textId="77777777" w:rsidR="002D7070" w:rsidRPr="002D7070" w:rsidRDefault="002D7070" w:rsidP="00360E75">
            <w:pPr>
              <w:spacing w:after="0" w:line="276" w:lineRule="auto"/>
              <w:jc w:val="right"/>
              <w:rPr>
                <w:rFonts w:ascii="Arial" w:eastAsia="Times New Roman" w:hAnsi="Arial" w:cs="Arial"/>
                <w:b/>
                <w:bCs/>
                <w:color w:val="000000"/>
                <w:sz w:val="16"/>
                <w:szCs w:val="16"/>
                <w:lang w:eastAsia="en-AU"/>
              </w:rPr>
            </w:pPr>
            <w:r w:rsidRPr="002D7070">
              <w:rPr>
                <w:rFonts w:ascii="Arial" w:eastAsia="Times New Roman" w:hAnsi="Arial" w:cs="Arial"/>
                <w:b/>
                <w:bCs/>
                <w:color w:val="000000"/>
                <w:sz w:val="16"/>
                <w:szCs w:val="16"/>
                <w:lang w:eastAsia="en-AU"/>
              </w:rPr>
              <w:t>All</w:t>
            </w:r>
          </w:p>
        </w:tc>
      </w:tr>
      <w:tr w:rsidR="00F13096" w:rsidRPr="002D7070" w14:paraId="7C02F4E5" w14:textId="77777777" w:rsidTr="00F13096">
        <w:trPr>
          <w:trHeight w:val="225"/>
        </w:trPr>
        <w:tc>
          <w:tcPr>
            <w:tcW w:w="4540" w:type="dxa"/>
            <w:tcBorders>
              <w:top w:val="nil"/>
              <w:left w:val="nil"/>
              <w:bottom w:val="nil"/>
              <w:right w:val="nil"/>
            </w:tcBorders>
            <w:shd w:val="clear" w:color="auto" w:fill="auto"/>
            <w:noWrap/>
            <w:vAlign w:val="center"/>
            <w:hideMark/>
          </w:tcPr>
          <w:p w14:paraId="233335B3" w14:textId="77777777" w:rsidR="00F13096" w:rsidRPr="002D7070" w:rsidRDefault="00F13096" w:rsidP="00F13096">
            <w:pPr>
              <w:spacing w:after="0" w:line="276" w:lineRule="auto"/>
              <w:rPr>
                <w:rFonts w:ascii="Arial" w:eastAsia="Times New Roman" w:hAnsi="Arial" w:cs="Arial"/>
                <w:color w:val="000000"/>
                <w:sz w:val="16"/>
                <w:szCs w:val="16"/>
                <w:lang w:eastAsia="en-AU"/>
              </w:rPr>
            </w:pPr>
            <w:r w:rsidRPr="002D7070">
              <w:rPr>
                <w:rFonts w:ascii="Arial" w:eastAsia="Times New Roman" w:hAnsi="Arial" w:cs="Arial"/>
                <w:color w:val="000000"/>
                <w:sz w:val="16"/>
                <w:szCs w:val="16"/>
                <w:lang w:eastAsia="en-AU"/>
              </w:rPr>
              <w:t>Initiated cycles</w:t>
            </w:r>
          </w:p>
        </w:tc>
        <w:tc>
          <w:tcPr>
            <w:tcW w:w="760" w:type="dxa"/>
            <w:tcBorders>
              <w:top w:val="nil"/>
              <w:left w:val="nil"/>
              <w:bottom w:val="nil"/>
              <w:right w:val="nil"/>
            </w:tcBorders>
            <w:shd w:val="clear" w:color="auto" w:fill="auto"/>
            <w:vAlign w:val="center"/>
            <w:hideMark/>
          </w:tcPr>
          <w:p w14:paraId="7E9FE1A6" w14:textId="70190CCA"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385</w:t>
            </w:r>
          </w:p>
        </w:tc>
        <w:tc>
          <w:tcPr>
            <w:tcW w:w="835" w:type="dxa"/>
            <w:tcBorders>
              <w:top w:val="nil"/>
              <w:left w:val="nil"/>
              <w:bottom w:val="nil"/>
              <w:right w:val="nil"/>
            </w:tcBorders>
            <w:shd w:val="clear" w:color="auto" w:fill="auto"/>
            <w:vAlign w:val="center"/>
            <w:hideMark/>
          </w:tcPr>
          <w:p w14:paraId="56A0A466" w14:textId="576F998D"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1,257</w:t>
            </w:r>
          </w:p>
        </w:tc>
        <w:tc>
          <w:tcPr>
            <w:tcW w:w="835" w:type="dxa"/>
            <w:tcBorders>
              <w:top w:val="nil"/>
              <w:left w:val="nil"/>
              <w:bottom w:val="nil"/>
              <w:right w:val="nil"/>
            </w:tcBorders>
            <w:shd w:val="clear" w:color="auto" w:fill="auto"/>
            <w:vAlign w:val="center"/>
            <w:hideMark/>
          </w:tcPr>
          <w:p w14:paraId="6BCFCA13" w14:textId="35A78BAE"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1,766</w:t>
            </w:r>
          </w:p>
        </w:tc>
        <w:tc>
          <w:tcPr>
            <w:tcW w:w="760" w:type="dxa"/>
            <w:tcBorders>
              <w:top w:val="nil"/>
              <w:left w:val="nil"/>
              <w:bottom w:val="nil"/>
              <w:right w:val="nil"/>
            </w:tcBorders>
            <w:shd w:val="clear" w:color="auto" w:fill="auto"/>
            <w:vAlign w:val="center"/>
            <w:hideMark/>
          </w:tcPr>
          <w:p w14:paraId="1D881FC2" w14:textId="45F0C761"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765</w:t>
            </w:r>
          </w:p>
        </w:tc>
        <w:tc>
          <w:tcPr>
            <w:tcW w:w="760" w:type="dxa"/>
            <w:tcBorders>
              <w:top w:val="nil"/>
              <w:left w:val="nil"/>
              <w:bottom w:val="nil"/>
              <w:right w:val="nil"/>
            </w:tcBorders>
            <w:shd w:val="clear" w:color="auto" w:fill="auto"/>
            <w:vAlign w:val="center"/>
            <w:hideMark/>
          </w:tcPr>
          <w:p w14:paraId="0A371BD6" w14:textId="297594E8"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46</w:t>
            </w:r>
          </w:p>
        </w:tc>
        <w:tc>
          <w:tcPr>
            <w:tcW w:w="835" w:type="dxa"/>
            <w:tcBorders>
              <w:top w:val="nil"/>
              <w:left w:val="nil"/>
              <w:bottom w:val="nil"/>
              <w:right w:val="nil"/>
            </w:tcBorders>
            <w:shd w:val="clear" w:color="auto" w:fill="auto"/>
            <w:vAlign w:val="center"/>
            <w:hideMark/>
          </w:tcPr>
          <w:p w14:paraId="7F33A9B8" w14:textId="520B6C17"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4,219</w:t>
            </w:r>
          </w:p>
        </w:tc>
      </w:tr>
      <w:tr w:rsidR="00F13096" w:rsidRPr="002D7070" w14:paraId="6791EDBE" w14:textId="77777777" w:rsidTr="00F13096">
        <w:trPr>
          <w:trHeight w:val="225"/>
        </w:trPr>
        <w:tc>
          <w:tcPr>
            <w:tcW w:w="4540" w:type="dxa"/>
            <w:tcBorders>
              <w:top w:val="nil"/>
              <w:left w:val="nil"/>
              <w:bottom w:val="nil"/>
              <w:right w:val="nil"/>
            </w:tcBorders>
            <w:shd w:val="clear" w:color="auto" w:fill="auto"/>
            <w:noWrap/>
            <w:vAlign w:val="center"/>
            <w:hideMark/>
          </w:tcPr>
          <w:p w14:paraId="1879FB8A" w14:textId="1BC7183B" w:rsidR="00F13096" w:rsidRPr="002D7070" w:rsidRDefault="00F13096" w:rsidP="00F13096">
            <w:pPr>
              <w:spacing w:after="0" w:line="276" w:lineRule="auto"/>
              <w:rPr>
                <w:rFonts w:ascii="Arial" w:eastAsia="Times New Roman" w:hAnsi="Arial" w:cs="Arial"/>
                <w:color w:val="000000"/>
                <w:sz w:val="16"/>
                <w:szCs w:val="16"/>
                <w:lang w:eastAsia="en-AU"/>
              </w:rPr>
            </w:pPr>
            <w:r w:rsidRPr="002D7070">
              <w:rPr>
                <w:rFonts w:ascii="Arial" w:eastAsia="Times New Roman" w:hAnsi="Arial" w:cs="Arial"/>
                <w:color w:val="000000"/>
                <w:sz w:val="16"/>
                <w:szCs w:val="16"/>
                <w:lang w:eastAsia="en-AU"/>
              </w:rPr>
              <w:t>Freeze</w:t>
            </w:r>
            <w:r>
              <w:rPr>
                <w:rFonts w:ascii="Arial" w:eastAsia="Times New Roman" w:hAnsi="Arial" w:cs="Arial"/>
                <w:color w:val="000000"/>
                <w:sz w:val="16"/>
                <w:szCs w:val="16"/>
                <w:lang w:eastAsia="en-AU"/>
              </w:rPr>
              <w:t>-</w:t>
            </w:r>
            <w:r w:rsidRPr="002D7070">
              <w:rPr>
                <w:rFonts w:ascii="Arial" w:eastAsia="Times New Roman" w:hAnsi="Arial" w:cs="Arial"/>
                <w:color w:val="000000"/>
                <w:sz w:val="16"/>
                <w:szCs w:val="16"/>
                <w:lang w:eastAsia="en-AU"/>
              </w:rPr>
              <w:t>all cycles</w:t>
            </w:r>
          </w:p>
        </w:tc>
        <w:tc>
          <w:tcPr>
            <w:tcW w:w="760" w:type="dxa"/>
            <w:tcBorders>
              <w:top w:val="nil"/>
              <w:left w:val="nil"/>
              <w:bottom w:val="nil"/>
              <w:right w:val="nil"/>
            </w:tcBorders>
            <w:shd w:val="clear" w:color="auto" w:fill="auto"/>
            <w:noWrap/>
            <w:vAlign w:val="center"/>
            <w:hideMark/>
          </w:tcPr>
          <w:p w14:paraId="1AB3AAD6" w14:textId="4C2093A0"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250</w:t>
            </w:r>
          </w:p>
        </w:tc>
        <w:tc>
          <w:tcPr>
            <w:tcW w:w="835" w:type="dxa"/>
            <w:tcBorders>
              <w:top w:val="nil"/>
              <w:left w:val="nil"/>
              <w:bottom w:val="nil"/>
              <w:right w:val="nil"/>
            </w:tcBorders>
            <w:shd w:val="clear" w:color="auto" w:fill="auto"/>
            <w:noWrap/>
            <w:vAlign w:val="center"/>
            <w:hideMark/>
          </w:tcPr>
          <w:p w14:paraId="79AD9514" w14:textId="6D7AAD59"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658</w:t>
            </w:r>
          </w:p>
        </w:tc>
        <w:tc>
          <w:tcPr>
            <w:tcW w:w="835" w:type="dxa"/>
            <w:tcBorders>
              <w:top w:val="nil"/>
              <w:left w:val="nil"/>
              <w:bottom w:val="nil"/>
              <w:right w:val="nil"/>
            </w:tcBorders>
            <w:shd w:val="clear" w:color="auto" w:fill="auto"/>
            <w:noWrap/>
            <w:vAlign w:val="center"/>
            <w:hideMark/>
          </w:tcPr>
          <w:p w14:paraId="133D0918" w14:textId="7619F12B"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749</w:t>
            </w:r>
          </w:p>
        </w:tc>
        <w:tc>
          <w:tcPr>
            <w:tcW w:w="760" w:type="dxa"/>
            <w:tcBorders>
              <w:top w:val="nil"/>
              <w:left w:val="nil"/>
              <w:bottom w:val="nil"/>
              <w:right w:val="nil"/>
            </w:tcBorders>
            <w:shd w:val="clear" w:color="auto" w:fill="auto"/>
            <w:noWrap/>
            <w:vAlign w:val="center"/>
            <w:hideMark/>
          </w:tcPr>
          <w:p w14:paraId="279295B1" w14:textId="04845405"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282</w:t>
            </w:r>
          </w:p>
        </w:tc>
        <w:tc>
          <w:tcPr>
            <w:tcW w:w="760" w:type="dxa"/>
            <w:tcBorders>
              <w:top w:val="nil"/>
              <w:left w:val="nil"/>
              <w:bottom w:val="nil"/>
              <w:right w:val="nil"/>
            </w:tcBorders>
            <w:shd w:val="clear" w:color="auto" w:fill="auto"/>
            <w:noWrap/>
            <w:vAlign w:val="center"/>
            <w:hideMark/>
          </w:tcPr>
          <w:p w14:paraId="3D857514" w14:textId="59BFD55B"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6</w:t>
            </w:r>
          </w:p>
        </w:tc>
        <w:tc>
          <w:tcPr>
            <w:tcW w:w="835" w:type="dxa"/>
            <w:tcBorders>
              <w:top w:val="nil"/>
              <w:left w:val="nil"/>
              <w:bottom w:val="nil"/>
              <w:right w:val="nil"/>
            </w:tcBorders>
            <w:shd w:val="clear" w:color="auto" w:fill="auto"/>
            <w:noWrap/>
            <w:vAlign w:val="center"/>
            <w:hideMark/>
          </w:tcPr>
          <w:p w14:paraId="43E94892" w14:textId="648E784E"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1,945</w:t>
            </w:r>
          </w:p>
        </w:tc>
      </w:tr>
      <w:tr w:rsidR="00F13096" w:rsidRPr="002D7070" w14:paraId="1AB04BFC" w14:textId="77777777" w:rsidTr="00F13096">
        <w:trPr>
          <w:trHeight w:val="225"/>
        </w:trPr>
        <w:tc>
          <w:tcPr>
            <w:tcW w:w="4540" w:type="dxa"/>
            <w:tcBorders>
              <w:top w:val="nil"/>
              <w:left w:val="nil"/>
              <w:bottom w:val="nil"/>
              <w:right w:val="nil"/>
            </w:tcBorders>
            <w:shd w:val="clear" w:color="auto" w:fill="auto"/>
            <w:noWrap/>
            <w:vAlign w:val="center"/>
            <w:hideMark/>
          </w:tcPr>
          <w:p w14:paraId="645A70A8" w14:textId="77777777" w:rsidR="00F13096" w:rsidRPr="002D7070" w:rsidRDefault="00F13096" w:rsidP="00F13096">
            <w:pPr>
              <w:spacing w:after="0" w:line="276" w:lineRule="auto"/>
              <w:rPr>
                <w:rFonts w:ascii="Arial" w:eastAsia="Times New Roman" w:hAnsi="Arial" w:cs="Arial"/>
                <w:color w:val="000000"/>
                <w:sz w:val="16"/>
                <w:szCs w:val="16"/>
                <w:lang w:eastAsia="en-AU"/>
              </w:rPr>
            </w:pPr>
            <w:r w:rsidRPr="002D7070">
              <w:rPr>
                <w:rFonts w:ascii="Arial" w:eastAsia="Times New Roman" w:hAnsi="Arial" w:cs="Arial"/>
                <w:color w:val="000000"/>
                <w:sz w:val="16"/>
                <w:szCs w:val="16"/>
                <w:lang w:eastAsia="en-AU"/>
              </w:rPr>
              <w:t>Cycles with OPU</w:t>
            </w:r>
          </w:p>
        </w:tc>
        <w:tc>
          <w:tcPr>
            <w:tcW w:w="760" w:type="dxa"/>
            <w:tcBorders>
              <w:top w:val="nil"/>
              <w:left w:val="nil"/>
              <w:bottom w:val="nil"/>
              <w:right w:val="nil"/>
            </w:tcBorders>
            <w:shd w:val="clear" w:color="auto" w:fill="auto"/>
            <w:noWrap/>
            <w:vAlign w:val="center"/>
            <w:hideMark/>
          </w:tcPr>
          <w:p w14:paraId="7CA0C6AD" w14:textId="42248790"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364</w:t>
            </w:r>
          </w:p>
        </w:tc>
        <w:tc>
          <w:tcPr>
            <w:tcW w:w="835" w:type="dxa"/>
            <w:tcBorders>
              <w:top w:val="nil"/>
              <w:left w:val="nil"/>
              <w:bottom w:val="nil"/>
              <w:right w:val="nil"/>
            </w:tcBorders>
            <w:shd w:val="clear" w:color="auto" w:fill="auto"/>
            <w:noWrap/>
            <w:vAlign w:val="center"/>
            <w:hideMark/>
          </w:tcPr>
          <w:p w14:paraId="3EF2DF65" w14:textId="31F40255"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1,198</w:t>
            </w:r>
          </w:p>
        </w:tc>
        <w:tc>
          <w:tcPr>
            <w:tcW w:w="835" w:type="dxa"/>
            <w:tcBorders>
              <w:top w:val="nil"/>
              <w:left w:val="nil"/>
              <w:bottom w:val="nil"/>
              <w:right w:val="nil"/>
            </w:tcBorders>
            <w:shd w:val="clear" w:color="auto" w:fill="auto"/>
            <w:noWrap/>
            <w:vAlign w:val="center"/>
            <w:hideMark/>
          </w:tcPr>
          <w:p w14:paraId="06710BF9" w14:textId="1B239BE4"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1,648</w:t>
            </w:r>
          </w:p>
        </w:tc>
        <w:tc>
          <w:tcPr>
            <w:tcW w:w="760" w:type="dxa"/>
            <w:tcBorders>
              <w:top w:val="nil"/>
              <w:left w:val="nil"/>
              <w:bottom w:val="nil"/>
              <w:right w:val="nil"/>
            </w:tcBorders>
            <w:shd w:val="clear" w:color="auto" w:fill="auto"/>
            <w:noWrap/>
            <w:vAlign w:val="center"/>
            <w:hideMark/>
          </w:tcPr>
          <w:p w14:paraId="39E5009C" w14:textId="2E1D9382"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691</w:t>
            </w:r>
          </w:p>
        </w:tc>
        <w:tc>
          <w:tcPr>
            <w:tcW w:w="760" w:type="dxa"/>
            <w:tcBorders>
              <w:top w:val="nil"/>
              <w:left w:val="nil"/>
              <w:bottom w:val="nil"/>
              <w:right w:val="nil"/>
            </w:tcBorders>
            <w:shd w:val="clear" w:color="auto" w:fill="auto"/>
            <w:noWrap/>
            <w:vAlign w:val="center"/>
            <w:hideMark/>
          </w:tcPr>
          <w:p w14:paraId="21554082" w14:textId="78C739E2"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40</w:t>
            </w:r>
          </w:p>
        </w:tc>
        <w:tc>
          <w:tcPr>
            <w:tcW w:w="835" w:type="dxa"/>
            <w:tcBorders>
              <w:top w:val="nil"/>
              <w:left w:val="nil"/>
              <w:bottom w:val="nil"/>
              <w:right w:val="nil"/>
            </w:tcBorders>
            <w:shd w:val="clear" w:color="auto" w:fill="auto"/>
            <w:noWrap/>
            <w:vAlign w:val="center"/>
            <w:hideMark/>
          </w:tcPr>
          <w:p w14:paraId="5E987AEA" w14:textId="5C9A56DD"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3,941</w:t>
            </w:r>
          </w:p>
        </w:tc>
      </w:tr>
      <w:tr w:rsidR="00F13096" w:rsidRPr="002D7070" w14:paraId="4F3BD843" w14:textId="77777777" w:rsidTr="00F13096">
        <w:trPr>
          <w:trHeight w:val="225"/>
        </w:trPr>
        <w:tc>
          <w:tcPr>
            <w:tcW w:w="4540" w:type="dxa"/>
            <w:tcBorders>
              <w:top w:val="nil"/>
              <w:left w:val="nil"/>
              <w:bottom w:val="nil"/>
              <w:right w:val="nil"/>
            </w:tcBorders>
            <w:shd w:val="clear" w:color="auto" w:fill="auto"/>
            <w:noWrap/>
            <w:vAlign w:val="center"/>
            <w:hideMark/>
          </w:tcPr>
          <w:p w14:paraId="785FC860" w14:textId="77777777" w:rsidR="00F13096" w:rsidRPr="002D7070" w:rsidRDefault="00F13096" w:rsidP="00F13096">
            <w:pPr>
              <w:spacing w:after="0" w:line="276" w:lineRule="auto"/>
              <w:rPr>
                <w:rFonts w:ascii="Arial" w:eastAsia="Times New Roman" w:hAnsi="Arial" w:cs="Arial"/>
                <w:color w:val="000000"/>
                <w:sz w:val="16"/>
                <w:szCs w:val="16"/>
                <w:lang w:eastAsia="en-AU"/>
              </w:rPr>
            </w:pPr>
            <w:r w:rsidRPr="002D7070">
              <w:rPr>
                <w:rFonts w:ascii="Arial" w:eastAsia="Times New Roman" w:hAnsi="Arial" w:cs="Arial"/>
                <w:color w:val="000000"/>
                <w:sz w:val="16"/>
                <w:szCs w:val="16"/>
                <w:lang w:eastAsia="en-AU"/>
              </w:rPr>
              <w:t>Embryo transfers</w:t>
            </w:r>
          </w:p>
        </w:tc>
        <w:tc>
          <w:tcPr>
            <w:tcW w:w="760" w:type="dxa"/>
            <w:tcBorders>
              <w:top w:val="nil"/>
              <w:left w:val="nil"/>
              <w:bottom w:val="nil"/>
              <w:right w:val="nil"/>
            </w:tcBorders>
            <w:shd w:val="clear" w:color="auto" w:fill="auto"/>
            <w:noWrap/>
            <w:vAlign w:val="center"/>
            <w:hideMark/>
          </w:tcPr>
          <w:p w14:paraId="0D97162C" w14:textId="1F628E3D"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98</w:t>
            </w:r>
          </w:p>
        </w:tc>
        <w:tc>
          <w:tcPr>
            <w:tcW w:w="835" w:type="dxa"/>
            <w:tcBorders>
              <w:top w:val="nil"/>
              <w:left w:val="nil"/>
              <w:bottom w:val="nil"/>
              <w:right w:val="nil"/>
            </w:tcBorders>
            <w:shd w:val="clear" w:color="auto" w:fill="auto"/>
            <w:noWrap/>
            <w:vAlign w:val="center"/>
            <w:hideMark/>
          </w:tcPr>
          <w:p w14:paraId="783A3CDE" w14:textId="0A01EEB5"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456</w:t>
            </w:r>
          </w:p>
        </w:tc>
        <w:tc>
          <w:tcPr>
            <w:tcW w:w="835" w:type="dxa"/>
            <w:tcBorders>
              <w:top w:val="nil"/>
              <w:left w:val="nil"/>
              <w:bottom w:val="nil"/>
              <w:right w:val="nil"/>
            </w:tcBorders>
            <w:shd w:val="clear" w:color="auto" w:fill="auto"/>
            <w:noWrap/>
            <w:vAlign w:val="center"/>
            <w:hideMark/>
          </w:tcPr>
          <w:p w14:paraId="6D3E1B43" w14:textId="3E2CF62E"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740</w:t>
            </w:r>
          </w:p>
        </w:tc>
        <w:tc>
          <w:tcPr>
            <w:tcW w:w="760" w:type="dxa"/>
            <w:tcBorders>
              <w:top w:val="nil"/>
              <w:left w:val="nil"/>
              <w:bottom w:val="nil"/>
              <w:right w:val="nil"/>
            </w:tcBorders>
            <w:shd w:val="clear" w:color="auto" w:fill="auto"/>
            <w:noWrap/>
            <w:vAlign w:val="center"/>
            <w:hideMark/>
          </w:tcPr>
          <w:p w14:paraId="02A8DB0B" w14:textId="6D16B743"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328</w:t>
            </w:r>
          </w:p>
        </w:tc>
        <w:tc>
          <w:tcPr>
            <w:tcW w:w="760" w:type="dxa"/>
            <w:tcBorders>
              <w:top w:val="nil"/>
              <w:left w:val="nil"/>
              <w:bottom w:val="nil"/>
              <w:right w:val="nil"/>
            </w:tcBorders>
            <w:shd w:val="clear" w:color="auto" w:fill="auto"/>
            <w:noWrap/>
            <w:vAlign w:val="center"/>
            <w:hideMark/>
          </w:tcPr>
          <w:p w14:paraId="22E7F8A9" w14:textId="50EA6E51"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18</w:t>
            </w:r>
          </w:p>
        </w:tc>
        <w:tc>
          <w:tcPr>
            <w:tcW w:w="835" w:type="dxa"/>
            <w:tcBorders>
              <w:top w:val="nil"/>
              <w:left w:val="nil"/>
              <w:bottom w:val="nil"/>
              <w:right w:val="nil"/>
            </w:tcBorders>
            <w:shd w:val="clear" w:color="auto" w:fill="auto"/>
            <w:noWrap/>
            <w:vAlign w:val="center"/>
            <w:hideMark/>
          </w:tcPr>
          <w:p w14:paraId="383B1FB3" w14:textId="573E5B05"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1,640</w:t>
            </w:r>
          </w:p>
        </w:tc>
      </w:tr>
      <w:tr w:rsidR="00F13096" w:rsidRPr="002D7070" w14:paraId="22B868E0" w14:textId="77777777" w:rsidTr="00F13096">
        <w:trPr>
          <w:trHeight w:val="225"/>
        </w:trPr>
        <w:tc>
          <w:tcPr>
            <w:tcW w:w="4540" w:type="dxa"/>
            <w:tcBorders>
              <w:top w:val="nil"/>
              <w:left w:val="nil"/>
              <w:bottom w:val="nil"/>
              <w:right w:val="nil"/>
            </w:tcBorders>
            <w:shd w:val="clear" w:color="auto" w:fill="auto"/>
            <w:noWrap/>
            <w:vAlign w:val="center"/>
            <w:hideMark/>
          </w:tcPr>
          <w:p w14:paraId="45E4720F" w14:textId="77777777" w:rsidR="00F13096" w:rsidRPr="002D7070" w:rsidRDefault="00F13096" w:rsidP="00F13096">
            <w:pPr>
              <w:spacing w:after="0" w:line="276" w:lineRule="auto"/>
              <w:rPr>
                <w:rFonts w:ascii="Arial" w:eastAsia="Times New Roman" w:hAnsi="Arial" w:cs="Arial"/>
                <w:color w:val="000000"/>
                <w:sz w:val="16"/>
                <w:szCs w:val="16"/>
                <w:lang w:eastAsia="en-AU"/>
              </w:rPr>
            </w:pPr>
            <w:r w:rsidRPr="002D7070">
              <w:rPr>
                <w:rFonts w:ascii="Arial" w:eastAsia="Times New Roman" w:hAnsi="Arial" w:cs="Arial"/>
                <w:color w:val="000000"/>
                <w:sz w:val="16"/>
                <w:szCs w:val="16"/>
                <w:lang w:eastAsia="en-AU"/>
              </w:rPr>
              <w:t>Clinical pregnancies</w:t>
            </w:r>
          </w:p>
        </w:tc>
        <w:tc>
          <w:tcPr>
            <w:tcW w:w="760" w:type="dxa"/>
            <w:tcBorders>
              <w:top w:val="nil"/>
              <w:left w:val="nil"/>
              <w:bottom w:val="nil"/>
              <w:right w:val="nil"/>
            </w:tcBorders>
            <w:shd w:val="clear" w:color="auto" w:fill="auto"/>
            <w:noWrap/>
            <w:vAlign w:val="center"/>
            <w:hideMark/>
          </w:tcPr>
          <w:p w14:paraId="67F87C9E" w14:textId="624FE26F"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49</w:t>
            </w:r>
          </w:p>
        </w:tc>
        <w:tc>
          <w:tcPr>
            <w:tcW w:w="835" w:type="dxa"/>
            <w:tcBorders>
              <w:top w:val="nil"/>
              <w:left w:val="nil"/>
              <w:bottom w:val="nil"/>
              <w:right w:val="nil"/>
            </w:tcBorders>
            <w:shd w:val="clear" w:color="auto" w:fill="auto"/>
            <w:noWrap/>
            <w:vAlign w:val="center"/>
            <w:hideMark/>
          </w:tcPr>
          <w:p w14:paraId="42D1AB11" w14:textId="20501D93"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228</w:t>
            </w:r>
          </w:p>
        </w:tc>
        <w:tc>
          <w:tcPr>
            <w:tcW w:w="835" w:type="dxa"/>
            <w:tcBorders>
              <w:top w:val="nil"/>
              <w:left w:val="nil"/>
              <w:bottom w:val="nil"/>
              <w:right w:val="nil"/>
            </w:tcBorders>
            <w:shd w:val="clear" w:color="auto" w:fill="auto"/>
            <w:noWrap/>
            <w:vAlign w:val="center"/>
            <w:hideMark/>
          </w:tcPr>
          <w:p w14:paraId="009C73B6" w14:textId="49301873"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266</w:t>
            </w:r>
          </w:p>
        </w:tc>
        <w:tc>
          <w:tcPr>
            <w:tcW w:w="760" w:type="dxa"/>
            <w:tcBorders>
              <w:top w:val="nil"/>
              <w:left w:val="nil"/>
              <w:bottom w:val="nil"/>
              <w:right w:val="nil"/>
            </w:tcBorders>
            <w:shd w:val="clear" w:color="auto" w:fill="auto"/>
            <w:noWrap/>
            <w:vAlign w:val="center"/>
            <w:hideMark/>
          </w:tcPr>
          <w:p w14:paraId="0D0FBA01" w14:textId="4B7D25A6"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59</w:t>
            </w:r>
          </w:p>
        </w:tc>
        <w:tc>
          <w:tcPr>
            <w:tcW w:w="760" w:type="dxa"/>
            <w:tcBorders>
              <w:top w:val="nil"/>
              <w:left w:val="nil"/>
              <w:bottom w:val="nil"/>
              <w:right w:val="nil"/>
            </w:tcBorders>
            <w:shd w:val="clear" w:color="auto" w:fill="auto"/>
            <w:noWrap/>
            <w:vAlign w:val="center"/>
            <w:hideMark/>
          </w:tcPr>
          <w:p w14:paraId="2F5F6446" w14:textId="577FCA65"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835" w:type="dxa"/>
            <w:tcBorders>
              <w:top w:val="nil"/>
              <w:left w:val="nil"/>
              <w:bottom w:val="nil"/>
              <w:right w:val="nil"/>
            </w:tcBorders>
            <w:shd w:val="clear" w:color="auto" w:fill="auto"/>
            <w:noWrap/>
            <w:vAlign w:val="center"/>
            <w:hideMark/>
          </w:tcPr>
          <w:p w14:paraId="7996A156" w14:textId="5EBAE71A"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602</w:t>
            </w:r>
          </w:p>
        </w:tc>
      </w:tr>
      <w:tr w:rsidR="00F13096" w:rsidRPr="002D7070" w14:paraId="455C6ED6" w14:textId="77777777" w:rsidTr="00F13096">
        <w:trPr>
          <w:trHeight w:val="225"/>
        </w:trPr>
        <w:tc>
          <w:tcPr>
            <w:tcW w:w="4540" w:type="dxa"/>
            <w:tcBorders>
              <w:top w:val="nil"/>
              <w:left w:val="nil"/>
              <w:bottom w:val="nil"/>
              <w:right w:val="nil"/>
            </w:tcBorders>
            <w:shd w:val="clear" w:color="auto" w:fill="auto"/>
            <w:noWrap/>
            <w:vAlign w:val="center"/>
            <w:hideMark/>
          </w:tcPr>
          <w:p w14:paraId="179C2894" w14:textId="22767679" w:rsidR="00F13096" w:rsidRPr="002D7070" w:rsidRDefault="00F13096" w:rsidP="00F13096">
            <w:pPr>
              <w:spacing w:after="0" w:line="276" w:lineRule="auto"/>
              <w:rPr>
                <w:rFonts w:ascii="Arial" w:eastAsia="Times New Roman" w:hAnsi="Arial" w:cs="Arial"/>
                <w:color w:val="000000"/>
                <w:sz w:val="16"/>
                <w:szCs w:val="16"/>
                <w:lang w:eastAsia="en-AU"/>
              </w:rPr>
            </w:pPr>
            <w:r w:rsidRPr="002D7070">
              <w:rPr>
                <w:rFonts w:ascii="Arial" w:eastAsia="Times New Roman" w:hAnsi="Arial" w:cs="Arial"/>
                <w:color w:val="000000"/>
                <w:sz w:val="16"/>
                <w:szCs w:val="16"/>
                <w:lang w:eastAsia="en-AU"/>
              </w:rPr>
              <w:t xml:space="preserve">Live </w:t>
            </w:r>
            <w:r>
              <w:rPr>
                <w:rFonts w:ascii="Arial" w:eastAsia="Times New Roman" w:hAnsi="Arial" w:cs="Arial"/>
                <w:color w:val="000000"/>
                <w:sz w:val="16"/>
                <w:szCs w:val="16"/>
                <w:lang w:eastAsia="en-AU"/>
              </w:rPr>
              <w:t>births</w:t>
            </w:r>
          </w:p>
        </w:tc>
        <w:tc>
          <w:tcPr>
            <w:tcW w:w="760" w:type="dxa"/>
            <w:tcBorders>
              <w:top w:val="nil"/>
              <w:left w:val="nil"/>
              <w:bottom w:val="nil"/>
              <w:right w:val="nil"/>
            </w:tcBorders>
            <w:shd w:val="clear" w:color="auto" w:fill="auto"/>
            <w:noWrap/>
            <w:vAlign w:val="center"/>
            <w:hideMark/>
          </w:tcPr>
          <w:p w14:paraId="5CCD6904" w14:textId="2324E071"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42</w:t>
            </w:r>
          </w:p>
        </w:tc>
        <w:tc>
          <w:tcPr>
            <w:tcW w:w="835" w:type="dxa"/>
            <w:tcBorders>
              <w:top w:val="nil"/>
              <w:left w:val="nil"/>
              <w:bottom w:val="nil"/>
              <w:right w:val="nil"/>
            </w:tcBorders>
            <w:shd w:val="clear" w:color="auto" w:fill="auto"/>
            <w:noWrap/>
            <w:vAlign w:val="center"/>
            <w:hideMark/>
          </w:tcPr>
          <w:p w14:paraId="4F42A195" w14:textId="5149ACE8"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193</w:t>
            </w:r>
          </w:p>
        </w:tc>
        <w:tc>
          <w:tcPr>
            <w:tcW w:w="835" w:type="dxa"/>
            <w:tcBorders>
              <w:top w:val="nil"/>
              <w:left w:val="nil"/>
              <w:bottom w:val="nil"/>
              <w:right w:val="nil"/>
            </w:tcBorders>
            <w:shd w:val="clear" w:color="auto" w:fill="auto"/>
            <w:noWrap/>
            <w:vAlign w:val="center"/>
            <w:hideMark/>
          </w:tcPr>
          <w:p w14:paraId="4A3DB6E2" w14:textId="177ACAE0"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210</w:t>
            </w:r>
          </w:p>
        </w:tc>
        <w:tc>
          <w:tcPr>
            <w:tcW w:w="760" w:type="dxa"/>
            <w:tcBorders>
              <w:top w:val="nil"/>
              <w:left w:val="nil"/>
              <w:bottom w:val="nil"/>
              <w:right w:val="nil"/>
            </w:tcBorders>
            <w:shd w:val="clear" w:color="auto" w:fill="auto"/>
            <w:noWrap/>
            <w:vAlign w:val="center"/>
            <w:hideMark/>
          </w:tcPr>
          <w:p w14:paraId="3C9DC934" w14:textId="2911432A"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31</w:t>
            </w:r>
          </w:p>
        </w:tc>
        <w:tc>
          <w:tcPr>
            <w:tcW w:w="760" w:type="dxa"/>
            <w:tcBorders>
              <w:top w:val="nil"/>
              <w:left w:val="nil"/>
              <w:bottom w:val="nil"/>
              <w:right w:val="nil"/>
            </w:tcBorders>
            <w:shd w:val="clear" w:color="auto" w:fill="auto"/>
            <w:noWrap/>
            <w:vAlign w:val="center"/>
            <w:hideMark/>
          </w:tcPr>
          <w:p w14:paraId="0C3CA636" w14:textId="4295FC1B"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835" w:type="dxa"/>
            <w:tcBorders>
              <w:top w:val="nil"/>
              <w:left w:val="nil"/>
              <w:bottom w:val="nil"/>
              <w:right w:val="nil"/>
            </w:tcBorders>
            <w:shd w:val="clear" w:color="auto" w:fill="auto"/>
            <w:noWrap/>
            <w:vAlign w:val="center"/>
            <w:hideMark/>
          </w:tcPr>
          <w:p w14:paraId="0DC122B0" w14:textId="7BADC119"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476</w:t>
            </w:r>
          </w:p>
        </w:tc>
      </w:tr>
      <w:tr w:rsidR="00F13096" w:rsidRPr="002D7070" w14:paraId="3EDCE99E" w14:textId="77777777" w:rsidTr="00F13096">
        <w:trPr>
          <w:trHeight w:val="225"/>
        </w:trPr>
        <w:tc>
          <w:tcPr>
            <w:tcW w:w="4540" w:type="dxa"/>
            <w:tcBorders>
              <w:top w:val="nil"/>
              <w:left w:val="nil"/>
              <w:bottom w:val="nil"/>
              <w:right w:val="nil"/>
            </w:tcBorders>
            <w:shd w:val="clear" w:color="auto" w:fill="auto"/>
            <w:vAlign w:val="center"/>
            <w:hideMark/>
          </w:tcPr>
          <w:p w14:paraId="0614EABA" w14:textId="1BF7A27C" w:rsidR="00F13096" w:rsidRPr="002D7070" w:rsidRDefault="00F13096" w:rsidP="00F13096">
            <w:pPr>
              <w:spacing w:after="0" w:line="276" w:lineRule="auto"/>
              <w:ind w:firstLineChars="100" w:firstLine="160"/>
              <w:rPr>
                <w:rFonts w:ascii="Arial" w:eastAsia="Times New Roman" w:hAnsi="Arial" w:cs="Arial"/>
                <w:i/>
                <w:iCs/>
                <w:color w:val="000000"/>
                <w:sz w:val="16"/>
                <w:szCs w:val="16"/>
                <w:lang w:eastAsia="en-AU"/>
              </w:rPr>
            </w:pPr>
            <w:r w:rsidRPr="002D7070">
              <w:rPr>
                <w:rFonts w:ascii="Arial" w:eastAsia="Times New Roman" w:hAnsi="Arial" w:cs="Arial"/>
                <w:i/>
                <w:iCs/>
                <w:color w:val="000000"/>
                <w:sz w:val="16"/>
                <w:szCs w:val="16"/>
                <w:lang w:eastAsia="en-AU"/>
              </w:rPr>
              <w:t xml:space="preserve">Live </w:t>
            </w:r>
            <w:r>
              <w:rPr>
                <w:rFonts w:ascii="Arial" w:eastAsia="Times New Roman" w:hAnsi="Arial" w:cs="Arial"/>
                <w:i/>
                <w:iCs/>
                <w:color w:val="000000"/>
                <w:sz w:val="16"/>
                <w:szCs w:val="16"/>
                <w:lang w:eastAsia="en-AU"/>
              </w:rPr>
              <w:t>births</w:t>
            </w:r>
            <w:r w:rsidRPr="002D7070">
              <w:rPr>
                <w:rFonts w:ascii="Arial" w:eastAsia="Times New Roman" w:hAnsi="Arial" w:cs="Arial"/>
                <w:i/>
                <w:iCs/>
                <w:color w:val="000000"/>
                <w:sz w:val="16"/>
                <w:szCs w:val="16"/>
                <w:lang w:eastAsia="en-AU"/>
              </w:rPr>
              <w:t xml:space="preserve"> per initiated cycle (%)</w:t>
            </w:r>
          </w:p>
        </w:tc>
        <w:tc>
          <w:tcPr>
            <w:tcW w:w="760" w:type="dxa"/>
            <w:tcBorders>
              <w:top w:val="nil"/>
              <w:left w:val="nil"/>
              <w:bottom w:val="nil"/>
              <w:right w:val="nil"/>
            </w:tcBorders>
            <w:shd w:val="clear" w:color="auto" w:fill="auto"/>
            <w:noWrap/>
            <w:vAlign w:val="center"/>
            <w:hideMark/>
          </w:tcPr>
          <w:p w14:paraId="6B7D9305" w14:textId="4F7082AE"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10.9</w:t>
            </w:r>
          </w:p>
        </w:tc>
        <w:tc>
          <w:tcPr>
            <w:tcW w:w="835" w:type="dxa"/>
            <w:tcBorders>
              <w:top w:val="nil"/>
              <w:left w:val="nil"/>
              <w:bottom w:val="nil"/>
              <w:right w:val="nil"/>
            </w:tcBorders>
            <w:shd w:val="clear" w:color="auto" w:fill="auto"/>
            <w:noWrap/>
            <w:vAlign w:val="center"/>
            <w:hideMark/>
          </w:tcPr>
          <w:p w14:paraId="4B7E2286" w14:textId="2F267313"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15.4</w:t>
            </w:r>
          </w:p>
        </w:tc>
        <w:tc>
          <w:tcPr>
            <w:tcW w:w="835" w:type="dxa"/>
            <w:tcBorders>
              <w:top w:val="nil"/>
              <w:left w:val="nil"/>
              <w:bottom w:val="nil"/>
              <w:right w:val="nil"/>
            </w:tcBorders>
            <w:shd w:val="clear" w:color="auto" w:fill="auto"/>
            <w:noWrap/>
            <w:vAlign w:val="center"/>
            <w:hideMark/>
          </w:tcPr>
          <w:p w14:paraId="40FF4453" w14:textId="7649C342"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11.9</w:t>
            </w:r>
          </w:p>
        </w:tc>
        <w:tc>
          <w:tcPr>
            <w:tcW w:w="760" w:type="dxa"/>
            <w:tcBorders>
              <w:top w:val="nil"/>
              <w:left w:val="nil"/>
              <w:bottom w:val="nil"/>
              <w:right w:val="nil"/>
            </w:tcBorders>
            <w:shd w:val="clear" w:color="auto" w:fill="auto"/>
            <w:noWrap/>
            <w:vAlign w:val="center"/>
            <w:hideMark/>
          </w:tcPr>
          <w:p w14:paraId="1BECEF3C" w14:textId="276BC47F"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4.1</w:t>
            </w:r>
          </w:p>
        </w:tc>
        <w:tc>
          <w:tcPr>
            <w:tcW w:w="760" w:type="dxa"/>
            <w:tcBorders>
              <w:top w:val="nil"/>
              <w:left w:val="nil"/>
              <w:bottom w:val="nil"/>
              <w:right w:val="nil"/>
            </w:tcBorders>
            <w:shd w:val="clear" w:color="auto" w:fill="auto"/>
            <w:noWrap/>
            <w:vAlign w:val="center"/>
            <w:hideMark/>
          </w:tcPr>
          <w:p w14:paraId="6BA2846C" w14:textId="70360CB9"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0.0</w:t>
            </w:r>
          </w:p>
        </w:tc>
        <w:tc>
          <w:tcPr>
            <w:tcW w:w="835" w:type="dxa"/>
            <w:tcBorders>
              <w:top w:val="nil"/>
              <w:left w:val="nil"/>
              <w:bottom w:val="nil"/>
              <w:right w:val="nil"/>
            </w:tcBorders>
            <w:shd w:val="clear" w:color="auto" w:fill="auto"/>
            <w:noWrap/>
            <w:vAlign w:val="center"/>
            <w:hideMark/>
          </w:tcPr>
          <w:p w14:paraId="54BF02D8" w14:textId="77CC045B"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11.3</w:t>
            </w:r>
          </w:p>
        </w:tc>
      </w:tr>
      <w:tr w:rsidR="00F13096" w:rsidRPr="002D7070" w14:paraId="27D0AF90" w14:textId="77777777" w:rsidTr="00F13096">
        <w:trPr>
          <w:trHeight w:val="225"/>
        </w:trPr>
        <w:tc>
          <w:tcPr>
            <w:tcW w:w="4540" w:type="dxa"/>
            <w:tcBorders>
              <w:top w:val="nil"/>
              <w:left w:val="nil"/>
              <w:bottom w:val="nil"/>
              <w:right w:val="nil"/>
            </w:tcBorders>
            <w:shd w:val="clear" w:color="auto" w:fill="auto"/>
            <w:noWrap/>
            <w:vAlign w:val="center"/>
            <w:hideMark/>
          </w:tcPr>
          <w:p w14:paraId="3BFB2160" w14:textId="40785D61" w:rsidR="00F13096" w:rsidRPr="002D7070" w:rsidRDefault="00F13096" w:rsidP="00F13096">
            <w:pPr>
              <w:spacing w:after="0" w:line="276" w:lineRule="auto"/>
              <w:ind w:firstLineChars="100" w:firstLine="160"/>
              <w:rPr>
                <w:rFonts w:ascii="Arial" w:eastAsia="Times New Roman" w:hAnsi="Arial" w:cs="Arial"/>
                <w:i/>
                <w:iCs/>
                <w:color w:val="000000"/>
                <w:sz w:val="16"/>
                <w:szCs w:val="16"/>
                <w:lang w:eastAsia="en-AU"/>
              </w:rPr>
            </w:pPr>
            <w:r w:rsidRPr="002D7070">
              <w:rPr>
                <w:rFonts w:ascii="Arial" w:eastAsia="Times New Roman" w:hAnsi="Arial" w:cs="Arial"/>
                <w:i/>
                <w:iCs/>
                <w:color w:val="000000"/>
                <w:sz w:val="16"/>
                <w:szCs w:val="16"/>
                <w:lang w:eastAsia="en-AU"/>
              </w:rPr>
              <w:t xml:space="preserve">Live </w:t>
            </w:r>
            <w:r>
              <w:rPr>
                <w:rFonts w:ascii="Arial" w:eastAsia="Times New Roman" w:hAnsi="Arial" w:cs="Arial"/>
                <w:i/>
                <w:iCs/>
                <w:color w:val="000000"/>
                <w:sz w:val="16"/>
                <w:szCs w:val="16"/>
                <w:lang w:eastAsia="en-AU"/>
              </w:rPr>
              <w:t>births</w:t>
            </w:r>
            <w:r w:rsidRPr="002D7070">
              <w:rPr>
                <w:rFonts w:ascii="Arial" w:eastAsia="Times New Roman" w:hAnsi="Arial" w:cs="Arial"/>
                <w:i/>
                <w:iCs/>
                <w:color w:val="000000"/>
                <w:sz w:val="16"/>
                <w:szCs w:val="16"/>
                <w:lang w:eastAsia="en-AU"/>
              </w:rPr>
              <w:t xml:space="preserve"> per initiated</w:t>
            </w:r>
            <w:r>
              <w:rPr>
                <w:rFonts w:ascii="Arial" w:eastAsia="Times New Roman" w:hAnsi="Arial" w:cs="Arial"/>
                <w:i/>
                <w:iCs/>
                <w:color w:val="000000"/>
                <w:sz w:val="16"/>
                <w:szCs w:val="16"/>
                <w:lang w:eastAsia="en-AU"/>
              </w:rPr>
              <w:t xml:space="preserve"> </w:t>
            </w:r>
            <w:r w:rsidRPr="002D7070">
              <w:rPr>
                <w:rFonts w:ascii="Arial" w:eastAsia="Times New Roman" w:hAnsi="Arial" w:cs="Arial"/>
                <w:i/>
                <w:iCs/>
                <w:color w:val="000000"/>
                <w:sz w:val="16"/>
                <w:szCs w:val="16"/>
                <w:lang w:eastAsia="en-AU"/>
              </w:rPr>
              <w:t>cycle</w:t>
            </w:r>
            <w:r>
              <w:rPr>
                <w:rFonts w:ascii="Arial" w:eastAsia="Times New Roman" w:hAnsi="Arial" w:cs="Arial"/>
                <w:i/>
                <w:iCs/>
                <w:color w:val="000000"/>
                <w:sz w:val="16"/>
                <w:szCs w:val="16"/>
                <w:lang w:eastAsia="en-AU"/>
              </w:rPr>
              <w:t xml:space="preserve"> (excluding freeze-all)</w:t>
            </w:r>
            <w:r w:rsidRPr="002D7070">
              <w:rPr>
                <w:rFonts w:ascii="Arial" w:eastAsia="Times New Roman" w:hAnsi="Arial" w:cs="Arial"/>
                <w:i/>
                <w:iCs/>
                <w:color w:val="000000"/>
                <w:sz w:val="16"/>
                <w:szCs w:val="16"/>
                <w:lang w:eastAsia="en-AU"/>
              </w:rPr>
              <w:t xml:space="preserve"> (%)</w:t>
            </w:r>
          </w:p>
        </w:tc>
        <w:tc>
          <w:tcPr>
            <w:tcW w:w="760" w:type="dxa"/>
            <w:tcBorders>
              <w:top w:val="nil"/>
              <w:left w:val="nil"/>
              <w:bottom w:val="nil"/>
              <w:right w:val="nil"/>
            </w:tcBorders>
            <w:shd w:val="clear" w:color="auto" w:fill="auto"/>
            <w:noWrap/>
            <w:vAlign w:val="center"/>
            <w:hideMark/>
          </w:tcPr>
          <w:p w14:paraId="2C3C2496" w14:textId="121C16E3"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31.1</w:t>
            </w:r>
          </w:p>
        </w:tc>
        <w:tc>
          <w:tcPr>
            <w:tcW w:w="835" w:type="dxa"/>
            <w:tcBorders>
              <w:top w:val="nil"/>
              <w:left w:val="nil"/>
              <w:bottom w:val="nil"/>
              <w:right w:val="nil"/>
            </w:tcBorders>
            <w:shd w:val="clear" w:color="auto" w:fill="auto"/>
            <w:noWrap/>
            <w:vAlign w:val="center"/>
            <w:hideMark/>
          </w:tcPr>
          <w:p w14:paraId="1A5457A0" w14:textId="47EF581D"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32.2</w:t>
            </w:r>
          </w:p>
        </w:tc>
        <w:tc>
          <w:tcPr>
            <w:tcW w:w="835" w:type="dxa"/>
            <w:tcBorders>
              <w:top w:val="nil"/>
              <w:left w:val="nil"/>
              <w:bottom w:val="nil"/>
              <w:right w:val="nil"/>
            </w:tcBorders>
            <w:shd w:val="clear" w:color="auto" w:fill="auto"/>
            <w:noWrap/>
            <w:vAlign w:val="center"/>
            <w:hideMark/>
          </w:tcPr>
          <w:p w14:paraId="30B25364" w14:textId="5206F4F0"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20.6</w:t>
            </w:r>
          </w:p>
        </w:tc>
        <w:tc>
          <w:tcPr>
            <w:tcW w:w="760" w:type="dxa"/>
            <w:tcBorders>
              <w:top w:val="nil"/>
              <w:left w:val="nil"/>
              <w:bottom w:val="nil"/>
              <w:right w:val="nil"/>
            </w:tcBorders>
            <w:shd w:val="clear" w:color="auto" w:fill="auto"/>
            <w:noWrap/>
            <w:vAlign w:val="center"/>
            <w:hideMark/>
          </w:tcPr>
          <w:p w14:paraId="4435FAFF" w14:textId="51BF6FD3"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6.4</w:t>
            </w:r>
          </w:p>
        </w:tc>
        <w:tc>
          <w:tcPr>
            <w:tcW w:w="760" w:type="dxa"/>
            <w:tcBorders>
              <w:top w:val="nil"/>
              <w:left w:val="nil"/>
              <w:bottom w:val="nil"/>
              <w:right w:val="nil"/>
            </w:tcBorders>
            <w:shd w:val="clear" w:color="auto" w:fill="auto"/>
            <w:noWrap/>
            <w:vAlign w:val="center"/>
            <w:hideMark/>
          </w:tcPr>
          <w:p w14:paraId="65EAD00B" w14:textId="6A8924BC"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0.0</w:t>
            </w:r>
          </w:p>
        </w:tc>
        <w:tc>
          <w:tcPr>
            <w:tcW w:w="835" w:type="dxa"/>
            <w:tcBorders>
              <w:top w:val="nil"/>
              <w:left w:val="nil"/>
              <w:bottom w:val="nil"/>
              <w:right w:val="nil"/>
            </w:tcBorders>
            <w:shd w:val="clear" w:color="auto" w:fill="auto"/>
            <w:noWrap/>
            <w:vAlign w:val="center"/>
            <w:hideMark/>
          </w:tcPr>
          <w:p w14:paraId="7C3C13CE" w14:textId="5493DA8E"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20.9</w:t>
            </w:r>
          </w:p>
        </w:tc>
      </w:tr>
      <w:tr w:rsidR="00F13096" w:rsidRPr="002D7070" w14:paraId="770949DB" w14:textId="77777777" w:rsidTr="00F13096">
        <w:trPr>
          <w:trHeight w:val="225"/>
        </w:trPr>
        <w:tc>
          <w:tcPr>
            <w:tcW w:w="4540" w:type="dxa"/>
            <w:tcBorders>
              <w:top w:val="nil"/>
              <w:left w:val="nil"/>
              <w:right w:val="nil"/>
            </w:tcBorders>
            <w:shd w:val="clear" w:color="auto" w:fill="auto"/>
            <w:noWrap/>
            <w:vAlign w:val="center"/>
            <w:hideMark/>
          </w:tcPr>
          <w:p w14:paraId="0BEBE62E" w14:textId="6018CCE1" w:rsidR="00F13096" w:rsidRPr="002D7070" w:rsidRDefault="00F13096" w:rsidP="00F13096">
            <w:pPr>
              <w:spacing w:after="0" w:line="276" w:lineRule="auto"/>
              <w:ind w:firstLineChars="100" w:firstLine="160"/>
              <w:rPr>
                <w:rFonts w:ascii="Arial" w:eastAsia="Times New Roman" w:hAnsi="Arial" w:cs="Arial"/>
                <w:i/>
                <w:iCs/>
                <w:color w:val="000000"/>
                <w:sz w:val="16"/>
                <w:szCs w:val="16"/>
                <w:lang w:eastAsia="en-AU"/>
              </w:rPr>
            </w:pPr>
            <w:r w:rsidRPr="002D7070">
              <w:rPr>
                <w:rFonts w:ascii="Arial" w:eastAsia="Times New Roman" w:hAnsi="Arial" w:cs="Arial"/>
                <w:i/>
                <w:iCs/>
                <w:color w:val="000000"/>
                <w:sz w:val="16"/>
                <w:szCs w:val="16"/>
                <w:lang w:eastAsia="en-AU"/>
              </w:rPr>
              <w:t xml:space="preserve">Live </w:t>
            </w:r>
            <w:r>
              <w:rPr>
                <w:rFonts w:ascii="Arial" w:eastAsia="Times New Roman" w:hAnsi="Arial" w:cs="Arial"/>
                <w:i/>
                <w:iCs/>
                <w:color w:val="000000"/>
                <w:sz w:val="16"/>
                <w:szCs w:val="16"/>
                <w:lang w:eastAsia="en-AU"/>
              </w:rPr>
              <w:t>births</w:t>
            </w:r>
            <w:r w:rsidRPr="002D7070">
              <w:rPr>
                <w:rFonts w:ascii="Arial" w:eastAsia="Times New Roman" w:hAnsi="Arial" w:cs="Arial"/>
                <w:i/>
                <w:iCs/>
                <w:color w:val="000000"/>
                <w:sz w:val="16"/>
                <w:szCs w:val="16"/>
                <w:lang w:eastAsia="en-AU"/>
              </w:rPr>
              <w:t xml:space="preserve"> per embryo transfer cycle (%)</w:t>
            </w:r>
          </w:p>
        </w:tc>
        <w:tc>
          <w:tcPr>
            <w:tcW w:w="760" w:type="dxa"/>
            <w:tcBorders>
              <w:top w:val="nil"/>
              <w:left w:val="nil"/>
              <w:right w:val="nil"/>
            </w:tcBorders>
            <w:shd w:val="clear" w:color="auto" w:fill="auto"/>
            <w:noWrap/>
            <w:vAlign w:val="center"/>
            <w:hideMark/>
          </w:tcPr>
          <w:p w14:paraId="73EA3565" w14:textId="3CE194BC"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42.9</w:t>
            </w:r>
          </w:p>
        </w:tc>
        <w:tc>
          <w:tcPr>
            <w:tcW w:w="835" w:type="dxa"/>
            <w:tcBorders>
              <w:top w:val="nil"/>
              <w:left w:val="nil"/>
              <w:right w:val="nil"/>
            </w:tcBorders>
            <w:shd w:val="clear" w:color="auto" w:fill="auto"/>
            <w:noWrap/>
            <w:vAlign w:val="center"/>
            <w:hideMark/>
          </w:tcPr>
          <w:p w14:paraId="7B0F56DA" w14:textId="554F5A97" w:rsidR="00F13096" w:rsidRPr="00450FA0"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42.3</w:t>
            </w:r>
          </w:p>
        </w:tc>
        <w:tc>
          <w:tcPr>
            <w:tcW w:w="835" w:type="dxa"/>
            <w:tcBorders>
              <w:top w:val="nil"/>
              <w:left w:val="nil"/>
              <w:right w:val="nil"/>
            </w:tcBorders>
            <w:shd w:val="clear" w:color="auto" w:fill="auto"/>
            <w:noWrap/>
            <w:vAlign w:val="center"/>
            <w:hideMark/>
          </w:tcPr>
          <w:p w14:paraId="1683F072" w14:textId="732E2B97" w:rsidR="00F13096" w:rsidRPr="00450FA0"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28.4</w:t>
            </w:r>
          </w:p>
        </w:tc>
        <w:tc>
          <w:tcPr>
            <w:tcW w:w="760" w:type="dxa"/>
            <w:tcBorders>
              <w:top w:val="nil"/>
              <w:left w:val="nil"/>
              <w:right w:val="nil"/>
            </w:tcBorders>
            <w:shd w:val="clear" w:color="auto" w:fill="auto"/>
            <w:noWrap/>
            <w:vAlign w:val="center"/>
            <w:hideMark/>
          </w:tcPr>
          <w:p w14:paraId="5EABF3A5" w14:textId="5969E244" w:rsidR="00F13096" w:rsidRPr="00450FA0"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9.5</w:t>
            </w:r>
          </w:p>
        </w:tc>
        <w:tc>
          <w:tcPr>
            <w:tcW w:w="760" w:type="dxa"/>
            <w:tcBorders>
              <w:top w:val="nil"/>
              <w:left w:val="nil"/>
              <w:right w:val="nil"/>
            </w:tcBorders>
            <w:shd w:val="clear" w:color="auto" w:fill="auto"/>
            <w:noWrap/>
            <w:vAlign w:val="center"/>
            <w:hideMark/>
          </w:tcPr>
          <w:p w14:paraId="05AEDD8F" w14:textId="5DFB4304" w:rsidR="00F13096" w:rsidRPr="00450FA0"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0.0</w:t>
            </w:r>
          </w:p>
        </w:tc>
        <w:tc>
          <w:tcPr>
            <w:tcW w:w="835" w:type="dxa"/>
            <w:tcBorders>
              <w:top w:val="nil"/>
              <w:left w:val="nil"/>
              <w:right w:val="nil"/>
            </w:tcBorders>
            <w:shd w:val="clear" w:color="auto" w:fill="auto"/>
            <w:noWrap/>
            <w:vAlign w:val="center"/>
            <w:hideMark/>
          </w:tcPr>
          <w:p w14:paraId="2076578C" w14:textId="3A299E9C" w:rsidR="00F13096" w:rsidRPr="00450FA0"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29.0</w:t>
            </w:r>
          </w:p>
        </w:tc>
      </w:tr>
      <w:tr w:rsidR="00F13096" w:rsidRPr="002D7070" w14:paraId="3293CC74" w14:textId="77777777" w:rsidTr="00F13096">
        <w:trPr>
          <w:trHeight w:val="240"/>
        </w:trPr>
        <w:tc>
          <w:tcPr>
            <w:tcW w:w="4540" w:type="dxa"/>
            <w:tcBorders>
              <w:top w:val="nil"/>
              <w:left w:val="nil"/>
              <w:bottom w:val="single" w:sz="12" w:space="0" w:color="auto"/>
              <w:right w:val="nil"/>
            </w:tcBorders>
            <w:shd w:val="clear" w:color="auto" w:fill="auto"/>
            <w:noWrap/>
            <w:vAlign w:val="center"/>
            <w:hideMark/>
          </w:tcPr>
          <w:p w14:paraId="3A635902" w14:textId="5DA755E8" w:rsidR="00F13096" w:rsidRPr="002D7070" w:rsidRDefault="00F13096" w:rsidP="00F13096">
            <w:pPr>
              <w:spacing w:after="0" w:line="276" w:lineRule="auto"/>
              <w:ind w:firstLineChars="100" w:firstLine="160"/>
              <w:rPr>
                <w:rFonts w:ascii="Arial" w:eastAsia="Times New Roman" w:hAnsi="Arial" w:cs="Arial"/>
                <w:i/>
                <w:iCs/>
                <w:color w:val="000000"/>
                <w:sz w:val="16"/>
                <w:szCs w:val="16"/>
                <w:lang w:eastAsia="en-AU"/>
              </w:rPr>
            </w:pPr>
            <w:r w:rsidRPr="002D7070">
              <w:rPr>
                <w:rFonts w:ascii="Arial" w:eastAsia="Times New Roman" w:hAnsi="Arial" w:cs="Arial"/>
                <w:i/>
                <w:iCs/>
                <w:color w:val="000000"/>
                <w:sz w:val="16"/>
                <w:szCs w:val="16"/>
                <w:lang w:eastAsia="en-AU"/>
              </w:rPr>
              <w:t xml:space="preserve">Live </w:t>
            </w:r>
            <w:r>
              <w:rPr>
                <w:rFonts w:ascii="Arial" w:eastAsia="Times New Roman" w:hAnsi="Arial" w:cs="Arial"/>
                <w:i/>
                <w:iCs/>
                <w:color w:val="000000"/>
                <w:sz w:val="16"/>
                <w:szCs w:val="16"/>
                <w:lang w:eastAsia="en-AU"/>
              </w:rPr>
              <w:t>births</w:t>
            </w:r>
            <w:r w:rsidRPr="002D7070">
              <w:rPr>
                <w:rFonts w:ascii="Arial" w:eastAsia="Times New Roman" w:hAnsi="Arial" w:cs="Arial"/>
                <w:i/>
                <w:iCs/>
                <w:color w:val="000000"/>
                <w:sz w:val="16"/>
                <w:szCs w:val="16"/>
                <w:lang w:eastAsia="en-AU"/>
              </w:rPr>
              <w:t xml:space="preserve"> per clinical pregnancy (%)</w:t>
            </w:r>
          </w:p>
        </w:tc>
        <w:tc>
          <w:tcPr>
            <w:tcW w:w="760" w:type="dxa"/>
            <w:tcBorders>
              <w:top w:val="nil"/>
              <w:left w:val="nil"/>
              <w:bottom w:val="single" w:sz="12" w:space="0" w:color="auto"/>
              <w:right w:val="nil"/>
            </w:tcBorders>
            <w:shd w:val="clear" w:color="auto" w:fill="auto"/>
            <w:noWrap/>
            <w:vAlign w:val="center"/>
            <w:hideMark/>
          </w:tcPr>
          <w:p w14:paraId="105A84B6" w14:textId="1F60A5F2"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85.7</w:t>
            </w:r>
          </w:p>
        </w:tc>
        <w:tc>
          <w:tcPr>
            <w:tcW w:w="835" w:type="dxa"/>
            <w:tcBorders>
              <w:top w:val="nil"/>
              <w:left w:val="nil"/>
              <w:bottom w:val="single" w:sz="12" w:space="0" w:color="auto"/>
              <w:right w:val="nil"/>
            </w:tcBorders>
            <w:shd w:val="clear" w:color="auto" w:fill="auto"/>
            <w:noWrap/>
            <w:vAlign w:val="center"/>
            <w:hideMark/>
          </w:tcPr>
          <w:p w14:paraId="7BA1EB91" w14:textId="57D1FB0B" w:rsidR="00F13096" w:rsidRPr="00450FA0"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84.6</w:t>
            </w:r>
          </w:p>
        </w:tc>
        <w:tc>
          <w:tcPr>
            <w:tcW w:w="835" w:type="dxa"/>
            <w:tcBorders>
              <w:top w:val="nil"/>
              <w:left w:val="nil"/>
              <w:bottom w:val="single" w:sz="12" w:space="0" w:color="auto"/>
              <w:right w:val="nil"/>
            </w:tcBorders>
            <w:shd w:val="clear" w:color="auto" w:fill="auto"/>
            <w:noWrap/>
            <w:vAlign w:val="center"/>
            <w:hideMark/>
          </w:tcPr>
          <w:p w14:paraId="0DD71563" w14:textId="567DADA5" w:rsidR="00F13096" w:rsidRPr="00450FA0"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78.9</w:t>
            </w:r>
          </w:p>
        </w:tc>
        <w:tc>
          <w:tcPr>
            <w:tcW w:w="760" w:type="dxa"/>
            <w:tcBorders>
              <w:top w:val="nil"/>
              <w:left w:val="nil"/>
              <w:bottom w:val="single" w:sz="12" w:space="0" w:color="auto"/>
              <w:right w:val="nil"/>
            </w:tcBorders>
            <w:shd w:val="clear" w:color="auto" w:fill="auto"/>
            <w:noWrap/>
            <w:vAlign w:val="center"/>
            <w:hideMark/>
          </w:tcPr>
          <w:p w14:paraId="0F5C263F" w14:textId="5142583B" w:rsidR="00F13096" w:rsidRPr="00450FA0"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52.5</w:t>
            </w:r>
          </w:p>
        </w:tc>
        <w:tc>
          <w:tcPr>
            <w:tcW w:w="760" w:type="dxa"/>
            <w:tcBorders>
              <w:top w:val="nil"/>
              <w:left w:val="nil"/>
              <w:bottom w:val="single" w:sz="12" w:space="0" w:color="auto"/>
              <w:right w:val="nil"/>
            </w:tcBorders>
            <w:shd w:val="clear" w:color="auto" w:fill="auto"/>
            <w:noWrap/>
            <w:vAlign w:val="center"/>
            <w:hideMark/>
          </w:tcPr>
          <w:p w14:paraId="5D3409F7" w14:textId="1BE8C19C" w:rsidR="00F13096" w:rsidRPr="00450FA0"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w:t>
            </w:r>
          </w:p>
        </w:tc>
        <w:tc>
          <w:tcPr>
            <w:tcW w:w="835" w:type="dxa"/>
            <w:tcBorders>
              <w:top w:val="nil"/>
              <w:left w:val="nil"/>
              <w:bottom w:val="single" w:sz="12" w:space="0" w:color="auto"/>
              <w:right w:val="nil"/>
            </w:tcBorders>
            <w:shd w:val="clear" w:color="auto" w:fill="auto"/>
            <w:noWrap/>
            <w:vAlign w:val="center"/>
            <w:hideMark/>
          </w:tcPr>
          <w:p w14:paraId="306F22B8" w14:textId="14FFE6D6" w:rsidR="00F13096" w:rsidRPr="00450FA0"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79.1</w:t>
            </w:r>
          </w:p>
        </w:tc>
      </w:tr>
    </w:tbl>
    <w:p w14:paraId="23941A63" w14:textId="19BF06AA" w:rsidR="009303CD" w:rsidRDefault="009303CD" w:rsidP="00814AD1">
      <w:pPr>
        <w:pStyle w:val="TableFigNotesnumbered"/>
        <w:numPr>
          <w:ilvl w:val="0"/>
          <w:numId w:val="8"/>
        </w:numPr>
        <w:spacing w:before="0" w:line="240" w:lineRule="auto"/>
        <w:ind w:left="284" w:hanging="284"/>
        <w:rPr>
          <w:rFonts w:cs="Arial"/>
        </w:rPr>
      </w:pPr>
      <w:r w:rsidRPr="00617599">
        <w:rPr>
          <w:rFonts w:cs="Arial"/>
        </w:rPr>
        <w:t>Age at start of a treatment cycle.</w:t>
      </w:r>
    </w:p>
    <w:p w14:paraId="506F55D7" w14:textId="265B8E55" w:rsidR="008811DA" w:rsidRPr="00617599" w:rsidRDefault="008811DA" w:rsidP="00814AD1">
      <w:pPr>
        <w:pStyle w:val="TableFigNotesnumbered"/>
        <w:numPr>
          <w:ilvl w:val="0"/>
          <w:numId w:val="8"/>
        </w:numPr>
        <w:spacing w:before="0" w:line="240" w:lineRule="auto"/>
        <w:ind w:left="284" w:hanging="284"/>
        <w:rPr>
          <w:rFonts w:cs="Arial"/>
        </w:rPr>
      </w:pPr>
      <w:r>
        <w:rPr>
          <w:rFonts w:cs="Arial"/>
        </w:rPr>
        <w:t>Freeze-all cycles are fresh ART treatment cycles where all oocytes or embryos are cryopreserved</w:t>
      </w:r>
      <w:r w:rsidR="00EC24AC">
        <w:rPr>
          <w:rFonts w:cs="Arial"/>
        </w:rPr>
        <w:t>,</w:t>
      </w:r>
      <w:r>
        <w:rPr>
          <w:rFonts w:cs="Arial"/>
        </w:rPr>
        <w:t xml:space="preserve"> and an embryo transfer does not take place.</w:t>
      </w:r>
    </w:p>
    <w:p w14:paraId="03C51705" w14:textId="0BB7E5A2" w:rsidR="009303CD" w:rsidRPr="00617599" w:rsidRDefault="009303CD" w:rsidP="009303CD">
      <w:pPr>
        <w:pStyle w:val="Heading3"/>
        <w:rPr>
          <w:rFonts w:eastAsia="Times New Roman" w:cs="Arial"/>
        </w:rPr>
      </w:pPr>
      <w:bookmarkStart w:id="268" w:name="_Toc453061467"/>
      <w:bookmarkStart w:id="269" w:name="_Toc453059064"/>
      <w:bookmarkStart w:id="270" w:name="_Toc453057395"/>
      <w:bookmarkStart w:id="271" w:name="_Toc453055610"/>
      <w:bookmarkStart w:id="272" w:name="_Toc453054836"/>
      <w:r w:rsidRPr="00617599">
        <w:rPr>
          <w:rFonts w:eastAsia="Times New Roman" w:cs="Arial"/>
        </w:rPr>
        <w:t xml:space="preserve">Clinical pregnancies and live </w:t>
      </w:r>
      <w:r w:rsidR="00C736CE">
        <w:rPr>
          <w:rFonts w:eastAsia="Times New Roman" w:cs="Arial"/>
        </w:rPr>
        <w:t>births</w:t>
      </w:r>
      <w:r w:rsidRPr="00617599">
        <w:rPr>
          <w:rFonts w:eastAsia="Times New Roman" w:cs="Arial"/>
        </w:rPr>
        <w:t xml:space="preserve"> by number of embryos transferred from autologous fresh cycles</w:t>
      </w:r>
      <w:bookmarkEnd w:id="268"/>
      <w:bookmarkEnd w:id="269"/>
      <w:bookmarkEnd w:id="270"/>
      <w:bookmarkEnd w:id="271"/>
      <w:bookmarkEnd w:id="272"/>
    </w:p>
    <w:p w14:paraId="461C23AB" w14:textId="25486A86" w:rsidR="007B352F" w:rsidRDefault="009303CD" w:rsidP="009303CD">
      <w:pPr>
        <w:pStyle w:val="NPESUbodytext"/>
        <w:rPr>
          <w:rFonts w:cs="Arial"/>
          <w:lang w:eastAsia="en-AU"/>
        </w:rPr>
      </w:pPr>
      <w:r w:rsidRPr="00AF7591">
        <w:rPr>
          <w:rFonts w:cs="Arial"/>
          <w:lang w:eastAsia="en-AU"/>
        </w:rPr>
        <w:t>Overall</w:t>
      </w:r>
      <w:r w:rsidRPr="00FE00F9">
        <w:rPr>
          <w:rFonts w:cs="Arial"/>
          <w:lang w:eastAsia="en-AU"/>
        </w:rPr>
        <w:t xml:space="preserve">, </w:t>
      </w:r>
      <w:r w:rsidR="00FE155D">
        <w:rPr>
          <w:rFonts w:cs="Arial"/>
          <w:lang w:eastAsia="en-AU"/>
        </w:rPr>
        <w:t>9</w:t>
      </w:r>
      <w:r w:rsidR="00F226A8">
        <w:rPr>
          <w:rFonts w:cs="Arial"/>
          <w:lang w:eastAsia="en-AU"/>
        </w:rPr>
        <w:t>6.8</w:t>
      </w:r>
      <w:r w:rsidRPr="00FE00F9">
        <w:rPr>
          <w:rFonts w:cs="Arial"/>
          <w:lang w:eastAsia="en-AU"/>
        </w:rPr>
        <w:t>% of autologous fresh embryo transfer cycles were SET cycles</w:t>
      </w:r>
      <w:r w:rsidR="001A7C9C" w:rsidRPr="00FE00F9">
        <w:rPr>
          <w:rFonts w:cs="Arial"/>
          <w:lang w:eastAsia="en-AU"/>
        </w:rPr>
        <w:t xml:space="preserve"> and </w:t>
      </w:r>
      <w:r w:rsidR="00F226A8">
        <w:rPr>
          <w:rFonts w:cs="Arial"/>
          <w:lang w:eastAsia="en-AU"/>
        </w:rPr>
        <w:t>3.2</w:t>
      </w:r>
      <w:r w:rsidRPr="00FE00F9">
        <w:rPr>
          <w:rFonts w:cs="Arial"/>
          <w:lang w:eastAsia="en-AU"/>
        </w:rPr>
        <w:t xml:space="preserve">% were DET cycles. </w:t>
      </w:r>
      <w:r w:rsidRPr="00AF7591">
        <w:rPr>
          <w:rFonts w:cs="Arial"/>
          <w:lang w:eastAsia="en-AU"/>
        </w:rPr>
        <w:t xml:space="preserve">Overall, the live </w:t>
      </w:r>
      <w:r w:rsidR="00EC42AE">
        <w:rPr>
          <w:rFonts w:cs="Arial"/>
          <w:lang w:eastAsia="en-AU"/>
        </w:rPr>
        <w:t>birth</w:t>
      </w:r>
      <w:r w:rsidRPr="00AF7591">
        <w:rPr>
          <w:rFonts w:cs="Arial"/>
          <w:lang w:eastAsia="en-AU"/>
        </w:rPr>
        <w:t xml:space="preserve"> </w:t>
      </w:r>
      <w:r w:rsidR="00ED14A8">
        <w:rPr>
          <w:rFonts w:cs="Arial"/>
          <w:lang w:eastAsia="en-AU"/>
        </w:rPr>
        <w:t>rate per embryo transfer cycle</w:t>
      </w:r>
      <w:r w:rsidRPr="00AF7591">
        <w:rPr>
          <w:rFonts w:cs="Arial"/>
          <w:lang w:eastAsia="en-AU"/>
        </w:rPr>
        <w:t xml:space="preserve"> was </w:t>
      </w:r>
      <w:r w:rsidR="00F226A8">
        <w:rPr>
          <w:rFonts w:cs="Arial"/>
          <w:lang w:eastAsia="en-AU"/>
        </w:rPr>
        <w:t>29.5</w:t>
      </w:r>
      <w:r w:rsidRPr="00AF7591">
        <w:rPr>
          <w:rFonts w:cs="Arial"/>
          <w:lang w:eastAsia="en-AU"/>
        </w:rPr>
        <w:t xml:space="preserve">% for SET cycles and </w:t>
      </w:r>
      <w:r w:rsidR="00211CFF">
        <w:rPr>
          <w:rFonts w:cs="Arial"/>
          <w:lang w:eastAsia="en-AU"/>
        </w:rPr>
        <w:t>1</w:t>
      </w:r>
      <w:r w:rsidR="00F226A8">
        <w:rPr>
          <w:rFonts w:cs="Arial"/>
          <w:lang w:eastAsia="en-AU"/>
        </w:rPr>
        <w:t>3.5</w:t>
      </w:r>
      <w:r w:rsidRPr="00AF7591">
        <w:rPr>
          <w:rFonts w:cs="Arial"/>
          <w:lang w:eastAsia="en-AU"/>
        </w:rPr>
        <w:t>% for DET cycles (Table 1</w:t>
      </w:r>
      <w:r w:rsidR="00FD79B7">
        <w:rPr>
          <w:rFonts w:cs="Arial"/>
          <w:lang w:eastAsia="en-AU"/>
        </w:rPr>
        <w:t>2</w:t>
      </w:r>
      <w:r w:rsidRPr="00AF7591">
        <w:rPr>
          <w:rFonts w:cs="Arial"/>
          <w:lang w:eastAsia="en-AU"/>
        </w:rPr>
        <w:t>).</w:t>
      </w:r>
    </w:p>
    <w:tbl>
      <w:tblPr>
        <w:tblW w:w="9562" w:type="dxa"/>
        <w:tblLayout w:type="fixed"/>
        <w:tblCellMar>
          <w:top w:w="17" w:type="dxa"/>
          <w:left w:w="17" w:type="dxa"/>
          <w:bottom w:w="17" w:type="dxa"/>
          <w:right w:w="17" w:type="dxa"/>
        </w:tblCellMar>
        <w:tblLook w:val="04A0" w:firstRow="1" w:lastRow="0" w:firstColumn="1" w:lastColumn="0" w:noHBand="0" w:noVBand="1"/>
      </w:tblPr>
      <w:tblGrid>
        <w:gridCol w:w="3686"/>
        <w:gridCol w:w="567"/>
        <w:gridCol w:w="709"/>
        <w:gridCol w:w="57"/>
        <w:gridCol w:w="793"/>
        <w:gridCol w:w="757"/>
        <w:gridCol w:w="79"/>
        <w:gridCol w:w="709"/>
        <w:gridCol w:w="709"/>
        <w:gridCol w:w="79"/>
        <w:gridCol w:w="708"/>
        <w:gridCol w:w="709"/>
      </w:tblGrid>
      <w:tr w:rsidR="0030584A" w:rsidRPr="00914C92" w14:paraId="6BC36FB0" w14:textId="77777777" w:rsidTr="00F13096">
        <w:trPr>
          <w:trHeight w:val="225"/>
        </w:trPr>
        <w:tc>
          <w:tcPr>
            <w:tcW w:w="9562" w:type="dxa"/>
            <w:gridSpan w:val="12"/>
            <w:tcBorders>
              <w:top w:val="nil"/>
              <w:left w:val="nil"/>
              <w:bottom w:val="single" w:sz="12" w:space="0" w:color="auto"/>
              <w:right w:val="nil"/>
            </w:tcBorders>
            <w:shd w:val="clear" w:color="auto" w:fill="auto"/>
            <w:noWrap/>
            <w:vAlign w:val="center"/>
          </w:tcPr>
          <w:p w14:paraId="65398C2C" w14:textId="259AC2A3" w:rsidR="0030584A" w:rsidRPr="00360E75" w:rsidRDefault="0030584A" w:rsidP="00CC6C74">
            <w:pPr>
              <w:pStyle w:val="Caption"/>
              <w:rPr>
                <w:rFonts w:eastAsia="Times New Roman"/>
                <w:lang w:eastAsia="en-AU"/>
              </w:rPr>
            </w:pPr>
            <w:bookmarkStart w:id="273" w:name="_Toc158026561"/>
            <w:r w:rsidRPr="00360E75">
              <w:rPr>
                <w:rFonts w:eastAsia="Times New Roman"/>
                <w:lang w:eastAsia="en-AU"/>
              </w:rPr>
              <w:t>Table 1</w:t>
            </w:r>
            <w:r w:rsidR="00F400A5">
              <w:rPr>
                <w:rFonts w:eastAsia="Times New Roman"/>
                <w:lang w:eastAsia="en-AU"/>
              </w:rPr>
              <w:t>2</w:t>
            </w:r>
            <w:r w:rsidRPr="00360E75">
              <w:rPr>
                <w:rFonts w:eastAsia="Times New Roman"/>
                <w:lang w:eastAsia="en-AU"/>
              </w:rPr>
              <w:t xml:space="preserve">: Outcomes of autologous fresh embryo transfer cycles by women's age and number of embryos transferred, </w:t>
            </w:r>
            <w:r w:rsidR="00A501CE">
              <w:rPr>
                <w:rFonts w:eastAsia="Times New Roman"/>
                <w:lang w:eastAsia="en-AU"/>
              </w:rPr>
              <w:t>New Zealand, 20</w:t>
            </w:r>
            <w:r w:rsidR="00FE155D">
              <w:rPr>
                <w:rFonts w:eastAsia="Times New Roman"/>
                <w:lang w:eastAsia="en-AU"/>
              </w:rPr>
              <w:t>2</w:t>
            </w:r>
            <w:r w:rsidR="00F13096">
              <w:rPr>
                <w:rFonts w:eastAsia="Times New Roman"/>
                <w:lang w:eastAsia="en-AU"/>
              </w:rPr>
              <w:t>1</w:t>
            </w:r>
            <w:bookmarkEnd w:id="273"/>
            <w:r w:rsidR="00A501CE">
              <w:rPr>
                <w:rFonts w:eastAsia="Times New Roman"/>
                <w:lang w:eastAsia="en-AU"/>
              </w:rPr>
              <w:t xml:space="preserve"> </w:t>
            </w:r>
          </w:p>
        </w:tc>
      </w:tr>
      <w:tr w:rsidR="0030584A" w:rsidRPr="00914C92" w14:paraId="11FEA158" w14:textId="77777777" w:rsidTr="00F13096">
        <w:trPr>
          <w:trHeight w:val="225"/>
        </w:trPr>
        <w:tc>
          <w:tcPr>
            <w:tcW w:w="3686" w:type="dxa"/>
            <w:tcBorders>
              <w:top w:val="single" w:sz="12" w:space="0" w:color="auto"/>
              <w:left w:val="nil"/>
              <w:bottom w:val="nil"/>
              <w:right w:val="nil"/>
            </w:tcBorders>
            <w:shd w:val="clear" w:color="auto" w:fill="auto"/>
            <w:noWrap/>
            <w:vAlign w:val="center"/>
          </w:tcPr>
          <w:p w14:paraId="119976EF" w14:textId="77777777" w:rsidR="0030584A" w:rsidRPr="00914C92" w:rsidRDefault="0030584A" w:rsidP="00360E75">
            <w:pPr>
              <w:spacing w:after="0" w:line="276" w:lineRule="auto"/>
              <w:rPr>
                <w:rFonts w:ascii="Arial" w:eastAsia="Times New Roman" w:hAnsi="Arial" w:cs="Arial"/>
                <w:b/>
                <w:bCs/>
                <w:color w:val="000000"/>
                <w:sz w:val="16"/>
                <w:szCs w:val="16"/>
                <w:lang w:eastAsia="en-AU"/>
              </w:rPr>
            </w:pPr>
          </w:p>
        </w:tc>
        <w:tc>
          <w:tcPr>
            <w:tcW w:w="5876" w:type="dxa"/>
            <w:gridSpan w:val="11"/>
            <w:tcBorders>
              <w:top w:val="single" w:sz="12" w:space="0" w:color="auto"/>
              <w:left w:val="nil"/>
              <w:bottom w:val="single" w:sz="4" w:space="0" w:color="auto"/>
              <w:right w:val="nil"/>
            </w:tcBorders>
            <w:shd w:val="clear" w:color="auto" w:fill="auto"/>
            <w:noWrap/>
            <w:vAlign w:val="center"/>
          </w:tcPr>
          <w:p w14:paraId="0BE6029B" w14:textId="6581ADAC" w:rsidR="0030584A" w:rsidRPr="00914C92" w:rsidRDefault="0030584A" w:rsidP="00360E75">
            <w:pPr>
              <w:spacing w:after="0" w:line="276" w:lineRule="auto"/>
              <w:jc w:val="center"/>
              <w:rPr>
                <w:rFonts w:ascii="Arial" w:eastAsia="Times New Roman" w:hAnsi="Arial" w:cs="Arial"/>
                <w:b/>
                <w:bCs/>
                <w:color w:val="000000"/>
                <w:sz w:val="16"/>
                <w:szCs w:val="16"/>
                <w:lang w:eastAsia="en-AU"/>
              </w:rPr>
            </w:pPr>
            <w:r w:rsidRPr="00617599">
              <w:rPr>
                <w:rFonts w:ascii="Arial" w:hAnsi="Arial" w:cs="Arial"/>
                <w:b/>
                <w:bCs/>
                <w:sz w:val="16"/>
                <w:szCs w:val="16"/>
              </w:rPr>
              <w:t>Age group (years)</w:t>
            </w:r>
            <w:r w:rsidRPr="00617599">
              <w:rPr>
                <w:rFonts w:ascii="Arial" w:hAnsi="Arial" w:cs="Arial"/>
                <w:b/>
                <w:bCs/>
                <w:sz w:val="16"/>
                <w:szCs w:val="16"/>
                <w:vertAlign w:val="superscript"/>
              </w:rPr>
              <w:t>(a)</w:t>
            </w:r>
          </w:p>
        </w:tc>
      </w:tr>
      <w:tr w:rsidR="0030584A" w:rsidRPr="00914C92" w14:paraId="18736550" w14:textId="77777777" w:rsidTr="00E75E51">
        <w:trPr>
          <w:trHeight w:val="225"/>
        </w:trPr>
        <w:tc>
          <w:tcPr>
            <w:tcW w:w="3686" w:type="dxa"/>
            <w:tcBorders>
              <w:top w:val="nil"/>
              <w:left w:val="nil"/>
              <w:bottom w:val="nil"/>
              <w:right w:val="nil"/>
            </w:tcBorders>
            <w:shd w:val="clear" w:color="auto" w:fill="auto"/>
            <w:noWrap/>
            <w:vAlign w:val="center"/>
            <w:hideMark/>
          </w:tcPr>
          <w:p w14:paraId="5EF333A2" w14:textId="77777777" w:rsidR="0030584A" w:rsidRPr="00914C92" w:rsidRDefault="0030584A" w:rsidP="00360E75">
            <w:pPr>
              <w:spacing w:after="0" w:line="276" w:lineRule="auto"/>
              <w:rPr>
                <w:rFonts w:ascii="Arial" w:eastAsia="Times New Roman" w:hAnsi="Arial" w:cs="Arial"/>
                <w:b/>
                <w:bCs/>
                <w:color w:val="000000"/>
                <w:sz w:val="16"/>
                <w:szCs w:val="16"/>
                <w:lang w:eastAsia="en-AU"/>
              </w:rPr>
            </w:pPr>
            <w:r w:rsidRPr="00914C92">
              <w:rPr>
                <w:rFonts w:ascii="Arial" w:eastAsia="Times New Roman" w:hAnsi="Arial" w:cs="Arial"/>
                <w:b/>
                <w:bCs/>
                <w:color w:val="000000"/>
                <w:sz w:val="16"/>
                <w:szCs w:val="16"/>
                <w:lang w:eastAsia="en-AU"/>
              </w:rPr>
              <w:t> </w:t>
            </w:r>
          </w:p>
        </w:tc>
        <w:tc>
          <w:tcPr>
            <w:tcW w:w="1276" w:type="dxa"/>
            <w:gridSpan w:val="2"/>
            <w:tcBorders>
              <w:top w:val="single" w:sz="4" w:space="0" w:color="auto"/>
              <w:left w:val="nil"/>
              <w:bottom w:val="single" w:sz="4" w:space="0" w:color="auto"/>
              <w:right w:val="nil"/>
            </w:tcBorders>
            <w:shd w:val="clear" w:color="auto" w:fill="auto"/>
            <w:noWrap/>
            <w:vAlign w:val="center"/>
            <w:hideMark/>
          </w:tcPr>
          <w:p w14:paraId="3310A658" w14:textId="39CB1C6F" w:rsidR="0030584A" w:rsidRPr="00914C92" w:rsidRDefault="0030584A" w:rsidP="00360E75">
            <w:pPr>
              <w:spacing w:after="0" w:line="276" w:lineRule="auto"/>
              <w:jc w:val="center"/>
              <w:rPr>
                <w:rFonts w:ascii="Arial" w:eastAsia="Times New Roman" w:hAnsi="Arial" w:cs="Arial"/>
                <w:b/>
                <w:bCs/>
                <w:color w:val="000000"/>
                <w:sz w:val="16"/>
                <w:szCs w:val="16"/>
                <w:lang w:eastAsia="en-AU"/>
              </w:rPr>
            </w:pPr>
            <w:r w:rsidRPr="00914C92">
              <w:rPr>
                <w:rFonts w:ascii="Arial" w:eastAsia="Times New Roman" w:hAnsi="Arial" w:cs="Arial"/>
                <w:b/>
                <w:bCs/>
                <w:color w:val="000000"/>
                <w:sz w:val="16"/>
                <w:szCs w:val="16"/>
                <w:lang w:eastAsia="en-AU"/>
              </w:rPr>
              <w:t>&lt;</w:t>
            </w:r>
            <w:r w:rsidR="00E75E51">
              <w:rPr>
                <w:rFonts w:ascii="Arial" w:eastAsia="Times New Roman" w:hAnsi="Arial" w:cs="Arial"/>
                <w:b/>
                <w:bCs/>
                <w:color w:val="000000"/>
                <w:sz w:val="16"/>
                <w:szCs w:val="16"/>
                <w:lang w:eastAsia="en-AU"/>
              </w:rPr>
              <w:t xml:space="preserve"> </w:t>
            </w:r>
            <w:r w:rsidRPr="00914C92">
              <w:rPr>
                <w:rFonts w:ascii="Arial" w:eastAsia="Times New Roman" w:hAnsi="Arial" w:cs="Arial"/>
                <w:b/>
                <w:bCs/>
                <w:color w:val="000000"/>
                <w:sz w:val="16"/>
                <w:szCs w:val="16"/>
                <w:lang w:eastAsia="en-AU"/>
              </w:rPr>
              <w:t>35</w:t>
            </w:r>
          </w:p>
        </w:tc>
        <w:tc>
          <w:tcPr>
            <w:tcW w:w="57" w:type="dxa"/>
            <w:tcBorders>
              <w:top w:val="nil"/>
              <w:left w:val="nil"/>
              <w:bottom w:val="nil"/>
              <w:right w:val="nil"/>
            </w:tcBorders>
            <w:shd w:val="clear" w:color="auto" w:fill="auto"/>
            <w:noWrap/>
            <w:vAlign w:val="center"/>
            <w:hideMark/>
          </w:tcPr>
          <w:p w14:paraId="20CA454D" w14:textId="77777777" w:rsidR="0030584A" w:rsidRPr="00914C92" w:rsidRDefault="0030584A" w:rsidP="00360E75">
            <w:pPr>
              <w:spacing w:after="0" w:line="276" w:lineRule="auto"/>
              <w:jc w:val="center"/>
              <w:rPr>
                <w:rFonts w:ascii="Arial" w:eastAsia="Times New Roman" w:hAnsi="Arial" w:cs="Arial"/>
                <w:b/>
                <w:bCs/>
                <w:color w:val="000000"/>
                <w:sz w:val="16"/>
                <w:szCs w:val="16"/>
                <w:lang w:eastAsia="en-AU"/>
              </w:rPr>
            </w:pPr>
            <w:r w:rsidRPr="00914C92">
              <w:rPr>
                <w:rFonts w:ascii="Arial" w:eastAsia="Times New Roman" w:hAnsi="Arial" w:cs="Arial"/>
                <w:b/>
                <w:bCs/>
                <w:color w:val="000000"/>
                <w:sz w:val="16"/>
                <w:szCs w:val="16"/>
                <w:lang w:eastAsia="en-AU"/>
              </w:rPr>
              <w:t> </w:t>
            </w:r>
          </w:p>
        </w:tc>
        <w:tc>
          <w:tcPr>
            <w:tcW w:w="1550" w:type="dxa"/>
            <w:gridSpan w:val="2"/>
            <w:tcBorders>
              <w:top w:val="single" w:sz="4" w:space="0" w:color="auto"/>
              <w:left w:val="nil"/>
              <w:bottom w:val="single" w:sz="4" w:space="0" w:color="auto"/>
              <w:right w:val="nil"/>
            </w:tcBorders>
            <w:shd w:val="clear" w:color="auto" w:fill="auto"/>
            <w:vAlign w:val="center"/>
            <w:hideMark/>
          </w:tcPr>
          <w:p w14:paraId="0AD171D1" w14:textId="77777777" w:rsidR="0030584A" w:rsidRPr="00914C92" w:rsidRDefault="0030584A" w:rsidP="00360E75">
            <w:pPr>
              <w:spacing w:after="0" w:line="276" w:lineRule="auto"/>
              <w:jc w:val="center"/>
              <w:rPr>
                <w:rFonts w:ascii="Arial" w:eastAsia="Times New Roman" w:hAnsi="Arial" w:cs="Arial"/>
                <w:b/>
                <w:bCs/>
                <w:color w:val="000000"/>
                <w:sz w:val="16"/>
                <w:szCs w:val="16"/>
                <w:lang w:eastAsia="en-AU"/>
              </w:rPr>
            </w:pPr>
            <w:r w:rsidRPr="00914C92">
              <w:rPr>
                <w:rFonts w:ascii="Arial" w:eastAsia="Times New Roman" w:hAnsi="Arial" w:cs="Arial"/>
                <w:b/>
                <w:bCs/>
                <w:color w:val="000000"/>
                <w:sz w:val="16"/>
                <w:szCs w:val="16"/>
                <w:lang w:eastAsia="en-AU"/>
              </w:rPr>
              <w:t>35-39</w:t>
            </w:r>
          </w:p>
        </w:tc>
        <w:tc>
          <w:tcPr>
            <w:tcW w:w="79" w:type="dxa"/>
            <w:tcBorders>
              <w:top w:val="nil"/>
              <w:left w:val="nil"/>
              <w:bottom w:val="nil"/>
              <w:right w:val="nil"/>
            </w:tcBorders>
            <w:shd w:val="clear" w:color="auto" w:fill="auto"/>
            <w:noWrap/>
            <w:vAlign w:val="center"/>
            <w:hideMark/>
          </w:tcPr>
          <w:p w14:paraId="20082669" w14:textId="599988E9" w:rsidR="0030584A" w:rsidRPr="00914C92" w:rsidRDefault="0030584A" w:rsidP="00360E75">
            <w:pPr>
              <w:spacing w:after="0" w:line="276" w:lineRule="auto"/>
              <w:jc w:val="center"/>
              <w:rPr>
                <w:rFonts w:ascii="Arial" w:eastAsia="Times New Roman" w:hAnsi="Arial" w:cs="Arial"/>
                <w:b/>
                <w:bCs/>
                <w:color w:val="000000"/>
                <w:sz w:val="16"/>
                <w:szCs w:val="16"/>
                <w:lang w:eastAsia="en-AU"/>
              </w:rPr>
            </w:pPr>
            <w:r w:rsidRPr="00914C92">
              <w:rPr>
                <w:rFonts w:ascii="Arial" w:eastAsia="Times New Roman" w:hAnsi="Arial" w:cs="Arial"/>
                <w:b/>
                <w:bCs/>
                <w:color w:val="000000"/>
                <w:sz w:val="16"/>
                <w:szCs w:val="16"/>
                <w:lang w:eastAsia="en-AU"/>
              </w:rPr>
              <w:t> </w:t>
            </w:r>
          </w:p>
        </w:tc>
        <w:tc>
          <w:tcPr>
            <w:tcW w:w="1418" w:type="dxa"/>
            <w:gridSpan w:val="2"/>
            <w:tcBorders>
              <w:top w:val="single" w:sz="4" w:space="0" w:color="auto"/>
              <w:left w:val="nil"/>
              <w:bottom w:val="single" w:sz="4" w:space="0" w:color="auto"/>
              <w:right w:val="nil"/>
            </w:tcBorders>
            <w:shd w:val="clear" w:color="auto" w:fill="auto"/>
            <w:noWrap/>
            <w:vAlign w:val="center"/>
            <w:hideMark/>
          </w:tcPr>
          <w:p w14:paraId="73B6488F" w14:textId="6270FEF1" w:rsidR="0030584A" w:rsidRPr="00914C92" w:rsidRDefault="0030584A" w:rsidP="00360E75">
            <w:pPr>
              <w:spacing w:after="0" w:line="276" w:lineRule="auto"/>
              <w:jc w:val="center"/>
              <w:rPr>
                <w:rFonts w:ascii="Arial" w:eastAsia="Times New Roman" w:hAnsi="Arial" w:cs="Arial"/>
                <w:b/>
                <w:bCs/>
                <w:color w:val="000000"/>
                <w:sz w:val="16"/>
                <w:szCs w:val="16"/>
                <w:lang w:eastAsia="en-AU"/>
              </w:rPr>
            </w:pPr>
            <w:r w:rsidRPr="00914C92">
              <w:rPr>
                <w:rFonts w:ascii="Arial" w:eastAsia="Times New Roman" w:hAnsi="Arial" w:cs="Arial"/>
                <w:b/>
                <w:bCs/>
                <w:color w:val="000000"/>
                <w:sz w:val="16"/>
                <w:szCs w:val="16"/>
                <w:lang w:eastAsia="en-AU"/>
              </w:rPr>
              <w:t>≥</w:t>
            </w:r>
            <w:r>
              <w:rPr>
                <w:rFonts w:ascii="Arial" w:eastAsia="Times New Roman" w:hAnsi="Arial" w:cs="Arial"/>
                <w:b/>
                <w:bCs/>
                <w:color w:val="000000"/>
                <w:sz w:val="16"/>
                <w:szCs w:val="16"/>
                <w:lang w:eastAsia="en-AU"/>
              </w:rPr>
              <w:t xml:space="preserve"> </w:t>
            </w:r>
            <w:r w:rsidRPr="00914C92">
              <w:rPr>
                <w:rFonts w:ascii="Arial" w:eastAsia="Times New Roman" w:hAnsi="Arial" w:cs="Arial"/>
                <w:b/>
                <w:bCs/>
                <w:color w:val="000000"/>
                <w:sz w:val="16"/>
                <w:szCs w:val="16"/>
                <w:lang w:eastAsia="en-AU"/>
              </w:rPr>
              <w:t>40</w:t>
            </w:r>
          </w:p>
        </w:tc>
        <w:tc>
          <w:tcPr>
            <w:tcW w:w="79" w:type="dxa"/>
            <w:tcBorders>
              <w:top w:val="nil"/>
              <w:left w:val="nil"/>
              <w:bottom w:val="nil"/>
              <w:right w:val="nil"/>
            </w:tcBorders>
            <w:shd w:val="clear" w:color="auto" w:fill="auto"/>
            <w:noWrap/>
            <w:vAlign w:val="center"/>
            <w:hideMark/>
          </w:tcPr>
          <w:p w14:paraId="330A7B8E" w14:textId="77777777" w:rsidR="0030584A" w:rsidRPr="00914C92" w:rsidRDefault="0030584A" w:rsidP="00360E75">
            <w:pPr>
              <w:spacing w:after="0" w:line="276" w:lineRule="auto"/>
              <w:jc w:val="center"/>
              <w:rPr>
                <w:rFonts w:ascii="Arial" w:eastAsia="Times New Roman" w:hAnsi="Arial" w:cs="Arial"/>
                <w:b/>
                <w:bCs/>
                <w:color w:val="000000"/>
                <w:sz w:val="16"/>
                <w:szCs w:val="16"/>
                <w:lang w:eastAsia="en-AU"/>
              </w:rPr>
            </w:pPr>
            <w:r w:rsidRPr="00914C92">
              <w:rPr>
                <w:rFonts w:ascii="Arial" w:eastAsia="Times New Roman" w:hAnsi="Arial" w:cs="Arial"/>
                <w:b/>
                <w:bCs/>
                <w:color w:val="000000"/>
                <w:sz w:val="16"/>
                <w:szCs w:val="16"/>
                <w:lang w:eastAsia="en-AU"/>
              </w:rPr>
              <w:t> </w:t>
            </w:r>
          </w:p>
        </w:tc>
        <w:tc>
          <w:tcPr>
            <w:tcW w:w="1417" w:type="dxa"/>
            <w:gridSpan w:val="2"/>
            <w:tcBorders>
              <w:top w:val="single" w:sz="4" w:space="0" w:color="auto"/>
              <w:left w:val="nil"/>
              <w:bottom w:val="single" w:sz="4" w:space="0" w:color="auto"/>
              <w:right w:val="nil"/>
            </w:tcBorders>
            <w:shd w:val="clear" w:color="auto" w:fill="auto"/>
            <w:vAlign w:val="center"/>
            <w:hideMark/>
          </w:tcPr>
          <w:p w14:paraId="3432B5C0" w14:textId="77777777" w:rsidR="0030584A" w:rsidRPr="00914C92" w:rsidRDefault="0030584A" w:rsidP="00360E75">
            <w:pPr>
              <w:spacing w:after="0" w:line="276" w:lineRule="auto"/>
              <w:jc w:val="center"/>
              <w:rPr>
                <w:rFonts w:ascii="Arial" w:eastAsia="Times New Roman" w:hAnsi="Arial" w:cs="Arial"/>
                <w:b/>
                <w:bCs/>
                <w:color w:val="000000"/>
                <w:sz w:val="16"/>
                <w:szCs w:val="16"/>
                <w:lang w:eastAsia="en-AU"/>
              </w:rPr>
            </w:pPr>
            <w:r w:rsidRPr="00914C92">
              <w:rPr>
                <w:rFonts w:ascii="Arial" w:eastAsia="Times New Roman" w:hAnsi="Arial" w:cs="Arial"/>
                <w:b/>
                <w:bCs/>
                <w:color w:val="000000"/>
                <w:sz w:val="16"/>
                <w:szCs w:val="16"/>
                <w:lang w:eastAsia="en-AU"/>
              </w:rPr>
              <w:t>All</w:t>
            </w:r>
          </w:p>
        </w:tc>
      </w:tr>
      <w:tr w:rsidR="0030584A" w:rsidRPr="00914C92" w14:paraId="212D1BB1" w14:textId="77777777" w:rsidTr="00E75E51">
        <w:trPr>
          <w:trHeight w:val="225"/>
        </w:trPr>
        <w:tc>
          <w:tcPr>
            <w:tcW w:w="3686" w:type="dxa"/>
            <w:tcBorders>
              <w:top w:val="nil"/>
              <w:left w:val="nil"/>
              <w:bottom w:val="single" w:sz="4" w:space="0" w:color="auto"/>
              <w:right w:val="nil"/>
            </w:tcBorders>
            <w:shd w:val="clear" w:color="auto" w:fill="auto"/>
            <w:noWrap/>
            <w:vAlign w:val="center"/>
            <w:hideMark/>
          </w:tcPr>
          <w:p w14:paraId="1E026A62" w14:textId="77777777" w:rsidR="00914C92" w:rsidRPr="00914C92" w:rsidRDefault="00914C92" w:rsidP="00360E75">
            <w:pPr>
              <w:spacing w:after="0" w:line="276" w:lineRule="auto"/>
              <w:rPr>
                <w:rFonts w:ascii="Arial" w:eastAsia="Times New Roman" w:hAnsi="Arial" w:cs="Arial"/>
                <w:b/>
                <w:bCs/>
                <w:color w:val="000000"/>
                <w:sz w:val="16"/>
                <w:szCs w:val="16"/>
                <w:lang w:eastAsia="en-AU"/>
              </w:rPr>
            </w:pPr>
            <w:r w:rsidRPr="00914C92">
              <w:rPr>
                <w:rFonts w:ascii="Arial" w:eastAsia="Times New Roman" w:hAnsi="Arial" w:cs="Arial"/>
                <w:b/>
                <w:bCs/>
                <w:color w:val="000000"/>
                <w:sz w:val="16"/>
                <w:szCs w:val="16"/>
                <w:lang w:eastAsia="en-AU"/>
              </w:rPr>
              <w:t>Stage/outcome of treatment</w:t>
            </w:r>
          </w:p>
        </w:tc>
        <w:tc>
          <w:tcPr>
            <w:tcW w:w="567" w:type="dxa"/>
            <w:tcBorders>
              <w:top w:val="nil"/>
              <w:left w:val="nil"/>
              <w:bottom w:val="single" w:sz="4" w:space="0" w:color="auto"/>
              <w:right w:val="nil"/>
            </w:tcBorders>
            <w:shd w:val="clear" w:color="auto" w:fill="auto"/>
            <w:vAlign w:val="center"/>
            <w:hideMark/>
          </w:tcPr>
          <w:p w14:paraId="5DB7ED8B" w14:textId="4895C476" w:rsidR="00914C92" w:rsidRPr="00914C92" w:rsidRDefault="00914C92"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SET</w:t>
            </w:r>
            <w:r w:rsidRPr="00617599">
              <w:rPr>
                <w:rFonts w:ascii="Arial" w:hAnsi="Arial" w:cs="Arial"/>
                <w:b/>
                <w:bCs/>
                <w:sz w:val="16"/>
                <w:szCs w:val="16"/>
                <w:vertAlign w:val="superscript"/>
              </w:rPr>
              <w:t>(b)</w:t>
            </w:r>
          </w:p>
        </w:tc>
        <w:tc>
          <w:tcPr>
            <w:tcW w:w="709" w:type="dxa"/>
            <w:tcBorders>
              <w:top w:val="nil"/>
              <w:left w:val="nil"/>
              <w:bottom w:val="single" w:sz="4" w:space="0" w:color="auto"/>
              <w:right w:val="nil"/>
            </w:tcBorders>
            <w:shd w:val="clear" w:color="auto" w:fill="auto"/>
            <w:vAlign w:val="center"/>
            <w:hideMark/>
          </w:tcPr>
          <w:p w14:paraId="7420D352" w14:textId="467FE034" w:rsidR="00914C92" w:rsidRPr="00914C92" w:rsidRDefault="00914C92"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DET</w:t>
            </w:r>
            <w:r w:rsidRPr="00617599">
              <w:rPr>
                <w:rFonts w:ascii="Arial" w:hAnsi="Arial" w:cs="Arial"/>
                <w:b/>
                <w:bCs/>
                <w:sz w:val="16"/>
                <w:szCs w:val="16"/>
                <w:vertAlign w:val="superscript"/>
              </w:rPr>
              <w:t>(c)</w:t>
            </w:r>
          </w:p>
        </w:tc>
        <w:tc>
          <w:tcPr>
            <w:tcW w:w="57" w:type="dxa"/>
            <w:tcBorders>
              <w:top w:val="nil"/>
              <w:left w:val="nil"/>
              <w:bottom w:val="single" w:sz="4" w:space="0" w:color="auto"/>
              <w:right w:val="nil"/>
            </w:tcBorders>
            <w:shd w:val="clear" w:color="auto" w:fill="auto"/>
            <w:vAlign w:val="center"/>
            <w:hideMark/>
          </w:tcPr>
          <w:p w14:paraId="2A57EB39" w14:textId="77777777" w:rsidR="00914C92" w:rsidRPr="00914C92" w:rsidRDefault="00914C92" w:rsidP="00360E75">
            <w:pPr>
              <w:spacing w:after="0" w:line="276" w:lineRule="auto"/>
              <w:jc w:val="right"/>
              <w:rPr>
                <w:rFonts w:ascii="Arial" w:eastAsia="Times New Roman" w:hAnsi="Arial" w:cs="Arial"/>
                <w:b/>
                <w:bCs/>
                <w:color w:val="000000"/>
                <w:sz w:val="16"/>
                <w:szCs w:val="16"/>
                <w:lang w:eastAsia="en-AU"/>
              </w:rPr>
            </w:pPr>
            <w:r w:rsidRPr="00914C92">
              <w:rPr>
                <w:rFonts w:ascii="Arial" w:eastAsia="Times New Roman" w:hAnsi="Arial" w:cs="Arial"/>
                <w:b/>
                <w:bCs/>
                <w:color w:val="000000"/>
                <w:sz w:val="16"/>
                <w:szCs w:val="16"/>
                <w:lang w:eastAsia="en-AU"/>
              </w:rPr>
              <w:t> </w:t>
            </w:r>
          </w:p>
        </w:tc>
        <w:tc>
          <w:tcPr>
            <w:tcW w:w="793" w:type="dxa"/>
            <w:tcBorders>
              <w:top w:val="nil"/>
              <w:left w:val="nil"/>
              <w:bottom w:val="single" w:sz="4" w:space="0" w:color="auto"/>
              <w:right w:val="nil"/>
            </w:tcBorders>
            <w:shd w:val="clear" w:color="auto" w:fill="auto"/>
            <w:vAlign w:val="center"/>
            <w:hideMark/>
          </w:tcPr>
          <w:p w14:paraId="09E7BC0F" w14:textId="4B84B3F9" w:rsidR="00914C92" w:rsidRPr="00914C92" w:rsidRDefault="00914C92"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SET</w:t>
            </w:r>
            <w:r w:rsidRPr="00617599">
              <w:rPr>
                <w:rFonts w:ascii="Arial" w:hAnsi="Arial" w:cs="Arial"/>
                <w:b/>
                <w:bCs/>
                <w:sz w:val="16"/>
                <w:szCs w:val="16"/>
                <w:vertAlign w:val="superscript"/>
              </w:rPr>
              <w:t>(b)</w:t>
            </w:r>
          </w:p>
        </w:tc>
        <w:tc>
          <w:tcPr>
            <w:tcW w:w="757" w:type="dxa"/>
            <w:tcBorders>
              <w:top w:val="nil"/>
              <w:left w:val="nil"/>
              <w:bottom w:val="single" w:sz="4" w:space="0" w:color="auto"/>
              <w:right w:val="nil"/>
            </w:tcBorders>
            <w:shd w:val="clear" w:color="auto" w:fill="auto"/>
            <w:vAlign w:val="center"/>
            <w:hideMark/>
          </w:tcPr>
          <w:p w14:paraId="1A263077" w14:textId="3C9D7C89" w:rsidR="00914C92" w:rsidRPr="00914C92" w:rsidRDefault="00914C92"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DET</w:t>
            </w:r>
            <w:r w:rsidRPr="00617599">
              <w:rPr>
                <w:rFonts w:ascii="Arial" w:hAnsi="Arial" w:cs="Arial"/>
                <w:b/>
                <w:bCs/>
                <w:sz w:val="16"/>
                <w:szCs w:val="16"/>
                <w:vertAlign w:val="superscript"/>
              </w:rPr>
              <w:t>(c)</w:t>
            </w:r>
          </w:p>
        </w:tc>
        <w:tc>
          <w:tcPr>
            <w:tcW w:w="79" w:type="dxa"/>
            <w:tcBorders>
              <w:top w:val="nil"/>
              <w:left w:val="nil"/>
              <w:bottom w:val="single" w:sz="4" w:space="0" w:color="auto"/>
              <w:right w:val="nil"/>
            </w:tcBorders>
            <w:shd w:val="clear" w:color="auto" w:fill="auto"/>
            <w:vAlign w:val="center"/>
            <w:hideMark/>
          </w:tcPr>
          <w:p w14:paraId="461E14BB" w14:textId="77777777" w:rsidR="00914C92" w:rsidRPr="0030584A" w:rsidRDefault="00914C92" w:rsidP="00360E75">
            <w:pPr>
              <w:spacing w:after="0" w:line="276" w:lineRule="auto"/>
              <w:jc w:val="right"/>
              <w:rPr>
                <w:rFonts w:ascii="Arial" w:eastAsia="Times New Roman" w:hAnsi="Arial" w:cs="Arial"/>
                <w:b/>
                <w:bCs/>
                <w:color w:val="000000"/>
                <w:sz w:val="12"/>
                <w:szCs w:val="12"/>
                <w:lang w:eastAsia="en-AU"/>
              </w:rPr>
            </w:pPr>
            <w:r w:rsidRPr="0030584A">
              <w:rPr>
                <w:rFonts w:ascii="Arial" w:eastAsia="Times New Roman" w:hAnsi="Arial" w:cs="Arial"/>
                <w:b/>
                <w:bCs/>
                <w:color w:val="000000"/>
                <w:sz w:val="12"/>
                <w:szCs w:val="12"/>
                <w:lang w:eastAsia="en-AU"/>
              </w:rPr>
              <w:t> </w:t>
            </w:r>
          </w:p>
        </w:tc>
        <w:tc>
          <w:tcPr>
            <w:tcW w:w="709" w:type="dxa"/>
            <w:tcBorders>
              <w:top w:val="nil"/>
              <w:left w:val="nil"/>
              <w:bottom w:val="single" w:sz="4" w:space="0" w:color="auto"/>
              <w:right w:val="nil"/>
            </w:tcBorders>
            <w:shd w:val="clear" w:color="auto" w:fill="auto"/>
            <w:vAlign w:val="center"/>
            <w:hideMark/>
          </w:tcPr>
          <w:p w14:paraId="0B0E1910" w14:textId="753ED685" w:rsidR="00914C92" w:rsidRPr="00914C92" w:rsidRDefault="00914C92"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SET</w:t>
            </w:r>
            <w:r w:rsidRPr="00617599">
              <w:rPr>
                <w:rFonts w:ascii="Arial" w:hAnsi="Arial" w:cs="Arial"/>
                <w:b/>
                <w:bCs/>
                <w:sz w:val="16"/>
                <w:szCs w:val="16"/>
                <w:vertAlign w:val="superscript"/>
              </w:rPr>
              <w:t>(b)</w:t>
            </w:r>
          </w:p>
        </w:tc>
        <w:tc>
          <w:tcPr>
            <w:tcW w:w="709" w:type="dxa"/>
            <w:tcBorders>
              <w:top w:val="nil"/>
              <w:left w:val="nil"/>
              <w:bottom w:val="single" w:sz="4" w:space="0" w:color="auto"/>
              <w:right w:val="nil"/>
            </w:tcBorders>
            <w:shd w:val="clear" w:color="auto" w:fill="auto"/>
            <w:vAlign w:val="center"/>
            <w:hideMark/>
          </w:tcPr>
          <w:p w14:paraId="36E42719" w14:textId="732A19CE" w:rsidR="00914C92" w:rsidRPr="00914C92" w:rsidRDefault="00914C92"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DET</w:t>
            </w:r>
            <w:r w:rsidRPr="00617599">
              <w:rPr>
                <w:rFonts w:ascii="Arial" w:hAnsi="Arial" w:cs="Arial"/>
                <w:b/>
                <w:bCs/>
                <w:sz w:val="16"/>
                <w:szCs w:val="16"/>
                <w:vertAlign w:val="superscript"/>
              </w:rPr>
              <w:t>(c)</w:t>
            </w:r>
          </w:p>
        </w:tc>
        <w:tc>
          <w:tcPr>
            <w:tcW w:w="79" w:type="dxa"/>
            <w:tcBorders>
              <w:top w:val="nil"/>
              <w:left w:val="nil"/>
              <w:bottom w:val="single" w:sz="4" w:space="0" w:color="auto"/>
              <w:right w:val="nil"/>
            </w:tcBorders>
            <w:shd w:val="clear" w:color="auto" w:fill="auto"/>
            <w:vAlign w:val="center"/>
            <w:hideMark/>
          </w:tcPr>
          <w:p w14:paraId="69BCAAF8" w14:textId="77777777" w:rsidR="00914C92" w:rsidRPr="00914C92" w:rsidRDefault="00914C92" w:rsidP="00360E75">
            <w:pPr>
              <w:spacing w:after="0" w:line="276" w:lineRule="auto"/>
              <w:jc w:val="right"/>
              <w:rPr>
                <w:rFonts w:ascii="Arial" w:eastAsia="Times New Roman" w:hAnsi="Arial" w:cs="Arial"/>
                <w:b/>
                <w:bCs/>
                <w:color w:val="000000"/>
                <w:sz w:val="16"/>
                <w:szCs w:val="16"/>
                <w:lang w:eastAsia="en-AU"/>
              </w:rPr>
            </w:pPr>
            <w:r w:rsidRPr="00914C92">
              <w:rPr>
                <w:rFonts w:ascii="Arial" w:eastAsia="Times New Roman" w:hAnsi="Arial" w:cs="Arial"/>
                <w:b/>
                <w:bCs/>
                <w:color w:val="000000"/>
                <w:sz w:val="16"/>
                <w:szCs w:val="16"/>
                <w:lang w:eastAsia="en-AU"/>
              </w:rPr>
              <w:t> </w:t>
            </w:r>
          </w:p>
        </w:tc>
        <w:tc>
          <w:tcPr>
            <w:tcW w:w="708" w:type="dxa"/>
            <w:tcBorders>
              <w:top w:val="nil"/>
              <w:left w:val="nil"/>
              <w:bottom w:val="single" w:sz="4" w:space="0" w:color="auto"/>
              <w:right w:val="nil"/>
            </w:tcBorders>
            <w:shd w:val="clear" w:color="auto" w:fill="auto"/>
            <w:vAlign w:val="center"/>
            <w:hideMark/>
          </w:tcPr>
          <w:p w14:paraId="05F7D17A" w14:textId="7ED2C327" w:rsidR="00914C92" w:rsidRPr="00914C92" w:rsidRDefault="00914C92"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SET</w:t>
            </w:r>
            <w:r w:rsidRPr="00617599">
              <w:rPr>
                <w:rFonts w:ascii="Arial" w:hAnsi="Arial" w:cs="Arial"/>
                <w:b/>
                <w:bCs/>
                <w:sz w:val="16"/>
                <w:szCs w:val="16"/>
                <w:vertAlign w:val="superscript"/>
              </w:rPr>
              <w:t>(b)</w:t>
            </w:r>
          </w:p>
        </w:tc>
        <w:tc>
          <w:tcPr>
            <w:tcW w:w="709" w:type="dxa"/>
            <w:tcBorders>
              <w:top w:val="nil"/>
              <w:left w:val="nil"/>
              <w:bottom w:val="single" w:sz="4" w:space="0" w:color="auto"/>
              <w:right w:val="nil"/>
            </w:tcBorders>
            <w:shd w:val="clear" w:color="auto" w:fill="auto"/>
            <w:vAlign w:val="center"/>
            <w:hideMark/>
          </w:tcPr>
          <w:p w14:paraId="0F2BDF95" w14:textId="64EF53A1" w:rsidR="00914C92" w:rsidRPr="00914C92" w:rsidRDefault="00914C92"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DET</w:t>
            </w:r>
            <w:r w:rsidRPr="00617599">
              <w:rPr>
                <w:rFonts w:ascii="Arial" w:hAnsi="Arial" w:cs="Arial"/>
                <w:b/>
                <w:bCs/>
                <w:sz w:val="16"/>
                <w:szCs w:val="16"/>
                <w:vertAlign w:val="superscript"/>
              </w:rPr>
              <w:t>(c)</w:t>
            </w:r>
          </w:p>
        </w:tc>
      </w:tr>
      <w:tr w:rsidR="00F13096" w:rsidRPr="00914C92" w14:paraId="216A9818" w14:textId="77777777" w:rsidTr="00F13096">
        <w:trPr>
          <w:trHeight w:val="227"/>
        </w:trPr>
        <w:tc>
          <w:tcPr>
            <w:tcW w:w="3686" w:type="dxa"/>
            <w:tcBorders>
              <w:top w:val="nil"/>
              <w:left w:val="nil"/>
              <w:bottom w:val="nil"/>
              <w:right w:val="nil"/>
            </w:tcBorders>
            <w:shd w:val="clear" w:color="auto" w:fill="auto"/>
            <w:noWrap/>
            <w:vAlign w:val="center"/>
            <w:hideMark/>
          </w:tcPr>
          <w:p w14:paraId="5A8C107E" w14:textId="77777777" w:rsidR="00F13096" w:rsidRPr="00914C92" w:rsidRDefault="00F13096" w:rsidP="00F13096">
            <w:pPr>
              <w:spacing w:after="0" w:line="276" w:lineRule="auto"/>
              <w:rPr>
                <w:rFonts w:ascii="Arial" w:eastAsia="Times New Roman" w:hAnsi="Arial" w:cs="Arial"/>
                <w:color w:val="000000"/>
                <w:sz w:val="16"/>
                <w:szCs w:val="16"/>
                <w:lang w:eastAsia="en-AU"/>
              </w:rPr>
            </w:pPr>
            <w:r w:rsidRPr="00914C92">
              <w:rPr>
                <w:rFonts w:ascii="Arial" w:eastAsia="Times New Roman" w:hAnsi="Arial" w:cs="Arial"/>
                <w:color w:val="000000"/>
                <w:sz w:val="16"/>
                <w:szCs w:val="16"/>
                <w:lang w:eastAsia="en-AU"/>
              </w:rPr>
              <w:t>Embryo transfer cycles</w:t>
            </w:r>
          </w:p>
        </w:tc>
        <w:tc>
          <w:tcPr>
            <w:tcW w:w="567" w:type="dxa"/>
            <w:tcBorders>
              <w:top w:val="nil"/>
              <w:left w:val="nil"/>
              <w:bottom w:val="nil"/>
              <w:right w:val="nil"/>
            </w:tcBorders>
            <w:shd w:val="clear" w:color="auto" w:fill="auto"/>
            <w:vAlign w:val="center"/>
            <w:hideMark/>
          </w:tcPr>
          <w:p w14:paraId="4A619EA5" w14:textId="342F66E4"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549</w:t>
            </w:r>
          </w:p>
        </w:tc>
        <w:tc>
          <w:tcPr>
            <w:tcW w:w="709" w:type="dxa"/>
            <w:tcBorders>
              <w:top w:val="nil"/>
              <w:left w:val="nil"/>
              <w:bottom w:val="nil"/>
              <w:right w:val="nil"/>
            </w:tcBorders>
            <w:shd w:val="clear" w:color="auto" w:fill="auto"/>
            <w:vAlign w:val="center"/>
            <w:hideMark/>
          </w:tcPr>
          <w:p w14:paraId="1E0FF6DC" w14:textId="085D9007"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5</w:t>
            </w:r>
          </w:p>
        </w:tc>
        <w:tc>
          <w:tcPr>
            <w:tcW w:w="57" w:type="dxa"/>
            <w:tcBorders>
              <w:top w:val="nil"/>
              <w:left w:val="nil"/>
              <w:bottom w:val="nil"/>
              <w:right w:val="nil"/>
            </w:tcBorders>
            <w:shd w:val="clear" w:color="auto" w:fill="auto"/>
            <w:vAlign w:val="center"/>
            <w:hideMark/>
          </w:tcPr>
          <w:p w14:paraId="657E245F" w14:textId="315896BD"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793" w:type="dxa"/>
            <w:tcBorders>
              <w:top w:val="nil"/>
              <w:left w:val="nil"/>
              <w:bottom w:val="nil"/>
              <w:right w:val="nil"/>
            </w:tcBorders>
            <w:shd w:val="clear" w:color="auto" w:fill="auto"/>
            <w:vAlign w:val="center"/>
            <w:hideMark/>
          </w:tcPr>
          <w:p w14:paraId="3346312C" w14:textId="6C98A8EB"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729</w:t>
            </w:r>
          </w:p>
        </w:tc>
        <w:tc>
          <w:tcPr>
            <w:tcW w:w="757" w:type="dxa"/>
            <w:tcBorders>
              <w:top w:val="nil"/>
              <w:left w:val="nil"/>
              <w:bottom w:val="nil"/>
              <w:right w:val="nil"/>
            </w:tcBorders>
            <w:shd w:val="clear" w:color="auto" w:fill="auto"/>
            <w:vAlign w:val="center"/>
            <w:hideMark/>
          </w:tcPr>
          <w:p w14:paraId="26D9249A" w14:textId="6F14716E"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11</w:t>
            </w:r>
          </w:p>
        </w:tc>
        <w:tc>
          <w:tcPr>
            <w:tcW w:w="79" w:type="dxa"/>
            <w:tcBorders>
              <w:top w:val="nil"/>
              <w:left w:val="nil"/>
              <w:bottom w:val="nil"/>
              <w:right w:val="nil"/>
            </w:tcBorders>
            <w:shd w:val="clear" w:color="auto" w:fill="auto"/>
            <w:vAlign w:val="center"/>
            <w:hideMark/>
          </w:tcPr>
          <w:p w14:paraId="735DE396" w14:textId="1273EC8C" w:rsidR="00F13096" w:rsidRPr="00BC7EC6" w:rsidRDefault="00F13096" w:rsidP="00F13096">
            <w:pPr>
              <w:spacing w:after="0" w:line="276" w:lineRule="auto"/>
              <w:jc w:val="right"/>
              <w:rPr>
                <w:rFonts w:ascii="Arial" w:eastAsia="Times New Roman" w:hAnsi="Arial" w:cs="Arial"/>
                <w:sz w:val="12"/>
                <w:szCs w:val="12"/>
                <w:lang w:eastAsia="en-AU"/>
              </w:rPr>
            </w:pPr>
            <w:r>
              <w:rPr>
                <w:rFonts w:ascii="Arial" w:hAnsi="Arial" w:cs="Arial"/>
                <w:color w:val="000000"/>
                <w:sz w:val="16"/>
                <w:szCs w:val="16"/>
              </w:rPr>
              <w:t> </w:t>
            </w:r>
          </w:p>
        </w:tc>
        <w:tc>
          <w:tcPr>
            <w:tcW w:w="709" w:type="dxa"/>
            <w:tcBorders>
              <w:top w:val="nil"/>
              <w:left w:val="nil"/>
              <w:bottom w:val="nil"/>
              <w:right w:val="nil"/>
            </w:tcBorders>
            <w:shd w:val="clear" w:color="auto" w:fill="auto"/>
            <w:vAlign w:val="center"/>
            <w:hideMark/>
          </w:tcPr>
          <w:p w14:paraId="73F0E1CF" w14:textId="7FFFA2B7"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310</w:t>
            </w:r>
          </w:p>
        </w:tc>
        <w:tc>
          <w:tcPr>
            <w:tcW w:w="709" w:type="dxa"/>
            <w:tcBorders>
              <w:top w:val="nil"/>
              <w:left w:val="nil"/>
              <w:bottom w:val="nil"/>
              <w:right w:val="nil"/>
            </w:tcBorders>
            <w:shd w:val="clear" w:color="auto" w:fill="auto"/>
            <w:vAlign w:val="center"/>
            <w:hideMark/>
          </w:tcPr>
          <w:p w14:paraId="7B13A6D3" w14:textId="0F8ACC35"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36</w:t>
            </w:r>
          </w:p>
        </w:tc>
        <w:tc>
          <w:tcPr>
            <w:tcW w:w="79" w:type="dxa"/>
            <w:tcBorders>
              <w:top w:val="nil"/>
              <w:left w:val="nil"/>
              <w:bottom w:val="nil"/>
              <w:right w:val="nil"/>
            </w:tcBorders>
            <w:shd w:val="clear" w:color="auto" w:fill="auto"/>
            <w:vAlign w:val="center"/>
            <w:hideMark/>
          </w:tcPr>
          <w:p w14:paraId="3BF3EAC2" w14:textId="04193939"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708" w:type="dxa"/>
            <w:tcBorders>
              <w:top w:val="nil"/>
              <w:left w:val="nil"/>
              <w:bottom w:val="nil"/>
              <w:right w:val="nil"/>
            </w:tcBorders>
            <w:shd w:val="clear" w:color="auto" w:fill="auto"/>
            <w:vAlign w:val="center"/>
            <w:hideMark/>
          </w:tcPr>
          <w:p w14:paraId="1781E2EE" w14:textId="5FFA7BBD"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1,588</w:t>
            </w:r>
          </w:p>
        </w:tc>
        <w:tc>
          <w:tcPr>
            <w:tcW w:w="709" w:type="dxa"/>
            <w:tcBorders>
              <w:top w:val="nil"/>
              <w:left w:val="nil"/>
              <w:bottom w:val="nil"/>
              <w:right w:val="nil"/>
            </w:tcBorders>
            <w:shd w:val="clear" w:color="auto" w:fill="auto"/>
            <w:vAlign w:val="center"/>
            <w:hideMark/>
          </w:tcPr>
          <w:p w14:paraId="6CEB7EC1" w14:textId="262D0B9C"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52</w:t>
            </w:r>
          </w:p>
        </w:tc>
      </w:tr>
      <w:tr w:rsidR="00F13096" w:rsidRPr="00914C92" w14:paraId="442D535B" w14:textId="77777777" w:rsidTr="00F13096">
        <w:trPr>
          <w:trHeight w:val="227"/>
        </w:trPr>
        <w:tc>
          <w:tcPr>
            <w:tcW w:w="3686" w:type="dxa"/>
            <w:tcBorders>
              <w:top w:val="nil"/>
              <w:left w:val="nil"/>
              <w:bottom w:val="nil"/>
              <w:right w:val="nil"/>
            </w:tcBorders>
            <w:shd w:val="clear" w:color="auto" w:fill="auto"/>
            <w:noWrap/>
            <w:vAlign w:val="center"/>
            <w:hideMark/>
          </w:tcPr>
          <w:p w14:paraId="11598C71" w14:textId="77777777" w:rsidR="00F13096" w:rsidRPr="00914C92" w:rsidRDefault="00F13096" w:rsidP="00F13096">
            <w:pPr>
              <w:spacing w:after="0" w:line="276" w:lineRule="auto"/>
              <w:rPr>
                <w:rFonts w:ascii="Arial" w:eastAsia="Times New Roman" w:hAnsi="Arial" w:cs="Arial"/>
                <w:color w:val="000000"/>
                <w:sz w:val="16"/>
                <w:szCs w:val="16"/>
                <w:lang w:eastAsia="en-AU"/>
              </w:rPr>
            </w:pPr>
            <w:r w:rsidRPr="00914C92">
              <w:rPr>
                <w:rFonts w:ascii="Arial" w:eastAsia="Times New Roman" w:hAnsi="Arial" w:cs="Arial"/>
                <w:color w:val="000000"/>
                <w:sz w:val="16"/>
                <w:szCs w:val="16"/>
                <w:lang w:eastAsia="en-AU"/>
              </w:rPr>
              <w:t>Clinical pregnancies</w:t>
            </w:r>
          </w:p>
        </w:tc>
        <w:tc>
          <w:tcPr>
            <w:tcW w:w="567" w:type="dxa"/>
            <w:tcBorders>
              <w:top w:val="nil"/>
              <w:left w:val="nil"/>
              <w:bottom w:val="nil"/>
              <w:right w:val="nil"/>
            </w:tcBorders>
            <w:shd w:val="clear" w:color="auto" w:fill="auto"/>
            <w:noWrap/>
            <w:vAlign w:val="center"/>
            <w:hideMark/>
          </w:tcPr>
          <w:p w14:paraId="336D759C" w14:textId="0F8BB365"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275</w:t>
            </w:r>
          </w:p>
        </w:tc>
        <w:tc>
          <w:tcPr>
            <w:tcW w:w="709" w:type="dxa"/>
            <w:tcBorders>
              <w:top w:val="nil"/>
              <w:left w:val="nil"/>
              <w:bottom w:val="nil"/>
              <w:right w:val="nil"/>
            </w:tcBorders>
            <w:shd w:val="clear" w:color="auto" w:fill="auto"/>
            <w:noWrap/>
            <w:vAlign w:val="center"/>
            <w:hideMark/>
          </w:tcPr>
          <w:p w14:paraId="0945C21C" w14:textId="7C6599CC"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w:t>
            </w:r>
          </w:p>
        </w:tc>
        <w:tc>
          <w:tcPr>
            <w:tcW w:w="57" w:type="dxa"/>
            <w:tcBorders>
              <w:top w:val="nil"/>
              <w:left w:val="nil"/>
              <w:bottom w:val="nil"/>
              <w:right w:val="nil"/>
            </w:tcBorders>
            <w:shd w:val="clear" w:color="auto" w:fill="auto"/>
            <w:noWrap/>
            <w:vAlign w:val="bottom"/>
            <w:hideMark/>
          </w:tcPr>
          <w:p w14:paraId="543456E1" w14:textId="088863E7"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793" w:type="dxa"/>
            <w:tcBorders>
              <w:top w:val="nil"/>
              <w:left w:val="nil"/>
              <w:bottom w:val="nil"/>
              <w:right w:val="nil"/>
            </w:tcBorders>
            <w:shd w:val="clear" w:color="auto" w:fill="auto"/>
            <w:noWrap/>
            <w:vAlign w:val="center"/>
            <w:hideMark/>
          </w:tcPr>
          <w:p w14:paraId="76F5E41B" w14:textId="6F60A7F8"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263</w:t>
            </w:r>
          </w:p>
        </w:tc>
        <w:tc>
          <w:tcPr>
            <w:tcW w:w="757" w:type="dxa"/>
            <w:tcBorders>
              <w:top w:val="nil"/>
              <w:left w:val="nil"/>
              <w:bottom w:val="nil"/>
              <w:right w:val="nil"/>
            </w:tcBorders>
            <w:shd w:val="clear" w:color="auto" w:fill="auto"/>
            <w:noWrap/>
            <w:vAlign w:val="center"/>
            <w:hideMark/>
          </w:tcPr>
          <w:p w14:paraId="523CCF00" w14:textId="54BEA1BC"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w:t>
            </w:r>
          </w:p>
        </w:tc>
        <w:tc>
          <w:tcPr>
            <w:tcW w:w="79" w:type="dxa"/>
            <w:tcBorders>
              <w:top w:val="nil"/>
              <w:left w:val="nil"/>
              <w:bottom w:val="nil"/>
              <w:right w:val="nil"/>
            </w:tcBorders>
            <w:shd w:val="clear" w:color="auto" w:fill="auto"/>
            <w:noWrap/>
            <w:vAlign w:val="bottom"/>
            <w:hideMark/>
          </w:tcPr>
          <w:p w14:paraId="01DE221F" w14:textId="17052A57" w:rsidR="00F13096" w:rsidRPr="00BC7EC6" w:rsidRDefault="00F13096" w:rsidP="00F13096">
            <w:pPr>
              <w:spacing w:after="0" w:line="276" w:lineRule="auto"/>
              <w:jc w:val="right"/>
              <w:rPr>
                <w:rFonts w:ascii="Arial" w:eastAsia="Times New Roman" w:hAnsi="Arial" w:cs="Arial"/>
                <w:sz w:val="12"/>
                <w:szCs w:val="12"/>
                <w:lang w:eastAsia="en-AU"/>
              </w:rPr>
            </w:pPr>
            <w:r>
              <w:rPr>
                <w:rFonts w:ascii="Arial" w:hAnsi="Arial" w:cs="Arial"/>
                <w:sz w:val="16"/>
                <w:szCs w:val="16"/>
              </w:rPr>
              <w:t> </w:t>
            </w:r>
          </w:p>
        </w:tc>
        <w:tc>
          <w:tcPr>
            <w:tcW w:w="709" w:type="dxa"/>
            <w:tcBorders>
              <w:top w:val="nil"/>
              <w:left w:val="nil"/>
              <w:bottom w:val="nil"/>
              <w:right w:val="nil"/>
            </w:tcBorders>
            <w:shd w:val="clear" w:color="auto" w:fill="auto"/>
            <w:noWrap/>
            <w:vAlign w:val="bottom"/>
            <w:hideMark/>
          </w:tcPr>
          <w:p w14:paraId="41CFC10D" w14:textId="61BF014E"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53</w:t>
            </w:r>
          </w:p>
        </w:tc>
        <w:tc>
          <w:tcPr>
            <w:tcW w:w="709" w:type="dxa"/>
            <w:tcBorders>
              <w:top w:val="nil"/>
              <w:left w:val="nil"/>
              <w:bottom w:val="nil"/>
              <w:right w:val="nil"/>
            </w:tcBorders>
            <w:shd w:val="clear" w:color="auto" w:fill="auto"/>
            <w:noWrap/>
            <w:vAlign w:val="bottom"/>
            <w:hideMark/>
          </w:tcPr>
          <w:p w14:paraId="5A2DD5A2" w14:textId="1970980C"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6</w:t>
            </w:r>
          </w:p>
        </w:tc>
        <w:tc>
          <w:tcPr>
            <w:tcW w:w="79" w:type="dxa"/>
            <w:tcBorders>
              <w:top w:val="nil"/>
              <w:left w:val="nil"/>
              <w:bottom w:val="nil"/>
              <w:right w:val="nil"/>
            </w:tcBorders>
            <w:shd w:val="clear" w:color="auto" w:fill="auto"/>
            <w:noWrap/>
            <w:vAlign w:val="bottom"/>
            <w:hideMark/>
          </w:tcPr>
          <w:p w14:paraId="2B698464" w14:textId="44F0EB79"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708" w:type="dxa"/>
            <w:tcBorders>
              <w:top w:val="nil"/>
              <w:left w:val="nil"/>
              <w:bottom w:val="nil"/>
              <w:right w:val="nil"/>
            </w:tcBorders>
            <w:shd w:val="clear" w:color="auto" w:fill="auto"/>
            <w:noWrap/>
            <w:vAlign w:val="bottom"/>
            <w:hideMark/>
          </w:tcPr>
          <w:p w14:paraId="0A08B052" w14:textId="4434ACDC"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591</w:t>
            </w:r>
          </w:p>
        </w:tc>
        <w:tc>
          <w:tcPr>
            <w:tcW w:w="709" w:type="dxa"/>
            <w:tcBorders>
              <w:top w:val="nil"/>
              <w:left w:val="nil"/>
              <w:bottom w:val="nil"/>
              <w:right w:val="nil"/>
            </w:tcBorders>
            <w:shd w:val="clear" w:color="auto" w:fill="auto"/>
            <w:noWrap/>
            <w:vAlign w:val="bottom"/>
            <w:hideMark/>
          </w:tcPr>
          <w:p w14:paraId="0A60F1EA" w14:textId="0E6809C7"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11</w:t>
            </w:r>
          </w:p>
        </w:tc>
      </w:tr>
      <w:tr w:rsidR="00F13096" w:rsidRPr="00914C92" w14:paraId="72302F55" w14:textId="77777777" w:rsidTr="00F13096">
        <w:trPr>
          <w:trHeight w:val="227"/>
        </w:trPr>
        <w:tc>
          <w:tcPr>
            <w:tcW w:w="3686" w:type="dxa"/>
            <w:tcBorders>
              <w:top w:val="nil"/>
              <w:left w:val="nil"/>
              <w:bottom w:val="nil"/>
              <w:right w:val="nil"/>
            </w:tcBorders>
            <w:shd w:val="clear" w:color="auto" w:fill="auto"/>
            <w:noWrap/>
            <w:vAlign w:val="center"/>
            <w:hideMark/>
          </w:tcPr>
          <w:p w14:paraId="19E3B07D" w14:textId="47CFFEE9" w:rsidR="00F13096" w:rsidRPr="00914C92" w:rsidRDefault="00F13096" w:rsidP="00F13096">
            <w:pPr>
              <w:spacing w:after="0" w:line="276" w:lineRule="auto"/>
              <w:rPr>
                <w:rFonts w:ascii="Arial" w:eastAsia="Times New Roman" w:hAnsi="Arial" w:cs="Arial"/>
                <w:color w:val="000000"/>
                <w:sz w:val="16"/>
                <w:szCs w:val="16"/>
                <w:lang w:eastAsia="en-AU"/>
              </w:rPr>
            </w:pPr>
            <w:r w:rsidRPr="00914C92">
              <w:rPr>
                <w:rFonts w:ascii="Arial" w:eastAsia="Times New Roman" w:hAnsi="Arial" w:cs="Arial"/>
                <w:color w:val="000000"/>
                <w:sz w:val="16"/>
                <w:szCs w:val="16"/>
                <w:lang w:eastAsia="en-AU"/>
              </w:rPr>
              <w:t xml:space="preserve">Live </w:t>
            </w:r>
            <w:r>
              <w:rPr>
                <w:rFonts w:ascii="Arial" w:eastAsia="Times New Roman" w:hAnsi="Arial" w:cs="Arial"/>
                <w:color w:val="000000"/>
                <w:sz w:val="16"/>
                <w:szCs w:val="16"/>
                <w:lang w:eastAsia="en-AU"/>
              </w:rPr>
              <w:t>births</w:t>
            </w:r>
          </w:p>
        </w:tc>
        <w:tc>
          <w:tcPr>
            <w:tcW w:w="567" w:type="dxa"/>
            <w:tcBorders>
              <w:top w:val="nil"/>
              <w:left w:val="nil"/>
              <w:bottom w:val="nil"/>
              <w:right w:val="nil"/>
            </w:tcBorders>
            <w:shd w:val="clear" w:color="auto" w:fill="auto"/>
            <w:noWrap/>
            <w:vAlign w:val="center"/>
            <w:hideMark/>
          </w:tcPr>
          <w:p w14:paraId="4EF66A80" w14:textId="4430D262"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233</w:t>
            </w:r>
          </w:p>
        </w:tc>
        <w:tc>
          <w:tcPr>
            <w:tcW w:w="709" w:type="dxa"/>
            <w:tcBorders>
              <w:top w:val="nil"/>
              <w:left w:val="nil"/>
              <w:bottom w:val="nil"/>
              <w:right w:val="nil"/>
            </w:tcBorders>
            <w:shd w:val="clear" w:color="auto" w:fill="auto"/>
            <w:noWrap/>
            <w:vAlign w:val="center"/>
            <w:hideMark/>
          </w:tcPr>
          <w:p w14:paraId="5E608817" w14:textId="4B696387"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2</w:t>
            </w:r>
          </w:p>
        </w:tc>
        <w:tc>
          <w:tcPr>
            <w:tcW w:w="57" w:type="dxa"/>
            <w:tcBorders>
              <w:top w:val="nil"/>
              <w:left w:val="nil"/>
              <w:bottom w:val="nil"/>
              <w:right w:val="nil"/>
            </w:tcBorders>
            <w:shd w:val="clear" w:color="auto" w:fill="auto"/>
            <w:noWrap/>
            <w:vAlign w:val="bottom"/>
            <w:hideMark/>
          </w:tcPr>
          <w:p w14:paraId="3851C128" w14:textId="1085E835"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793" w:type="dxa"/>
            <w:tcBorders>
              <w:top w:val="nil"/>
              <w:left w:val="nil"/>
              <w:bottom w:val="nil"/>
              <w:right w:val="nil"/>
            </w:tcBorders>
            <w:shd w:val="clear" w:color="auto" w:fill="auto"/>
            <w:noWrap/>
            <w:vAlign w:val="center"/>
            <w:hideMark/>
          </w:tcPr>
          <w:p w14:paraId="336BFD77" w14:textId="78FB9E21"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207</w:t>
            </w:r>
          </w:p>
        </w:tc>
        <w:tc>
          <w:tcPr>
            <w:tcW w:w="757" w:type="dxa"/>
            <w:tcBorders>
              <w:top w:val="nil"/>
              <w:left w:val="nil"/>
              <w:bottom w:val="nil"/>
              <w:right w:val="nil"/>
            </w:tcBorders>
            <w:shd w:val="clear" w:color="auto" w:fill="auto"/>
            <w:noWrap/>
            <w:vAlign w:val="center"/>
            <w:hideMark/>
          </w:tcPr>
          <w:p w14:paraId="50E78137" w14:textId="3C1F13F7"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3</w:t>
            </w:r>
          </w:p>
        </w:tc>
        <w:tc>
          <w:tcPr>
            <w:tcW w:w="79" w:type="dxa"/>
            <w:tcBorders>
              <w:top w:val="nil"/>
              <w:left w:val="nil"/>
              <w:bottom w:val="nil"/>
              <w:right w:val="nil"/>
            </w:tcBorders>
            <w:shd w:val="clear" w:color="auto" w:fill="auto"/>
            <w:noWrap/>
            <w:vAlign w:val="bottom"/>
            <w:hideMark/>
          </w:tcPr>
          <w:p w14:paraId="5C5503A7" w14:textId="202E8085" w:rsidR="00F13096" w:rsidRPr="00BC7EC6" w:rsidRDefault="00F13096" w:rsidP="00F13096">
            <w:pPr>
              <w:spacing w:after="0" w:line="276" w:lineRule="auto"/>
              <w:jc w:val="right"/>
              <w:rPr>
                <w:rFonts w:ascii="Arial" w:eastAsia="Times New Roman" w:hAnsi="Arial" w:cs="Arial"/>
                <w:sz w:val="12"/>
                <w:szCs w:val="12"/>
                <w:lang w:eastAsia="en-AU"/>
              </w:rPr>
            </w:pPr>
            <w:r>
              <w:rPr>
                <w:rFonts w:ascii="Arial" w:hAnsi="Arial" w:cs="Arial"/>
                <w:sz w:val="16"/>
                <w:szCs w:val="16"/>
              </w:rPr>
              <w:t> </w:t>
            </w:r>
          </w:p>
        </w:tc>
        <w:tc>
          <w:tcPr>
            <w:tcW w:w="709" w:type="dxa"/>
            <w:tcBorders>
              <w:top w:val="nil"/>
              <w:left w:val="nil"/>
              <w:bottom w:val="nil"/>
              <w:right w:val="nil"/>
            </w:tcBorders>
            <w:shd w:val="clear" w:color="auto" w:fill="auto"/>
            <w:noWrap/>
            <w:vAlign w:val="bottom"/>
            <w:hideMark/>
          </w:tcPr>
          <w:p w14:paraId="447A145B" w14:textId="1AE6FC04"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29</w:t>
            </w:r>
          </w:p>
        </w:tc>
        <w:tc>
          <w:tcPr>
            <w:tcW w:w="709" w:type="dxa"/>
            <w:tcBorders>
              <w:top w:val="nil"/>
              <w:left w:val="nil"/>
              <w:bottom w:val="nil"/>
              <w:right w:val="nil"/>
            </w:tcBorders>
            <w:shd w:val="clear" w:color="auto" w:fill="auto"/>
            <w:noWrap/>
            <w:vAlign w:val="bottom"/>
            <w:hideMark/>
          </w:tcPr>
          <w:p w14:paraId="1A6BB61C" w14:textId="161658B8"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2</w:t>
            </w:r>
          </w:p>
        </w:tc>
        <w:tc>
          <w:tcPr>
            <w:tcW w:w="79" w:type="dxa"/>
            <w:tcBorders>
              <w:top w:val="nil"/>
              <w:left w:val="nil"/>
              <w:bottom w:val="nil"/>
              <w:right w:val="nil"/>
            </w:tcBorders>
            <w:shd w:val="clear" w:color="auto" w:fill="auto"/>
            <w:noWrap/>
            <w:vAlign w:val="bottom"/>
            <w:hideMark/>
          </w:tcPr>
          <w:p w14:paraId="31361BDA" w14:textId="5B89459E"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708" w:type="dxa"/>
            <w:tcBorders>
              <w:top w:val="nil"/>
              <w:left w:val="nil"/>
              <w:bottom w:val="nil"/>
              <w:right w:val="nil"/>
            </w:tcBorders>
            <w:shd w:val="clear" w:color="auto" w:fill="auto"/>
            <w:noWrap/>
            <w:vAlign w:val="bottom"/>
            <w:hideMark/>
          </w:tcPr>
          <w:p w14:paraId="03D73F35" w14:textId="223270C3"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469</w:t>
            </w:r>
          </w:p>
        </w:tc>
        <w:tc>
          <w:tcPr>
            <w:tcW w:w="709" w:type="dxa"/>
            <w:tcBorders>
              <w:top w:val="nil"/>
              <w:left w:val="nil"/>
              <w:bottom w:val="nil"/>
              <w:right w:val="nil"/>
            </w:tcBorders>
            <w:shd w:val="clear" w:color="auto" w:fill="auto"/>
            <w:noWrap/>
            <w:vAlign w:val="bottom"/>
            <w:hideMark/>
          </w:tcPr>
          <w:p w14:paraId="73A092E4" w14:textId="5ABF28EA"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7</w:t>
            </w:r>
          </w:p>
        </w:tc>
      </w:tr>
      <w:tr w:rsidR="00F13096" w:rsidRPr="00DE6BE4" w14:paraId="5690E249" w14:textId="77777777" w:rsidTr="00F13096">
        <w:trPr>
          <w:trHeight w:val="227"/>
        </w:trPr>
        <w:tc>
          <w:tcPr>
            <w:tcW w:w="3686" w:type="dxa"/>
            <w:tcBorders>
              <w:top w:val="nil"/>
              <w:left w:val="nil"/>
              <w:right w:val="nil"/>
            </w:tcBorders>
            <w:shd w:val="clear" w:color="auto" w:fill="auto"/>
            <w:vAlign w:val="center"/>
            <w:hideMark/>
          </w:tcPr>
          <w:p w14:paraId="3D94CF7B" w14:textId="77777777" w:rsidR="00F13096" w:rsidRPr="00914C92" w:rsidRDefault="00F13096" w:rsidP="00F13096">
            <w:pPr>
              <w:spacing w:after="0" w:line="276" w:lineRule="auto"/>
              <w:rPr>
                <w:rFonts w:ascii="Arial" w:eastAsia="Times New Roman" w:hAnsi="Arial" w:cs="Arial"/>
                <w:i/>
                <w:iCs/>
                <w:color w:val="000000"/>
                <w:sz w:val="16"/>
                <w:szCs w:val="16"/>
                <w:lang w:eastAsia="en-AU"/>
              </w:rPr>
            </w:pPr>
            <w:r w:rsidRPr="00914C92">
              <w:rPr>
                <w:rFonts w:ascii="Arial" w:eastAsia="Times New Roman" w:hAnsi="Arial" w:cs="Arial"/>
                <w:i/>
                <w:iCs/>
                <w:color w:val="000000"/>
                <w:sz w:val="16"/>
                <w:szCs w:val="16"/>
                <w:lang w:eastAsia="en-AU"/>
              </w:rPr>
              <w:t>Clinical pregnancies per embryo transfer cycle (%)</w:t>
            </w:r>
          </w:p>
        </w:tc>
        <w:tc>
          <w:tcPr>
            <w:tcW w:w="567" w:type="dxa"/>
            <w:tcBorders>
              <w:top w:val="nil"/>
              <w:left w:val="nil"/>
              <w:right w:val="nil"/>
            </w:tcBorders>
            <w:shd w:val="clear" w:color="auto" w:fill="auto"/>
            <w:noWrap/>
            <w:vAlign w:val="center"/>
            <w:hideMark/>
          </w:tcPr>
          <w:p w14:paraId="10E8886A" w14:textId="407C4936"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50.1</w:t>
            </w:r>
          </w:p>
        </w:tc>
        <w:tc>
          <w:tcPr>
            <w:tcW w:w="709" w:type="dxa"/>
            <w:tcBorders>
              <w:top w:val="nil"/>
              <w:left w:val="nil"/>
              <w:right w:val="nil"/>
            </w:tcBorders>
            <w:shd w:val="clear" w:color="auto" w:fill="auto"/>
            <w:noWrap/>
            <w:vAlign w:val="center"/>
            <w:hideMark/>
          </w:tcPr>
          <w:p w14:paraId="43C5FF1C" w14:textId="6A197FBB" w:rsidR="00F13096" w:rsidRPr="00952173" w:rsidRDefault="00F13096" w:rsidP="00F13096">
            <w:pPr>
              <w:spacing w:after="0" w:line="276" w:lineRule="auto"/>
              <w:jc w:val="right"/>
              <w:rPr>
                <w:rFonts w:ascii="Arial" w:eastAsia="Times New Roman" w:hAnsi="Arial" w:cs="Arial"/>
                <w:i/>
                <w:iCs/>
                <w:sz w:val="16"/>
                <w:szCs w:val="16"/>
                <w:highlight w:val="yellow"/>
                <w:lang w:eastAsia="en-AU"/>
              </w:rPr>
            </w:pPr>
            <w:r>
              <w:rPr>
                <w:rFonts w:ascii="Arial" w:hAnsi="Arial" w:cs="Arial"/>
                <w:i/>
                <w:iCs/>
                <w:sz w:val="16"/>
                <w:szCs w:val="16"/>
              </w:rPr>
              <w:t>40.0</w:t>
            </w:r>
          </w:p>
        </w:tc>
        <w:tc>
          <w:tcPr>
            <w:tcW w:w="57" w:type="dxa"/>
            <w:tcBorders>
              <w:top w:val="nil"/>
              <w:left w:val="nil"/>
              <w:right w:val="nil"/>
            </w:tcBorders>
            <w:shd w:val="clear" w:color="auto" w:fill="auto"/>
            <w:noWrap/>
            <w:vAlign w:val="bottom"/>
            <w:hideMark/>
          </w:tcPr>
          <w:p w14:paraId="1DD89C48" w14:textId="67CBDF6F" w:rsidR="00F13096" w:rsidRPr="00DE6BE4" w:rsidRDefault="00F13096" w:rsidP="00F13096">
            <w:pPr>
              <w:spacing w:after="0" w:line="276" w:lineRule="auto"/>
              <w:jc w:val="right"/>
              <w:rPr>
                <w:rFonts w:ascii="Arial" w:eastAsia="Times New Roman" w:hAnsi="Arial" w:cs="Arial"/>
                <w:color w:val="FF0000"/>
                <w:sz w:val="16"/>
                <w:szCs w:val="16"/>
                <w:lang w:eastAsia="en-AU"/>
              </w:rPr>
            </w:pPr>
            <w:r>
              <w:rPr>
                <w:rFonts w:ascii="Arial" w:hAnsi="Arial" w:cs="Arial"/>
                <w:sz w:val="16"/>
                <w:szCs w:val="16"/>
              </w:rPr>
              <w:t> </w:t>
            </w:r>
          </w:p>
        </w:tc>
        <w:tc>
          <w:tcPr>
            <w:tcW w:w="793" w:type="dxa"/>
            <w:tcBorders>
              <w:top w:val="nil"/>
              <w:left w:val="nil"/>
              <w:right w:val="nil"/>
            </w:tcBorders>
            <w:shd w:val="clear" w:color="auto" w:fill="auto"/>
            <w:noWrap/>
            <w:vAlign w:val="center"/>
            <w:hideMark/>
          </w:tcPr>
          <w:p w14:paraId="19F03819" w14:textId="377D6F90"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36.1</w:t>
            </w:r>
          </w:p>
        </w:tc>
        <w:tc>
          <w:tcPr>
            <w:tcW w:w="757" w:type="dxa"/>
            <w:tcBorders>
              <w:top w:val="nil"/>
              <w:left w:val="nil"/>
              <w:right w:val="nil"/>
            </w:tcBorders>
            <w:shd w:val="clear" w:color="auto" w:fill="auto"/>
            <w:noWrap/>
            <w:vAlign w:val="center"/>
            <w:hideMark/>
          </w:tcPr>
          <w:p w14:paraId="2FA4C491" w14:textId="0EF636C0"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27.3</w:t>
            </w:r>
          </w:p>
        </w:tc>
        <w:tc>
          <w:tcPr>
            <w:tcW w:w="79" w:type="dxa"/>
            <w:tcBorders>
              <w:top w:val="nil"/>
              <w:left w:val="nil"/>
              <w:right w:val="nil"/>
            </w:tcBorders>
            <w:shd w:val="clear" w:color="auto" w:fill="auto"/>
            <w:noWrap/>
            <w:vAlign w:val="bottom"/>
            <w:hideMark/>
          </w:tcPr>
          <w:p w14:paraId="5F15ABF7" w14:textId="59A31D6A" w:rsidR="00F13096" w:rsidRPr="00BC7EC6" w:rsidRDefault="00F13096" w:rsidP="00F13096">
            <w:pPr>
              <w:spacing w:after="0" w:line="276" w:lineRule="auto"/>
              <w:jc w:val="right"/>
              <w:rPr>
                <w:rFonts w:ascii="Arial" w:eastAsia="Times New Roman" w:hAnsi="Arial" w:cs="Arial"/>
                <w:sz w:val="12"/>
                <w:szCs w:val="12"/>
                <w:lang w:eastAsia="en-AU"/>
              </w:rPr>
            </w:pPr>
            <w:r>
              <w:rPr>
                <w:rFonts w:ascii="Arial" w:hAnsi="Arial" w:cs="Arial"/>
                <w:sz w:val="16"/>
                <w:szCs w:val="16"/>
              </w:rPr>
              <w:t> </w:t>
            </w:r>
          </w:p>
        </w:tc>
        <w:tc>
          <w:tcPr>
            <w:tcW w:w="709" w:type="dxa"/>
            <w:tcBorders>
              <w:top w:val="nil"/>
              <w:left w:val="nil"/>
              <w:right w:val="nil"/>
            </w:tcBorders>
            <w:shd w:val="clear" w:color="auto" w:fill="auto"/>
            <w:noWrap/>
            <w:vAlign w:val="bottom"/>
            <w:hideMark/>
          </w:tcPr>
          <w:p w14:paraId="5D7312E6" w14:textId="72DDD33B"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17.1</w:t>
            </w:r>
          </w:p>
        </w:tc>
        <w:tc>
          <w:tcPr>
            <w:tcW w:w="709" w:type="dxa"/>
            <w:tcBorders>
              <w:top w:val="nil"/>
              <w:left w:val="nil"/>
              <w:right w:val="nil"/>
            </w:tcBorders>
            <w:shd w:val="clear" w:color="auto" w:fill="auto"/>
            <w:noWrap/>
            <w:vAlign w:val="bottom"/>
          </w:tcPr>
          <w:p w14:paraId="22A8D82D" w14:textId="12ECF996" w:rsidR="00F13096" w:rsidRPr="00DE6BE4" w:rsidRDefault="00F13096" w:rsidP="00F13096">
            <w:pPr>
              <w:spacing w:after="0" w:line="276" w:lineRule="auto"/>
              <w:jc w:val="right"/>
              <w:rPr>
                <w:rFonts w:ascii="Arial" w:eastAsia="Times New Roman" w:hAnsi="Arial" w:cs="Arial"/>
                <w:i/>
                <w:iCs/>
                <w:color w:val="FF0000"/>
                <w:sz w:val="16"/>
                <w:szCs w:val="16"/>
                <w:lang w:eastAsia="en-AU"/>
              </w:rPr>
            </w:pPr>
            <w:r>
              <w:rPr>
                <w:rFonts w:ascii="Arial" w:hAnsi="Arial" w:cs="Arial"/>
                <w:i/>
                <w:iCs/>
                <w:sz w:val="16"/>
                <w:szCs w:val="16"/>
              </w:rPr>
              <w:t>16.7</w:t>
            </w:r>
          </w:p>
        </w:tc>
        <w:tc>
          <w:tcPr>
            <w:tcW w:w="79" w:type="dxa"/>
            <w:tcBorders>
              <w:top w:val="nil"/>
              <w:left w:val="nil"/>
              <w:right w:val="nil"/>
            </w:tcBorders>
            <w:shd w:val="clear" w:color="auto" w:fill="auto"/>
            <w:noWrap/>
            <w:vAlign w:val="bottom"/>
          </w:tcPr>
          <w:p w14:paraId="4279E8ED" w14:textId="19A8947E"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708" w:type="dxa"/>
            <w:tcBorders>
              <w:top w:val="nil"/>
              <w:left w:val="nil"/>
              <w:right w:val="nil"/>
            </w:tcBorders>
            <w:shd w:val="clear" w:color="auto" w:fill="auto"/>
            <w:noWrap/>
            <w:vAlign w:val="bottom"/>
            <w:hideMark/>
          </w:tcPr>
          <w:p w14:paraId="59E996E0" w14:textId="505D2719"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37.2</w:t>
            </w:r>
          </w:p>
        </w:tc>
        <w:tc>
          <w:tcPr>
            <w:tcW w:w="709" w:type="dxa"/>
            <w:tcBorders>
              <w:top w:val="nil"/>
              <w:left w:val="nil"/>
              <w:right w:val="nil"/>
            </w:tcBorders>
            <w:shd w:val="clear" w:color="auto" w:fill="auto"/>
            <w:noWrap/>
            <w:vAlign w:val="bottom"/>
            <w:hideMark/>
          </w:tcPr>
          <w:p w14:paraId="714DF3DA" w14:textId="6167E75E" w:rsidR="00F13096" w:rsidRPr="00952173"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21.2</w:t>
            </w:r>
          </w:p>
        </w:tc>
      </w:tr>
      <w:tr w:rsidR="00F13096" w:rsidRPr="00914C92" w14:paraId="3DE58919" w14:textId="77777777" w:rsidTr="00F13096">
        <w:trPr>
          <w:trHeight w:val="227"/>
        </w:trPr>
        <w:tc>
          <w:tcPr>
            <w:tcW w:w="3686" w:type="dxa"/>
            <w:tcBorders>
              <w:top w:val="nil"/>
              <w:left w:val="nil"/>
              <w:bottom w:val="single" w:sz="12" w:space="0" w:color="auto"/>
              <w:right w:val="nil"/>
            </w:tcBorders>
            <w:shd w:val="clear" w:color="auto" w:fill="auto"/>
            <w:vAlign w:val="center"/>
            <w:hideMark/>
          </w:tcPr>
          <w:p w14:paraId="0F460089" w14:textId="060CC139" w:rsidR="00F13096" w:rsidRPr="00914C92" w:rsidRDefault="00F13096" w:rsidP="00F13096">
            <w:pPr>
              <w:spacing w:after="0" w:line="276" w:lineRule="auto"/>
              <w:rPr>
                <w:rFonts w:ascii="Arial" w:eastAsia="Times New Roman" w:hAnsi="Arial" w:cs="Arial"/>
                <w:i/>
                <w:iCs/>
                <w:sz w:val="16"/>
                <w:szCs w:val="16"/>
                <w:lang w:eastAsia="en-AU"/>
              </w:rPr>
            </w:pPr>
            <w:r w:rsidRPr="00914C92">
              <w:rPr>
                <w:rFonts w:ascii="Arial" w:eastAsia="Times New Roman" w:hAnsi="Arial" w:cs="Arial"/>
                <w:i/>
                <w:iCs/>
                <w:sz w:val="16"/>
                <w:szCs w:val="16"/>
                <w:lang w:eastAsia="en-AU"/>
              </w:rPr>
              <w:t xml:space="preserve">Live </w:t>
            </w:r>
            <w:r>
              <w:rPr>
                <w:rFonts w:ascii="Arial" w:eastAsia="Times New Roman" w:hAnsi="Arial" w:cs="Arial"/>
                <w:i/>
                <w:iCs/>
                <w:sz w:val="16"/>
                <w:szCs w:val="16"/>
                <w:lang w:eastAsia="en-AU"/>
              </w:rPr>
              <w:t>births</w:t>
            </w:r>
            <w:r w:rsidRPr="00914C92">
              <w:rPr>
                <w:rFonts w:ascii="Arial" w:eastAsia="Times New Roman" w:hAnsi="Arial" w:cs="Arial"/>
                <w:i/>
                <w:iCs/>
                <w:sz w:val="16"/>
                <w:szCs w:val="16"/>
                <w:lang w:eastAsia="en-AU"/>
              </w:rPr>
              <w:t xml:space="preserve"> per embryo transfer cycle (%)</w:t>
            </w:r>
          </w:p>
        </w:tc>
        <w:tc>
          <w:tcPr>
            <w:tcW w:w="567" w:type="dxa"/>
            <w:tcBorders>
              <w:top w:val="nil"/>
              <w:left w:val="nil"/>
              <w:bottom w:val="single" w:sz="12" w:space="0" w:color="auto"/>
              <w:right w:val="nil"/>
            </w:tcBorders>
            <w:shd w:val="clear" w:color="auto" w:fill="auto"/>
            <w:noWrap/>
            <w:vAlign w:val="center"/>
            <w:hideMark/>
          </w:tcPr>
          <w:p w14:paraId="0B8F3E79" w14:textId="6FD90A14"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42.4</w:t>
            </w:r>
          </w:p>
        </w:tc>
        <w:tc>
          <w:tcPr>
            <w:tcW w:w="709" w:type="dxa"/>
            <w:tcBorders>
              <w:top w:val="nil"/>
              <w:left w:val="nil"/>
              <w:bottom w:val="single" w:sz="12" w:space="0" w:color="auto"/>
              <w:right w:val="nil"/>
            </w:tcBorders>
            <w:shd w:val="clear" w:color="auto" w:fill="auto"/>
            <w:noWrap/>
            <w:vAlign w:val="center"/>
            <w:hideMark/>
          </w:tcPr>
          <w:p w14:paraId="115C4C00" w14:textId="4EDC00A8" w:rsidR="00F13096" w:rsidRPr="00952173" w:rsidRDefault="00F13096" w:rsidP="00F13096">
            <w:pPr>
              <w:spacing w:after="0" w:line="276" w:lineRule="auto"/>
              <w:jc w:val="right"/>
              <w:rPr>
                <w:rFonts w:ascii="Arial" w:eastAsia="Times New Roman" w:hAnsi="Arial" w:cs="Arial"/>
                <w:i/>
                <w:iCs/>
                <w:sz w:val="16"/>
                <w:szCs w:val="16"/>
                <w:highlight w:val="yellow"/>
                <w:lang w:eastAsia="en-AU"/>
              </w:rPr>
            </w:pPr>
            <w:r>
              <w:rPr>
                <w:rFonts w:ascii="Arial" w:hAnsi="Arial" w:cs="Arial"/>
                <w:i/>
                <w:iCs/>
                <w:sz w:val="16"/>
                <w:szCs w:val="16"/>
              </w:rPr>
              <w:t>40.0</w:t>
            </w:r>
          </w:p>
        </w:tc>
        <w:tc>
          <w:tcPr>
            <w:tcW w:w="57" w:type="dxa"/>
            <w:tcBorders>
              <w:top w:val="nil"/>
              <w:left w:val="nil"/>
              <w:bottom w:val="single" w:sz="12" w:space="0" w:color="auto"/>
              <w:right w:val="nil"/>
            </w:tcBorders>
            <w:shd w:val="clear" w:color="auto" w:fill="auto"/>
            <w:noWrap/>
            <w:vAlign w:val="bottom"/>
            <w:hideMark/>
          </w:tcPr>
          <w:p w14:paraId="1CDC5DA4" w14:textId="4027312A" w:rsidR="00F13096" w:rsidRPr="00DE6BE4" w:rsidRDefault="00F13096" w:rsidP="00F13096">
            <w:pPr>
              <w:spacing w:after="0" w:line="276" w:lineRule="auto"/>
              <w:jc w:val="right"/>
              <w:rPr>
                <w:rFonts w:ascii="Arial" w:eastAsia="Times New Roman" w:hAnsi="Arial" w:cs="Arial"/>
                <w:color w:val="FF0000"/>
                <w:sz w:val="16"/>
                <w:szCs w:val="16"/>
                <w:lang w:eastAsia="en-AU"/>
              </w:rPr>
            </w:pPr>
            <w:r>
              <w:rPr>
                <w:rFonts w:ascii="Arial" w:hAnsi="Arial" w:cs="Arial"/>
                <w:sz w:val="16"/>
                <w:szCs w:val="16"/>
              </w:rPr>
              <w:t> </w:t>
            </w:r>
          </w:p>
        </w:tc>
        <w:tc>
          <w:tcPr>
            <w:tcW w:w="793" w:type="dxa"/>
            <w:tcBorders>
              <w:top w:val="nil"/>
              <w:left w:val="nil"/>
              <w:bottom w:val="single" w:sz="12" w:space="0" w:color="auto"/>
              <w:right w:val="nil"/>
            </w:tcBorders>
            <w:shd w:val="clear" w:color="auto" w:fill="auto"/>
            <w:noWrap/>
            <w:vAlign w:val="center"/>
            <w:hideMark/>
          </w:tcPr>
          <w:p w14:paraId="4D01148D" w14:textId="7172F06B"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28.4</w:t>
            </w:r>
          </w:p>
        </w:tc>
        <w:tc>
          <w:tcPr>
            <w:tcW w:w="757" w:type="dxa"/>
            <w:tcBorders>
              <w:top w:val="nil"/>
              <w:left w:val="nil"/>
              <w:bottom w:val="single" w:sz="12" w:space="0" w:color="auto"/>
              <w:right w:val="nil"/>
            </w:tcBorders>
            <w:shd w:val="clear" w:color="auto" w:fill="auto"/>
            <w:noWrap/>
            <w:vAlign w:val="center"/>
            <w:hideMark/>
          </w:tcPr>
          <w:p w14:paraId="3D7E3300" w14:textId="41F0449E"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27.3</w:t>
            </w:r>
          </w:p>
        </w:tc>
        <w:tc>
          <w:tcPr>
            <w:tcW w:w="79" w:type="dxa"/>
            <w:tcBorders>
              <w:top w:val="nil"/>
              <w:left w:val="nil"/>
              <w:bottom w:val="single" w:sz="12" w:space="0" w:color="auto"/>
              <w:right w:val="nil"/>
            </w:tcBorders>
            <w:shd w:val="clear" w:color="auto" w:fill="auto"/>
            <w:noWrap/>
            <w:vAlign w:val="bottom"/>
            <w:hideMark/>
          </w:tcPr>
          <w:p w14:paraId="2D774F4F" w14:textId="703CC86E" w:rsidR="00F13096" w:rsidRPr="00BC7EC6" w:rsidRDefault="00F13096" w:rsidP="00F13096">
            <w:pPr>
              <w:spacing w:after="0" w:line="276" w:lineRule="auto"/>
              <w:jc w:val="right"/>
              <w:rPr>
                <w:rFonts w:ascii="Arial" w:eastAsia="Times New Roman" w:hAnsi="Arial" w:cs="Arial"/>
                <w:sz w:val="12"/>
                <w:szCs w:val="12"/>
                <w:lang w:eastAsia="en-AU"/>
              </w:rPr>
            </w:pPr>
            <w:r>
              <w:rPr>
                <w:rFonts w:ascii="Arial" w:hAnsi="Arial" w:cs="Arial"/>
                <w:sz w:val="16"/>
                <w:szCs w:val="16"/>
              </w:rPr>
              <w:t> </w:t>
            </w:r>
          </w:p>
        </w:tc>
        <w:tc>
          <w:tcPr>
            <w:tcW w:w="709" w:type="dxa"/>
            <w:tcBorders>
              <w:top w:val="nil"/>
              <w:left w:val="nil"/>
              <w:bottom w:val="single" w:sz="12" w:space="0" w:color="auto"/>
              <w:right w:val="nil"/>
            </w:tcBorders>
            <w:shd w:val="clear" w:color="auto" w:fill="auto"/>
            <w:noWrap/>
            <w:vAlign w:val="bottom"/>
            <w:hideMark/>
          </w:tcPr>
          <w:p w14:paraId="552A480A" w14:textId="44EB0885"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9.4</w:t>
            </w:r>
          </w:p>
        </w:tc>
        <w:tc>
          <w:tcPr>
            <w:tcW w:w="709" w:type="dxa"/>
            <w:tcBorders>
              <w:top w:val="nil"/>
              <w:left w:val="nil"/>
              <w:bottom w:val="single" w:sz="12" w:space="0" w:color="auto"/>
              <w:right w:val="nil"/>
            </w:tcBorders>
            <w:shd w:val="clear" w:color="auto" w:fill="auto"/>
            <w:noWrap/>
            <w:vAlign w:val="bottom"/>
            <w:hideMark/>
          </w:tcPr>
          <w:p w14:paraId="521A8644" w14:textId="6A9BBD0A" w:rsidR="00F13096" w:rsidRPr="00DE6BE4" w:rsidRDefault="00F13096" w:rsidP="00F13096">
            <w:pPr>
              <w:spacing w:after="0" w:line="276" w:lineRule="auto"/>
              <w:jc w:val="right"/>
              <w:rPr>
                <w:rFonts w:ascii="Arial" w:eastAsia="Times New Roman" w:hAnsi="Arial" w:cs="Arial"/>
                <w:i/>
                <w:iCs/>
                <w:color w:val="FF0000"/>
                <w:sz w:val="16"/>
                <w:szCs w:val="16"/>
                <w:lang w:eastAsia="en-AU"/>
              </w:rPr>
            </w:pPr>
            <w:r>
              <w:rPr>
                <w:rFonts w:ascii="Arial" w:hAnsi="Arial" w:cs="Arial"/>
                <w:i/>
                <w:iCs/>
                <w:sz w:val="16"/>
                <w:szCs w:val="16"/>
              </w:rPr>
              <w:t>5.6</w:t>
            </w:r>
          </w:p>
        </w:tc>
        <w:tc>
          <w:tcPr>
            <w:tcW w:w="79" w:type="dxa"/>
            <w:tcBorders>
              <w:top w:val="nil"/>
              <w:left w:val="nil"/>
              <w:bottom w:val="single" w:sz="12" w:space="0" w:color="auto"/>
              <w:right w:val="nil"/>
            </w:tcBorders>
            <w:shd w:val="clear" w:color="auto" w:fill="auto"/>
            <w:noWrap/>
            <w:vAlign w:val="bottom"/>
            <w:hideMark/>
          </w:tcPr>
          <w:p w14:paraId="5E9DC85A" w14:textId="22E1DB7C" w:rsidR="00F13096" w:rsidRPr="00BC7EC6" w:rsidRDefault="00F13096" w:rsidP="00F1309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708" w:type="dxa"/>
            <w:tcBorders>
              <w:top w:val="nil"/>
              <w:left w:val="nil"/>
              <w:bottom w:val="single" w:sz="12" w:space="0" w:color="auto"/>
              <w:right w:val="nil"/>
            </w:tcBorders>
            <w:shd w:val="clear" w:color="auto" w:fill="auto"/>
            <w:noWrap/>
            <w:vAlign w:val="bottom"/>
            <w:hideMark/>
          </w:tcPr>
          <w:p w14:paraId="661C02E1" w14:textId="7DC59FDF"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29.5</w:t>
            </w:r>
          </w:p>
        </w:tc>
        <w:tc>
          <w:tcPr>
            <w:tcW w:w="709" w:type="dxa"/>
            <w:tcBorders>
              <w:top w:val="nil"/>
              <w:left w:val="nil"/>
              <w:bottom w:val="single" w:sz="12" w:space="0" w:color="auto"/>
              <w:right w:val="nil"/>
            </w:tcBorders>
            <w:shd w:val="clear" w:color="auto" w:fill="auto"/>
            <w:noWrap/>
            <w:vAlign w:val="bottom"/>
            <w:hideMark/>
          </w:tcPr>
          <w:p w14:paraId="5BA757F0" w14:textId="2416601D" w:rsidR="00F13096" w:rsidRPr="00BC7EC6" w:rsidRDefault="00F13096" w:rsidP="00F1309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13.5</w:t>
            </w:r>
          </w:p>
        </w:tc>
      </w:tr>
    </w:tbl>
    <w:p w14:paraId="042578B3" w14:textId="6217C9E6" w:rsidR="009303CD" w:rsidRPr="00617599" w:rsidRDefault="009303CD" w:rsidP="00FB40FC">
      <w:pPr>
        <w:pStyle w:val="TableSourcefootnotes"/>
        <w:spacing w:before="0" w:after="0" w:line="240" w:lineRule="auto"/>
        <w:rPr>
          <w:rFonts w:cs="Arial"/>
        </w:rPr>
      </w:pPr>
      <w:r w:rsidRPr="00617599">
        <w:rPr>
          <w:rFonts w:cs="Arial"/>
        </w:rPr>
        <w:t>(a)</w:t>
      </w:r>
      <w:r w:rsidRPr="00617599">
        <w:rPr>
          <w:rFonts w:cs="Arial"/>
        </w:rPr>
        <w:tab/>
        <w:t>Age at start of a treatment cycle.</w:t>
      </w:r>
    </w:p>
    <w:p w14:paraId="2C942A58" w14:textId="77777777" w:rsidR="009303CD" w:rsidRPr="00617599" w:rsidRDefault="009303CD" w:rsidP="00FB40FC">
      <w:pPr>
        <w:pStyle w:val="TableSourcefootnotes"/>
        <w:spacing w:before="0" w:after="0" w:line="240" w:lineRule="auto"/>
        <w:rPr>
          <w:rFonts w:cs="Arial"/>
        </w:rPr>
      </w:pPr>
      <w:r w:rsidRPr="00617599">
        <w:rPr>
          <w:rFonts w:cs="Arial"/>
        </w:rPr>
        <w:t>(b)</w:t>
      </w:r>
      <w:r w:rsidRPr="00617599">
        <w:rPr>
          <w:rFonts w:cs="Arial"/>
        </w:rPr>
        <w:tab/>
        <w:t>SET: single embryo transfer.</w:t>
      </w:r>
    </w:p>
    <w:p w14:paraId="42BEF256" w14:textId="6411A57D" w:rsidR="0069074E" w:rsidRDefault="009303CD" w:rsidP="00952173">
      <w:pPr>
        <w:pStyle w:val="TableSourcefootnotes"/>
        <w:spacing w:before="0" w:after="0" w:line="240" w:lineRule="auto"/>
        <w:rPr>
          <w:sz w:val="28"/>
        </w:rPr>
      </w:pPr>
      <w:r w:rsidRPr="00617599">
        <w:rPr>
          <w:rFonts w:cs="Arial"/>
        </w:rPr>
        <w:t>(c)</w:t>
      </w:r>
      <w:r w:rsidRPr="00617599">
        <w:rPr>
          <w:rFonts w:cs="Arial"/>
        </w:rPr>
        <w:tab/>
        <w:t>DET: double embryo transfer.</w:t>
      </w:r>
      <w:bookmarkStart w:id="274" w:name="_Toc453061468"/>
      <w:bookmarkStart w:id="275" w:name="_Toc453059065"/>
      <w:bookmarkStart w:id="276" w:name="_Toc453057396"/>
      <w:bookmarkStart w:id="277" w:name="_Toc453055611"/>
      <w:bookmarkStart w:id="278" w:name="_Toc453054837"/>
      <w:r w:rsidR="0069074E">
        <w:br w:type="page"/>
      </w:r>
    </w:p>
    <w:p w14:paraId="26531C29" w14:textId="411B7BC8" w:rsidR="009303CD" w:rsidRPr="00617599" w:rsidRDefault="009303CD" w:rsidP="009303CD">
      <w:pPr>
        <w:pStyle w:val="Heading3"/>
        <w:rPr>
          <w:rFonts w:eastAsia="Times New Roman" w:cs="Arial"/>
        </w:rPr>
      </w:pPr>
      <w:r w:rsidRPr="00617599">
        <w:rPr>
          <w:rFonts w:eastAsia="Times New Roman" w:cs="Arial"/>
        </w:rPr>
        <w:lastRenderedPageBreak/>
        <w:t xml:space="preserve">Clinical pregnancies and live </w:t>
      </w:r>
      <w:r w:rsidR="00C736CE">
        <w:rPr>
          <w:rFonts w:eastAsia="Times New Roman" w:cs="Arial"/>
        </w:rPr>
        <w:t>births</w:t>
      </w:r>
      <w:r w:rsidRPr="00617599">
        <w:rPr>
          <w:rFonts w:eastAsia="Times New Roman" w:cs="Arial"/>
        </w:rPr>
        <w:t xml:space="preserve"> by stage of embryo development from autologous fresh cycles</w:t>
      </w:r>
      <w:bookmarkEnd w:id="274"/>
      <w:bookmarkEnd w:id="275"/>
      <w:bookmarkEnd w:id="276"/>
      <w:bookmarkEnd w:id="277"/>
      <w:bookmarkEnd w:id="278"/>
    </w:p>
    <w:p w14:paraId="5D6C0950" w14:textId="408DF380" w:rsidR="009303CD" w:rsidRDefault="009303CD" w:rsidP="009303CD">
      <w:pPr>
        <w:pStyle w:val="NPESUbodytext"/>
        <w:rPr>
          <w:rFonts w:cs="Arial"/>
          <w:lang w:eastAsia="en-AU"/>
        </w:rPr>
      </w:pPr>
      <w:r w:rsidRPr="00617599">
        <w:rPr>
          <w:rFonts w:cs="Arial"/>
          <w:lang w:eastAsia="en-AU"/>
        </w:rPr>
        <w:t xml:space="preserve">The rates of clinical pregnancy and live </w:t>
      </w:r>
      <w:r w:rsidR="00EC42AE">
        <w:rPr>
          <w:rFonts w:cs="Arial"/>
          <w:lang w:eastAsia="en-AU"/>
        </w:rPr>
        <w:t>birth</w:t>
      </w:r>
      <w:r w:rsidRPr="00617599">
        <w:rPr>
          <w:rFonts w:cs="Arial"/>
          <w:lang w:eastAsia="en-AU"/>
        </w:rPr>
        <w:t xml:space="preserve"> were higher in blastocyst transfer cycles than in cleavage stage embryo transfer cycles regardless of a woman’s age (Table 1</w:t>
      </w:r>
      <w:r w:rsidR="00250CA8">
        <w:rPr>
          <w:rFonts w:cs="Arial"/>
          <w:lang w:eastAsia="en-AU"/>
        </w:rPr>
        <w:t>3</w:t>
      </w:r>
      <w:r w:rsidRPr="00617599">
        <w:rPr>
          <w:rFonts w:cs="Arial"/>
          <w:lang w:eastAsia="en-AU"/>
        </w:rPr>
        <w:t>). Overall</w:t>
      </w:r>
      <w:r w:rsidR="00547D44">
        <w:rPr>
          <w:rFonts w:cs="Arial"/>
          <w:lang w:eastAsia="en-AU"/>
        </w:rPr>
        <w:t>,</w:t>
      </w:r>
      <w:r w:rsidRPr="00617599">
        <w:rPr>
          <w:rFonts w:cs="Arial"/>
          <w:lang w:eastAsia="en-AU"/>
        </w:rPr>
        <w:t xml:space="preserve"> the live </w:t>
      </w:r>
      <w:r w:rsidR="00EC42AE">
        <w:rPr>
          <w:rFonts w:cs="Arial"/>
          <w:lang w:eastAsia="en-AU"/>
        </w:rPr>
        <w:t>birth</w:t>
      </w:r>
      <w:r w:rsidRPr="00617599">
        <w:rPr>
          <w:rFonts w:cs="Arial"/>
          <w:lang w:eastAsia="en-AU"/>
        </w:rPr>
        <w:t xml:space="preserve"> rate for blastocyst transfer cycles (</w:t>
      </w:r>
      <w:r w:rsidR="00CD2A7E">
        <w:rPr>
          <w:rFonts w:cs="Arial"/>
          <w:lang w:eastAsia="en-AU"/>
        </w:rPr>
        <w:t>3</w:t>
      </w:r>
      <w:r w:rsidR="00F226A8">
        <w:rPr>
          <w:rFonts w:cs="Arial"/>
          <w:lang w:eastAsia="en-AU"/>
        </w:rPr>
        <w:t>6.6</w:t>
      </w:r>
      <w:r w:rsidRPr="00617599">
        <w:rPr>
          <w:rFonts w:cs="Arial"/>
          <w:lang w:eastAsia="en-AU"/>
        </w:rPr>
        <w:t xml:space="preserve">%) was </w:t>
      </w:r>
      <w:r w:rsidR="00CD2A7E">
        <w:rPr>
          <w:rFonts w:cs="Arial"/>
          <w:lang w:eastAsia="en-AU"/>
        </w:rPr>
        <w:t>1</w:t>
      </w:r>
      <w:r w:rsidR="00E53FFF">
        <w:rPr>
          <w:rFonts w:cs="Arial"/>
          <w:lang w:eastAsia="en-AU"/>
        </w:rPr>
        <w:t>7</w:t>
      </w:r>
      <w:r w:rsidRPr="00617599">
        <w:rPr>
          <w:rFonts w:cs="Arial"/>
          <w:lang w:eastAsia="en-AU"/>
        </w:rPr>
        <w:t xml:space="preserve"> percentage points higher than for cleavage stage embryo transfer cycles (</w:t>
      </w:r>
      <w:r w:rsidR="00F226A8">
        <w:rPr>
          <w:rFonts w:cs="Arial"/>
          <w:lang w:eastAsia="en-AU"/>
        </w:rPr>
        <w:t>19.1</w:t>
      </w:r>
      <w:r w:rsidRPr="00617599">
        <w:rPr>
          <w:rFonts w:cs="Arial"/>
          <w:lang w:eastAsia="en-AU"/>
        </w:rPr>
        <w:t>%).</w:t>
      </w:r>
    </w:p>
    <w:tbl>
      <w:tblPr>
        <w:tblW w:w="9184" w:type="dxa"/>
        <w:tblCellMar>
          <w:top w:w="17" w:type="dxa"/>
          <w:left w:w="17" w:type="dxa"/>
          <w:bottom w:w="17" w:type="dxa"/>
          <w:right w:w="17" w:type="dxa"/>
        </w:tblCellMar>
        <w:tblLook w:val="04A0" w:firstRow="1" w:lastRow="0" w:firstColumn="1" w:lastColumn="0" w:noHBand="0" w:noVBand="1"/>
      </w:tblPr>
      <w:tblGrid>
        <w:gridCol w:w="3686"/>
        <w:gridCol w:w="567"/>
        <w:gridCol w:w="737"/>
        <w:gridCol w:w="79"/>
        <w:gridCol w:w="680"/>
        <w:gridCol w:w="709"/>
        <w:gridCol w:w="142"/>
        <w:gridCol w:w="567"/>
        <w:gridCol w:w="708"/>
        <w:gridCol w:w="79"/>
        <w:gridCol w:w="615"/>
        <w:gridCol w:w="615"/>
      </w:tblGrid>
      <w:tr w:rsidR="0069074E" w:rsidRPr="0069074E" w14:paraId="3DD5E2D2" w14:textId="77777777" w:rsidTr="00E75E51">
        <w:trPr>
          <w:trHeight w:val="585"/>
        </w:trPr>
        <w:tc>
          <w:tcPr>
            <w:tcW w:w="9184" w:type="dxa"/>
            <w:gridSpan w:val="12"/>
            <w:tcBorders>
              <w:top w:val="nil"/>
              <w:left w:val="nil"/>
              <w:bottom w:val="single" w:sz="12" w:space="0" w:color="auto"/>
              <w:right w:val="nil"/>
            </w:tcBorders>
            <w:shd w:val="clear" w:color="auto" w:fill="auto"/>
            <w:vAlign w:val="center"/>
            <w:hideMark/>
          </w:tcPr>
          <w:p w14:paraId="049E0942" w14:textId="06C6351B" w:rsidR="0069074E" w:rsidRPr="0069074E" w:rsidRDefault="0069074E" w:rsidP="00CC6C74">
            <w:pPr>
              <w:pStyle w:val="Caption"/>
              <w:rPr>
                <w:rFonts w:eastAsia="Times New Roman" w:cs="Arial"/>
                <w:color w:val="000000"/>
                <w:sz w:val="16"/>
                <w:szCs w:val="16"/>
                <w:lang w:eastAsia="en-AU"/>
              </w:rPr>
            </w:pPr>
            <w:bookmarkStart w:id="279" w:name="_Toc158026562"/>
            <w:r w:rsidRPr="00CC6C74">
              <w:rPr>
                <w:rFonts w:eastAsia="Times New Roman"/>
                <w:lang w:eastAsia="en-AU"/>
              </w:rPr>
              <w:t>Table 1</w:t>
            </w:r>
            <w:r w:rsidR="00F400A5">
              <w:rPr>
                <w:rFonts w:eastAsia="Times New Roman"/>
                <w:lang w:eastAsia="en-AU"/>
              </w:rPr>
              <w:t>3</w:t>
            </w:r>
            <w:r w:rsidRPr="00CC6C74">
              <w:rPr>
                <w:rFonts w:eastAsia="Times New Roman"/>
                <w:lang w:eastAsia="en-AU"/>
              </w:rPr>
              <w:t xml:space="preserve">: Outcomes of autologous fresh embryo transfer cycles by women's age and stage of embryo development, </w:t>
            </w:r>
            <w:r w:rsidR="00A501CE">
              <w:rPr>
                <w:rFonts w:eastAsia="Times New Roman"/>
                <w:lang w:eastAsia="en-AU"/>
              </w:rPr>
              <w:t>New Zealand, 20</w:t>
            </w:r>
            <w:r w:rsidR="00E53FFF">
              <w:rPr>
                <w:rFonts w:eastAsia="Times New Roman"/>
                <w:lang w:eastAsia="en-AU"/>
              </w:rPr>
              <w:t>2</w:t>
            </w:r>
            <w:r w:rsidR="00CB1806">
              <w:rPr>
                <w:rFonts w:eastAsia="Times New Roman"/>
                <w:lang w:eastAsia="en-AU"/>
              </w:rPr>
              <w:t>1</w:t>
            </w:r>
            <w:bookmarkEnd w:id="279"/>
            <w:r w:rsidR="00A501CE">
              <w:rPr>
                <w:rFonts w:eastAsia="Times New Roman"/>
                <w:lang w:eastAsia="en-AU"/>
              </w:rPr>
              <w:t xml:space="preserve"> </w:t>
            </w:r>
          </w:p>
        </w:tc>
      </w:tr>
      <w:tr w:rsidR="0069074E" w:rsidRPr="0069074E" w14:paraId="5B87CB19" w14:textId="77777777" w:rsidTr="00E75E51">
        <w:trPr>
          <w:trHeight w:val="225"/>
        </w:trPr>
        <w:tc>
          <w:tcPr>
            <w:tcW w:w="3686" w:type="dxa"/>
            <w:tcBorders>
              <w:top w:val="single" w:sz="12" w:space="0" w:color="auto"/>
              <w:left w:val="nil"/>
              <w:bottom w:val="nil"/>
              <w:right w:val="nil"/>
            </w:tcBorders>
            <w:shd w:val="clear" w:color="auto" w:fill="auto"/>
            <w:noWrap/>
            <w:vAlign w:val="center"/>
            <w:hideMark/>
          </w:tcPr>
          <w:p w14:paraId="516B74D2" w14:textId="77777777" w:rsidR="0069074E" w:rsidRPr="0069074E" w:rsidRDefault="0069074E" w:rsidP="00360E75">
            <w:pPr>
              <w:spacing w:after="0" w:line="276" w:lineRule="auto"/>
              <w:rPr>
                <w:rFonts w:ascii="Arial" w:eastAsia="Times New Roman" w:hAnsi="Arial" w:cs="Arial"/>
                <w:b/>
                <w:bCs/>
                <w:color w:val="000000"/>
                <w:sz w:val="16"/>
                <w:szCs w:val="16"/>
                <w:lang w:eastAsia="en-AU"/>
              </w:rPr>
            </w:pPr>
            <w:r w:rsidRPr="0069074E">
              <w:rPr>
                <w:rFonts w:ascii="Arial" w:eastAsia="Times New Roman" w:hAnsi="Arial" w:cs="Arial"/>
                <w:b/>
                <w:bCs/>
                <w:color w:val="000000"/>
                <w:sz w:val="16"/>
                <w:szCs w:val="16"/>
                <w:lang w:eastAsia="en-AU"/>
              </w:rPr>
              <w:t> </w:t>
            </w:r>
          </w:p>
        </w:tc>
        <w:tc>
          <w:tcPr>
            <w:tcW w:w="5498" w:type="dxa"/>
            <w:gridSpan w:val="11"/>
            <w:tcBorders>
              <w:top w:val="single" w:sz="12" w:space="0" w:color="auto"/>
              <w:left w:val="nil"/>
              <w:bottom w:val="single" w:sz="4" w:space="0" w:color="auto"/>
              <w:right w:val="nil"/>
            </w:tcBorders>
            <w:shd w:val="clear" w:color="auto" w:fill="auto"/>
            <w:noWrap/>
            <w:vAlign w:val="center"/>
            <w:hideMark/>
          </w:tcPr>
          <w:p w14:paraId="226D70A9" w14:textId="3CB9F761" w:rsidR="0069074E" w:rsidRPr="0069074E" w:rsidRDefault="00547D44" w:rsidP="00360E75">
            <w:pPr>
              <w:spacing w:after="0" w:line="276" w:lineRule="auto"/>
              <w:jc w:val="center"/>
              <w:rPr>
                <w:rFonts w:ascii="Arial" w:eastAsia="Times New Roman" w:hAnsi="Arial" w:cs="Arial"/>
                <w:b/>
                <w:bCs/>
                <w:color w:val="000000"/>
                <w:sz w:val="16"/>
                <w:szCs w:val="16"/>
                <w:lang w:eastAsia="en-AU"/>
              </w:rPr>
            </w:pPr>
            <w:r w:rsidRPr="00617599">
              <w:rPr>
                <w:rFonts w:ascii="Arial" w:hAnsi="Arial" w:cs="Arial"/>
                <w:b/>
                <w:bCs/>
                <w:sz w:val="16"/>
                <w:szCs w:val="16"/>
              </w:rPr>
              <w:t>Age group (years)</w:t>
            </w:r>
            <w:r w:rsidRPr="00617599">
              <w:rPr>
                <w:rFonts w:ascii="Arial" w:hAnsi="Arial" w:cs="Arial"/>
                <w:b/>
                <w:bCs/>
                <w:sz w:val="16"/>
                <w:szCs w:val="16"/>
                <w:vertAlign w:val="superscript"/>
              </w:rPr>
              <w:t>(a)</w:t>
            </w:r>
          </w:p>
        </w:tc>
      </w:tr>
      <w:tr w:rsidR="0069074E" w:rsidRPr="0069074E" w14:paraId="006A35BE" w14:textId="77777777" w:rsidTr="00E75E51">
        <w:trPr>
          <w:trHeight w:val="225"/>
        </w:trPr>
        <w:tc>
          <w:tcPr>
            <w:tcW w:w="3686" w:type="dxa"/>
            <w:tcBorders>
              <w:top w:val="nil"/>
              <w:left w:val="nil"/>
              <w:bottom w:val="nil"/>
              <w:right w:val="nil"/>
            </w:tcBorders>
            <w:shd w:val="clear" w:color="auto" w:fill="auto"/>
            <w:noWrap/>
            <w:vAlign w:val="center"/>
            <w:hideMark/>
          </w:tcPr>
          <w:p w14:paraId="038777C5" w14:textId="77777777" w:rsidR="0069074E" w:rsidRPr="0069074E" w:rsidRDefault="0069074E" w:rsidP="00360E75">
            <w:pPr>
              <w:spacing w:after="0" w:line="276" w:lineRule="auto"/>
              <w:rPr>
                <w:rFonts w:ascii="Arial" w:eastAsia="Times New Roman" w:hAnsi="Arial" w:cs="Arial"/>
                <w:b/>
                <w:bCs/>
                <w:color w:val="000000"/>
                <w:sz w:val="16"/>
                <w:szCs w:val="16"/>
                <w:lang w:eastAsia="en-AU"/>
              </w:rPr>
            </w:pPr>
            <w:r w:rsidRPr="0069074E">
              <w:rPr>
                <w:rFonts w:ascii="Arial" w:eastAsia="Times New Roman" w:hAnsi="Arial" w:cs="Arial"/>
                <w:b/>
                <w:bCs/>
                <w:color w:val="000000"/>
                <w:sz w:val="16"/>
                <w:szCs w:val="16"/>
                <w:lang w:eastAsia="en-AU"/>
              </w:rPr>
              <w:t> </w:t>
            </w:r>
          </w:p>
        </w:tc>
        <w:tc>
          <w:tcPr>
            <w:tcW w:w="1304" w:type="dxa"/>
            <w:gridSpan w:val="2"/>
            <w:tcBorders>
              <w:top w:val="single" w:sz="4" w:space="0" w:color="auto"/>
              <w:left w:val="nil"/>
              <w:bottom w:val="single" w:sz="4" w:space="0" w:color="auto"/>
              <w:right w:val="nil"/>
            </w:tcBorders>
            <w:shd w:val="clear" w:color="auto" w:fill="auto"/>
            <w:noWrap/>
            <w:vAlign w:val="center"/>
            <w:hideMark/>
          </w:tcPr>
          <w:p w14:paraId="7F0A7370" w14:textId="31F25C49" w:rsidR="0069074E" w:rsidRPr="0069074E" w:rsidRDefault="0069074E" w:rsidP="00360E75">
            <w:pPr>
              <w:spacing w:after="0" w:line="276" w:lineRule="auto"/>
              <w:jc w:val="center"/>
              <w:rPr>
                <w:rFonts w:ascii="Arial" w:eastAsia="Times New Roman" w:hAnsi="Arial" w:cs="Arial"/>
                <w:b/>
                <w:bCs/>
                <w:color w:val="000000"/>
                <w:sz w:val="16"/>
                <w:szCs w:val="16"/>
                <w:lang w:eastAsia="en-AU"/>
              </w:rPr>
            </w:pPr>
            <w:r w:rsidRPr="0069074E">
              <w:rPr>
                <w:rFonts w:ascii="Arial" w:eastAsia="Times New Roman" w:hAnsi="Arial" w:cs="Arial"/>
                <w:b/>
                <w:bCs/>
                <w:color w:val="000000"/>
                <w:sz w:val="16"/>
                <w:szCs w:val="16"/>
                <w:lang w:eastAsia="en-AU"/>
              </w:rPr>
              <w:t>&lt;</w:t>
            </w:r>
            <w:r w:rsidR="00E75E51">
              <w:rPr>
                <w:rFonts w:ascii="Arial" w:eastAsia="Times New Roman" w:hAnsi="Arial" w:cs="Arial"/>
                <w:b/>
                <w:bCs/>
                <w:color w:val="000000"/>
                <w:sz w:val="16"/>
                <w:szCs w:val="16"/>
                <w:lang w:eastAsia="en-AU"/>
              </w:rPr>
              <w:t xml:space="preserve"> </w:t>
            </w:r>
            <w:r w:rsidRPr="0069074E">
              <w:rPr>
                <w:rFonts w:ascii="Arial" w:eastAsia="Times New Roman" w:hAnsi="Arial" w:cs="Arial"/>
                <w:b/>
                <w:bCs/>
                <w:color w:val="000000"/>
                <w:sz w:val="16"/>
                <w:szCs w:val="16"/>
                <w:lang w:eastAsia="en-AU"/>
              </w:rPr>
              <w:t>35</w:t>
            </w:r>
          </w:p>
        </w:tc>
        <w:tc>
          <w:tcPr>
            <w:tcW w:w="79" w:type="dxa"/>
            <w:tcBorders>
              <w:top w:val="nil"/>
              <w:left w:val="nil"/>
              <w:bottom w:val="nil"/>
              <w:right w:val="nil"/>
            </w:tcBorders>
            <w:shd w:val="clear" w:color="auto" w:fill="auto"/>
            <w:noWrap/>
            <w:vAlign w:val="center"/>
            <w:hideMark/>
          </w:tcPr>
          <w:p w14:paraId="4EFB9CB4" w14:textId="77777777" w:rsidR="0069074E" w:rsidRPr="0069074E" w:rsidRDefault="0069074E" w:rsidP="00360E75">
            <w:pPr>
              <w:spacing w:after="0" w:line="276" w:lineRule="auto"/>
              <w:jc w:val="center"/>
              <w:rPr>
                <w:rFonts w:ascii="Arial" w:eastAsia="Times New Roman" w:hAnsi="Arial" w:cs="Arial"/>
                <w:b/>
                <w:bCs/>
                <w:color w:val="000000"/>
                <w:sz w:val="16"/>
                <w:szCs w:val="16"/>
                <w:lang w:eastAsia="en-AU"/>
              </w:rPr>
            </w:pPr>
            <w:r w:rsidRPr="0069074E">
              <w:rPr>
                <w:rFonts w:ascii="Arial" w:eastAsia="Times New Roman" w:hAnsi="Arial" w:cs="Arial"/>
                <w:b/>
                <w:bCs/>
                <w:color w:val="000000"/>
                <w:sz w:val="16"/>
                <w:szCs w:val="16"/>
                <w:lang w:eastAsia="en-AU"/>
              </w:rPr>
              <w:t> </w:t>
            </w:r>
          </w:p>
        </w:tc>
        <w:tc>
          <w:tcPr>
            <w:tcW w:w="1389" w:type="dxa"/>
            <w:gridSpan w:val="2"/>
            <w:tcBorders>
              <w:top w:val="single" w:sz="4" w:space="0" w:color="auto"/>
              <w:left w:val="nil"/>
              <w:bottom w:val="single" w:sz="4" w:space="0" w:color="auto"/>
              <w:right w:val="nil"/>
            </w:tcBorders>
            <w:shd w:val="clear" w:color="auto" w:fill="auto"/>
            <w:vAlign w:val="center"/>
            <w:hideMark/>
          </w:tcPr>
          <w:p w14:paraId="25B77989" w14:textId="77777777" w:rsidR="0069074E" w:rsidRPr="0069074E" w:rsidRDefault="0069074E" w:rsidP="00360E75">
            <w:pPr>
              <w:spacing w:after="0" w:line="276" w:lineRule="auto"/>
              <w:jc w:val="center"/>
              <w:rPr>
                <w:rFonts w:ascii="Arial" w:eastAsia="Times New Roman" w:hAnsi="Arial" w:cs="Arial"/>
                <w:b/>
                <w:bCs/>
                <w:color w:val="000000"/>
                <w:sz w:val="16"/>
                <w:szCs w:val="16"/>
                <w:lang w:eastAsia="en-AU"/>
              </w:rPr>
            </w:pPr>
            <w:r w:rsidRPr="0069074E">
              <w:rPr>
                <w:rFonts w:ascii="Arial" w:eastAsia="Times New Roman" w:hAnsi="Arial" w:cs="Arial"/>
                <w:b/>
                <w:bCs/>
                <w:color w:val="000000"/>
                <w:sz w:val="16"/>
                <w:szCs w:val="16"/>
                <w:lang w:eastAsia="en-AU"/>
              </w:rPr>
              <w:t>35-39</w:t>
            </w:r>
          </w:p>
        </w:tc>
        <w:tc>
          <w:tcPr>
            <w:tcW w:w="142" w:type="dxa"/>
            <w:tcBorders>
              <w:top w:val="nil"/>
              <w:left w:val="nil"/>
              <w:bottom w:val="nil"/>
              <w:right w:val="nil"/>
            </w:tcBorders>
            <w:shd w:val="clear" w:color="auto" w:fill="auto"/>
            <w:noWrap/>
            <w:vAlign w:val="center"/>
            <w:hideMark/>
          </w:tcPr>
          <w:p w14:paraId="0ABE55F0" w14:textId="77777777" w:rsidR="0069074E" w:rsidRPr="0069074E" w:rsidRDefault="0069074E" w:rsidP="00360E75">
            <w:pPr>
              <w:spacing w:after="0" w:line="276" w:lineRule="auto"/>
              <w:jc w:val="center"/>
              <w:rPr>
                <w:rFonts w:ascii="Arial" w:eastAsia="Times New Roman" w:hAnsi="Arial" w:cs="Arial"/>
                <w:b/>
                <w:bCs/>
                <w:color w:val="000000"/>
                <w:sz w:val="16"/>
                <w:szCs w:val="16"/>
                <w:lang w:eastAsia="en-AU"/>
              </w:rPr>
            </w:pPr>
            <w:r w:rsidRPr="0069074E">
              <w:rPr>
                <w:rFonts w:ascii="Arial" w:eastAsia="Times New Roman" w:hAnsi="Arial" w:cs="Arial"/>
                <w:b/>
                <w:bCs/>
                <w:color w:val="000000"/>
                <w:sz w:val="16"/>
                <w:szCs w:val="16"/>
                <w:lang w:eastAsia="en-AU"/>
              </w:rPr>
              <w:t> </w:t>
            </w:r>
          </w:p>
        </w:tc>
        <w:tc>
          <w:tcPr>
            <w:tcW w:w="1275" w:type="dxa"/>
            <w:gridSpan w:val="2"/>
            <w:tcBorders>
              <w:top w:val="single" w:sz="4" w:space="0" w:color="auto"/>
              <w:left w:val="nil"/>
              <w:bottom w:val="single" w:sz="4" w:space="0" w:color="auto"/>
              <w:right w:val="nil"/>
            </w:tcBorders>
            <w:shd w:val="clear" w:color="auto" w:fill="auto"/>
            <w:noWrap/>
            <w:vAlign w:val="center"/>
            <w:hideMark/>
          </w:tcPr>
          <w:p w14:paraId="42F39182" w14:textId="30E6A437" w:rsidR="0069074E" w:rsidRPr="0069074E" w:rsidRDefault="0069074E" w:rsidP="00360E75">
            <w:pPr>
              <w:spacing w:after="0" w:line="276" w:lineRule="auto"/>
              <w:jc w:val="center"/>
              <w:rPr>
                <w:rFonts w:ascii="Arial" w:eastAsia="Times New Roman" w:hAnsi="Arial" w:cs="Arial"/>
                <w:b/>
                <w:bCs/>
                <w:color w:val="000000"/>
                <w:sz w:val="16"/>
                <w:szCs w:val="16"/>
                <w:lang w:eastAsia="en-AU"/>
              </w:rPr>
            </w:pPr>
            <w:r w:rsidRPr="0069074E">
              <w:rPr>
                <w:rFonts w:ascii="Arial" w:eastAsia="Times New Roman" w:hAnsi="Arial" w:cs="Arial"/>
                <w:b/>
                <w:bCs/>
                <w:color w:val="000000"/>
                <w:sz w:val="16"/>
                <w:szCs w:val="16"/>
                <w:lang w:eastAsia="en-AU"/>
              </w:rPr>
              <w:t>≥</w:t>
            </w:r>
            <w:r w:rsidR="009F3A27">
              <w:rPr>
                <w:rFonts w:ascii="Arial" w:eastAsia="Times New Roman" w:hAnsi="Arial" w:cs="Arial"/>
                <w:b/>
                <w:bCs/>
                <w:color w:val="000000"/>
                <w:sz w:val="16"/>
                <w:szCs w:val="16"/>
                <w:lang w:eastAsia="en-AU"/>
              </w:rPr>
              <w:t xml:space="preserve"> </w:t>
            </w:r>
            <w:r w:rsidRPr="0069074E">
              <w:rPr>
                <w:rFonts w:ascii="Arial" w:eastAsia="Times New Roman" w:hAnsi="Arial" w:cs="Arial"/>
                <w:b/>
                <w:bCs/>
                <w:color w:val="000000"/>
                <w:sz w:val="16"/>
                <w:szCs w:val="16"/>
                <w:lang w:eastAsia="en-AU"/>
              </w:rPr>
              <w:t>40</w:t>
            </w:r>
          </w:p>
        </w:tc>
        <w:tc>
          <w:tcPr>
            <w:tcW w:w="79" w:type="dxa"/>
            <w:tcBorders>
              <w:top w:val="nil"/>
              <w:left w:val="nil"/>
              <w:bottom w:val="nil"/>
              <w:right w:val="nil"/>
            </w:tcBorders>
            <w:shd w:val="clear" w:color="auto" w:fill="auto"/>
            <w:noWrap/>
            <w:vAlign w:val="center"/>
            <w:hideMark/>
          </w:tcPr>
          <w:p w14:paraId="15220058" w14:textId="77777777" w:rsidR="0069074E" w:rsidRPr="0069074E" w:rsidRDefault="0069074E" w:rsidP="00360E75">
            <w:pPr>
              <w:spacing w:after="0" w:line="276" w:lineRule="auto"/>
              <w:jc w:val="center"/>
              <w:rPr>
                <w:rFonts w:ascii="Arial" w:eastAsia="Times New Roman" w:hAnsi="Arial" w:cs="Arial"/>
                <w:b/>
                <w:bCs/>
                <w:color w:val="000000"/>
                <w:sz w:val="16"/>
                <w:szCs w:val="16"/>
                <w:lang w:eastAsia="en-AU"/>
              </w:rPr>
            </w:pPr>
            <w:r w:rsidRPr="0069074E">
              <w:rPr>
                <w:rFonts w:ascii="Arial" w:eastAsia="Times New Roman" w:hAnsi="Arial" w:cs="Arial"/>
                <w:b/>
                <w:bCs/>
                <w:color w:val="000000"/>
                <w:sz w:val="16"/>
                <w:szCs w:val="16"/>
                <w:lang w:eastAsia="en-AU"/>
              </w:rPr>
              <w:t> </w:t>
            </w:r>
          </w:p>
        </w:tc>
        <w:tc>
          <w:tcPr>
            <w:tcW w:w="1230" w:type="dxa"/>
            <w:gridSpan w:val="2"/>
            <w:tcBorders>
              <w:top w:val="single" w:sz="4" w:space="0" w:color="auto"/>
              <w:left w:val="nil"/>
              <w:bottom w:val="single" w:sz="4" w:space="0" w:color="auto"/>
              <w:right w:val="nil"/>
            </w:tcBorders>
            <w:shd w:val="clear" w:color="auto" w:fill="auto"/>
            <w:vAlign w:val="center"/>
            <w:hideMark/>
          </w:tcPr>
          <w:p w14:paraId="5473FAD2" w14:textId="77777777" w:rsidR="0069074E" w:rsidRPr="0069074E" w:rsidRDefault="0069074E" w:rsidP="00360E75">
            <w:pPr>
              <w:spacing w:after="0" w:line="276" w:lineRule="auto"/>
              <w:jc w:val="center"/>
              <w:rPr>
                <w:rFonts w:ascii="Arial" w:eastAsia="Times New Roman" w:hAnsi="Arial" w:cs="Arial"/>
                <w:b/>
                <w:bCs/>
                <w:color w:val="000000"/>
                <w:sz w:val="16"/>
                <w:szCs w:val="16"/>
                <w:lang w:eastAsia="en-AU"/>
              </w:rPr>
            </w:pPr>
            <w:r w:rsidRPr="0069074E">
              <w:rPr>
                <w:rFonts w:ascii="Arial" w:eastAsia="Times New Roman" w:hAnsi="Arial" w:cs="Arial"/>
                <w:b/>
                <w:bCs/>
                <w:color w:val="000000"/>
                <w:sz w:val="16"/>
                <w:szCs w:val="16"/>
                <w:lang w:eastAsia="en-AU"/>
              </w:rPr>
              <w:t>All</w:t>
            </w:r>
          </w:p>
        </w:tc>
      </w:tr>
      <w:tr w:rsidR="00547D44" w:rsidRPr="0069074E" w14:paraId="059314D7" w14:textId="77777777" w:rsidTr="00E75E51">
        <w:trPr>
          <w:trHeight w:val="225"/>
        </w:trPr>
        <w:tc>
          <w:tcPr>
            <w:tcW w:w="3686" w:type="dxa"/>
            <w:tcBorders>
              <w:top w:val="nil"/>
              <w:left w:val="nil"/>
              <w:bottom w:val="single" w:sz="4" w:space="0" w:color="auto"/>
              <w:right w:val="nil"/>
            </w:tcBorders>
            <w:shd w:val="clear" w:color="auto" w:fill="auto"/>
            <w:noWrap/>
            <w:vAlign w:val="center"/>
            <w:hideMark/>
          </w:tcPr>
          <w:p w14:paraId="059C5946" w14:textId="77777777" w:rsidR="00547D44" w:rsidRPr="0069074E" w:rsidRDefault="00547D44" w:rsidP="00360E75">
            <w:pPr>
              <w:spacing w:after="0" w:line="276" w:lineRule="auto"/>
              <w:rPr>
                <w:rFonts w:ascii="Arial" w:eastAsia="Times New Roman" w:hAnsi="Arial" w:cs="Arial"/>
                <w:b/>
                <w:bCs/>
                <w:color w:val="000000"/>
                <w:sz w:val="16"/>
                <w:szCs w:val="16"/>
                <w:lang w:eastAsia="en-AU"/>
              </w:rPr>
            </w:pPr>
            <w:r w:rsidRPr="0069074E">
              <w:rPr>
                <w:rFonts w:ascii="Arial" w:eastAsia="Times New Roman" w:hAnsi="Arial" w:cs="Arial"/>
                <w:b/>
                <w:bCs/>
                <w:color w:val="000000"/>
                <w:sz w:val="16"/>
                <w:szCs w:val="16"/>
                <w:lang w:eastAsia="en-AU"/>
              </w:rPr>
              <w:t>Stage/outcome of treatment</w:t>
            </w:r>
          </w:p>
        </w:tc>
        <w:tc>
          <w:tcPr>
            <w:tcW w:w="567" w:type="dxa"/>
            <w:tcBorders>
              <w:top w:val="nil"/>
              <w:left w:val="nil"/>
              <w:bottom w:val="single" w:sz="4" w:space="0" w:color="auto"/>
              <w:right w:val="nil"/>
            </w:tcBorders>
            <w:shd w:val="clear" w:color="auto" w:fill="auto"/>
            <w:vAlign w:val="center"/>
            <w:hideMark/>
          </w:tcPr>
          <w:p w14:paraId="5A197C17" w14:textId="02C6E8A5" w:rsidR="00547D44" w:rsidRPr="0069074E" w:rsidRDefault="00547D44" w:rsidP="00360E75">
            <w:pPr>
              <w:spacing w:after="0" w:line="276" w:lineRule="auto"/>
              <w:jc w:val="center"/>
              <w:rPr>
                <w:rFonts w:ascii="Arial" w:eastAsia="Times New Roman" w:hAnsi="Arial" w:cs="Arial"/>
                <w:b/>
                <w:bCs/>
                <w:color w:val="000000"/>
                <w:sz w:val="16"/>
                <w:szCs w:val="16"/>
                <w:lang w:eastAsia="en-AU"/>
              </w:rPr>
            </w:pPr>
            <w:r w:rsidRPr="00617599">
              <w:rPr>
                <w:rFonts w:ascii="Arial" w:hAnsi="Arial" w:cs="Arial"/>
                <w:b/>
                <w:bCs/>
                <w:sz w:val="16"/>
                <w:szCs w:val="16"/>
              </w:rPr>
              <w:t>CL</w:t>
            </w:r>
            <w:r w:rsidRPr="00617599">
              <w:rPr>
                <w:rFonts w:ascii="Arial" w:hAnsi="Arial" w:cs="Arial"/>
                <w:b/>
                <w:bCs/>
                <w:sz w:val="16"/>
                <w:szCs w:val="16"/>
                <w:vertAlign w:val="superscript"/>
              </w:rPr>
              <w:t>(b)</w:t>
            </w:r>
          </w:p>
        </w:tc>
        <w:tc>
          <w:tcPr>
            <w:tcW w:w="737" w:type="dxa"/>
            <w:tcBorders>
              <w:top w:val="nil"/>
              <w:left w:val="nil"/>
              <w:bottom w:val="single" w:sz="4" w:space="0" w:color="auto"/>
              <w:right w:val="nil"/>
            </w:tcBorders>
            <w:shd w:val="clear" w:color="auto" w:fill="auto"/>
            <w:vAlign w:val="center"/>
            <w:hideMark/>
          </w:tcPr>
          <w:p w14:paraId="1EBA6365" w14:textId="22EAB77B" w:rsidR="00547D44" w:rsidRPr="0069074E" w:rsidRDefault="00547D44" w:rsidP="00360E75">
            <w:pPr>
              <w:spacing w:after="0" w:line="276" w:lineRule="auto"/>
              <w:jc w:val="center"/>
              <w:rPr>
                <w:rFonts w:ascii="Arial" w:eastAsia="Times New Roman" w:hAnsi="Arial" w:cs="Arial"/>
                <w:b/>
                <w:bCs/>
                <w:color w:val="000000"/>
                <w:sz w:val="16"/>
                <w:szCs w:val="16"/>
                <w:lang w:eastAsia="en-AU"/>
              </w:rPr>
            </w:pPr>
            <w:r w:rsidRPr="00617599">
              <w:rPr>
                <w:rFonts w:ascii="Arial" w:hAnsi="Arial" w:cs="Arial"/>
                <w:b/>
                <w:bCs/>
                <w:sz w:val="16"/>
                <w:szCs w:val="16"/>
              </w:rPr>
              <w:t>BL</w:t>
            </w:r>
            <w:r w:rsidRPr="00617599">
              <w:rPr>
                <w:rFonts w:ascii="Arial" w:hAnsi="Arial" w:cs="Arial"/>
                <w:b/>
                <w:bCs/>
                <w:sz w:val="16"/>
                <w:szCs w:val="16"/>
                <w:vertAlign w:val="superscript"/>
              </w:rPr>
              <w:t>(c)</w:t>
            </w:r>
          </w:p>
        </w:tc>
        <w:tc>
          <w:tcPr>
            <w:tcW w:w="79" w:type="dxa"/>
            <w:tcBorders>
              <w:top w:val="nil"/>
              <w:left w:val="nil"/>
              <w:bottom w:val="single" w:sz="4" w:space="0" w:color="auto"/>
              <w:right w:val="nil"/>
            </w:tcBorders>
            <w:shd w:val="clear" w:color="auto" w:fill="auto"/>
            <w:vAlign w:val="center"/>
            <w:hideMark/>
          </w:tcPr>
          <w:p w14:paraId="6F83D688" w14:textId="77777777" w:rsidR="00547D44" w:rsidRPr="0069074E" w:rsidRDefault="00547D44" w:rsidP="00360E75">
            <w:pPr>
              <w:spacing w:after="0" w:line="276" w:lineRule="auto"/>
              <w:jc w:val="center"/>
              <w:rPr>
                <w:rFonts w:ascii="Arial" w:eastAsia="Times New Roman" w:hAnsi="Arial" w:cs="Arial"/>
                <w:b/>
                <w:bCs/>
                <w:color w:val="000000"/>
                <w:sz w:val="16"/>
                <w:szCs w:val="16"/>
                <w:lang w:eastAsia="en-AU"/>
              </w:rPr>
            </w:pPr>
            <w:r w:rsidRPr="0069074E">
              <w:rPr>
                <w:rFonts w:ascii="Arial" w:eastAsia="Times New Roman" w:hAnsi="Arial" w:cs="Arial"/>
                <w:b/>
                <w:bCs/>
                <w:color w:val="000000"/>
                <w:sz w:val="16"/>
                <w:szCs w:val="16"/>
                <w:lang w:eastAsia="en-AU"/>
              </w:rPr>
              <w:t> </w:t>
            </w:r>
          </w:p>
        </w:tc>
        <w:tc>
          <w:tcPr>
            <w:tcW w:w="680" w:type="dxa"/>
            <w:tcBorders>
              <w:top w:val="nil"/>
              <w:left w:val="nil"/>
              <w:bottom w:val="single" w:sz="4" w:space="0" w:color="auto"/>
              <w:right w:val="nil"/>
            </w:tcBorders>
            <w:shd w:val="clear" w:color="auto" w:fill="auto"/>
            <w:vAlign w:val="center"/>
            <w:hideMark/>
          </w:tcPr>
          <w:p w14:paraId="2FCA0C21" w14:textId="31866912" w:rsidR="00547D44" w:rsidRPr="0069074E" w:rsidRDefault="00547D44" w:rsidP="00360E75">
            <w:pPr>
              <w:spacing w:after="0" w:line="276" w:lineRule="auto"/>
              <w:jc w:val="center"/>
              <w:rPr>
                <w:rFonts w:ascii="Arial" w:eastAsia="Times New Roman" w:hAnsi="Arial" w:cs="Arial"/>
                <w:b/>
                <w:bCs/>
                <w:color w:val="000000"/>
                <w:sz w:val="16"/>
                <w:szCs w:val="16"/>
                <w:lang w:eastAsia="en-AU"/>
              </w:rPr>
            </w:pPr>
            <w:r w:rsidRPr="00617599">
              <w:rPr>
                <w:rFonts w:ascii="Arial" w:hAnsi="Arial" w:cs="Arial"/>
                <w:b/>
                <w:bCs/>
                <w:sz w:val="16"/>
                <w:szCs w:val="16"/>
              </w:rPr>
              <w:t>CL</w:t>
            </w:r>
            <w:r w:rsidRPr="00617599">
              <w:rPr>
                <w:rFonts w:ascii="Arial" w:hAnsi="Arial" w:cs="Arial"/>
                <w:b/>
                <w:bCs/>
                <w:sz w:val="16"/>
                <w:szCs w:val="16"/>
                <w:vertAlign w:val="superscript"/>
              </w:rPr>
              <w:t>(b)</w:t>
            </w:r>
          </w:p>
        </w:tc>
        <w:tc>
          <w:tcPr>
            <w:tcW w:w="709" w:type="dxa"/>
            <w:tcBorders>
              <w:top w:val="nil"/>
              <w:left w:val="nil"/>
              <w:bottom w:val="single" w:sz="4" w:space="0" w:color="auto"/>
              <w:right w:val="nil"/>
            </w:tcBorders>
            <w:shd w:val="clear" w:color="auto" w:fill="auto"/>
            <w:vAlign w:val="center"/>
            <w:hideMark/>
          </w:tcPr>
          <w:p w14:paraId="7540170A" w14:textId="335A4AA1" w:rsidR="00547D44" w:rsidRPr="0069074E" w:rsidRDefault="00547D44" w:rsidP="00360E75">
            <w:pPr>
              <w:spacing w:after="0" w:line="276" w:lineRule="auto"/>
              <w:jc w:val="center"/>
              <w:rPr>
                <w:rFonts w:ascii="Arial" w:eastAsia="Times New Roman" w:hAnsi="Arial" w:cs="Arial"/>
                <w:b/>
                <w:bCs/>
                <w:color w:val="000000"/>
                <w:sz w:val="16"/>
                <w:szCs w:val="16"/>
                <w:lang w:eastAsia="en-AU"/>
              </w:rPr>
            </w:pPr>
            <w:r w:rsidRPr="00617599">
              <w:rPr>
                <w:rFonts w:ascii="Arial" w:hAnsi="Arial" w:cs="Arial"/>
                <w:b/>
                <w:bCs/>
                <w:sz w:val="16"/>
                <w:szCs w:val="16"/>
              </w:rPr>
              <w:t>BL</w:t>
            </w:r>
            <w:r w:rsidRPr="00617599">
              <w:rPr>
                <w:rFonts w:ascii="Arial" w:hAnsi="Arial" w:cs="Arial"/>
                <w:b/>
                <w:bCs/>
                <w:sz w:val="16"/>
                <w:szCs w:val="16"/>
                <w:vertAlign w:val="superscript"/>
              </w:rPr>
              <w:t>(c)</w:t>
            </w:r>
          </w:p>
        </w:tc>
        <w:tc>
          <w:tcPr>
            <w:tcW w:w="142" w:type="dxa"/>
            <w:tcBorders>
              <w:top w:val="nil"/>
              <w:left w:val="nil"/>
              <w:bottom w:val="single" w:sz="4" w:space="0" w:color="auto"/>
              <w:right w:val="nil"/>
            </w:tcBorders>
            <w:shd w:val="clear" w:color="auto" w:fill="auto"/>
            <w:vAlign w:val="center"/>
            <w:hideMark/>
          </w:tcPr>
          <w:p w14:paraId="36C0DEA8" w14:textId="77777777" w:rsidR="00547D44" w:rsidRPr="0069074E" w:rsidRDefault="00547D44" w:rsidP="00360E75">
            <w:pPr>
              <w:spacing w:after="0" w:line="276" w:lineRule="auto"/>
              <w:jc w:val="center"/>
              <w:rPr>
                <w:rFonts w:ascii="Arial" w:eastAsia="Times New Roman" w:hAnsi="Arial" w:cs="Arial"/>
                <w:b/>
                <w:bCs/>
                <w:color w:val="000000"/>
                <w:sz w:val="16"/>
                <w:szCs w:val="16"/>
                <w:lang w:eastAsia="en-AU"/>
              </w:rPr>
            </w:pPr>
            <w:r w:rsidRPr="0069074E">
              <w:rPr>
                <w:rFonts w:ascii="Arial" w:eastAsia="Times New Roman" w:hAnsi="Arial" w:cs="Arial"/>
                <w:b/>
                <w:bCs/>
                <w:color w:val="000000"/>
                <w:sz w:val="16"/>
                <w:szCs w:val="16"/>
                <w:lang w:eastAsia="en-AU"/>
              </w:rPr>
              <w:t> </w:t>
            </w:r>
          </w:p>
        </w:tc>
        <w:tc>
          <w:tcPr>
            <w:tcW w:w="567" w:type="dxa"/>
            <w:tcBorders>
              <w:top w:val="nil"/>
              <w:left w:val="nil"/>
              <w:bottom w:val="single" w:sz="4" w:space="0" w:color="auto"/>
              <w:right w:val="nil"/>
            </w:tcBorders>
            <w:shd w:val="clear" w:color="auto" w:fill="auto"/>
            <w:vAlign w:val="center"/>
            <w:hideMark/>
          </w:tcPr>
          <w:p w14:paraId="202AAEF8" w14:textId="7EDF79F9" w:rsidR="00547D44" w:rsidRPr="0069074E" w:rsidRDefault="00547D44" w:rsidP="00360E75">
            <w:pPr>
              <w:spacing w:after="0" w:line="276" w:lineRule="auto"/>
              <w:jc w:val="center"/>
              <w:rPr>
                <w:rFonts w:ascii="Arial" w:eastAsia="Times New Roman" w:hAnsi="Arial" w:cs="Arial"/>
                <w:b/>
                <w:bCs/>
                <w:color w:val="000000"/>
                <w:sz w:val="16"/>
                <w:szCs w:val="16"/>
                <w:lang w:eastAsia="en-AU"/>
              </w:rPr>
            </w:pPr>
            <w:r w:rsidRPr="00617599">
              <w:rPr>
                <w:rFonts w:ascii="Arial" w:hAnsi="Arial" w:cs="Arial"/>
                <w:b/>
                <w:bCs/>
                <w:sz w:val="16"/>
                <w:szCs w:val="16"/>
              </w:rPr>
              <w:t>CL</w:t>
            </w:r>
            <w:r w:rsidRPr="00617599">
              <w:rPr>
                <w:rFonts w:ascii="Arial" w:hAnsi="Arial" w:cs="Arial"/>
                <w:b/>
                <w:bCs/>
                <w:sz w:val="16"/>
                <w:szCs w:val="16"/>
                <w:vertAlign w:val="superscript"/>
              </w:rPr>
              <w:t>(b)</w:t>
            </w:r>
          </w:p>
        </w:tc>
        <w:tc>
          <w:tcPr>
            <w:tcW w:w="708" w:type="dxa"/>
            <w:tcBorders>
              <w:top w:val="nil"/>
              <w:left w:val="nil"/>
              <w:bottom w:val="single" w:sz="4" w:space="0" w:color="auto"/>
              <w:right w:val="nil"/>
            </w:tcBorders>
            <w:shd w:val="clear" w:color="auto" w:fill="auto"/>
            <w:vAlign w:val="center"/>
            <w:hideMark/>
          </w:tcPr>
          <w:p w14:paraId="20873511" w14:textId="56BEC334" w:rsidR="00547D44" w:rsidRPr="0069074E" w:rsidRDefault="00547D44" w:rsidP="00360E75">
            <w:pPr>
              <w:spacing w:after="0" w:line="276" w:lineRule="auto"/>
              <w:jc w:val="center"/>
              <w:rPr>
                <w:rFonts w:ascii="Arial" w:eastAsia="Times New Roman" w:hAnsi="Arial" w:cs="Arial"/>
                <w:b/>
                <w:bCs/>
                <w:color w:val="000000"/>
                <w:sz w:val="16"/>
                <w:szCs w:val="16"/>
                <w:lang w:eastAsia="en-AU"/>
              </w:rPr>
            </w:pPr>
            <w:r w:rsidRPr="00617599">
              <w:rPr>
                <w:rFonts w:ascii="Arial" w:hAnsi="Arial" w:cs="Arial"/>
                <w:b/>
                <w:bCs/>
                <w:sz w:val="16"/>
                <w:szCs w:val="16"/>
              </w:rPr>
              <w:t>BL</w:t>
            </w:r>
            <w:r w:rsidRPr="00617599">
              <w:rPr>
                <w:rFonts w:ascii="Arial" w:hAnsi="Arial" w:cs="Arial"/>
                <w:b/>
                <w:bCs/>
                <w:sz w:val="16"/>
                <w:szCs w:val="16"/>
                <w:vertAlign w:val="superscript"/>
              </w:rPr>
              <w:t>(c)</w:t>
            </w:r>
          </w:p>
        </w:tc>
        <w:tc>
          <w:tcPr>
            <w:tcW w:w="79" w:type="dxa"/>
            <w:tcBorders>
              <w:top w:val="nil"/>
              <w:left w:val="nil"/>
              <w:bottom w:val="single" w:sz="4" w:space="0" w:color="auto"/>
              <w:right w:val="nil"/>
            </w:tcBorders>
            <w:shd w:val="clear" w:color="auto" w:fill="auto"/>
            <w:vAlign w:val="center"/>
            <w:hideMark/>
          </w:tcPr>
          <w:p w14:paraId="7E0B7FE6" w14:textId="77777777" w:rsidR="00547D44" w:rsidRPr="0069074E" w:rsidRDefault="00547D44" w:rsidP="00360E75">
            <w:pPr>
              <w:spacing w:after="0" w:line="276" w:lineRule="auto"/>
              <w:jc w:val="center"/>
              <w:rPr>
                <w:rFonts w:ascii="Arial" w:eastAsia="Times New Roman" w:hAnsi="Arial" w:cs="Arial"/>
                <w:b/>
                <w:bCs/>
                <w:color w:val="000000"/>
                <w:sz w:val="16"/>
                <w:szCs w:val="16"/>
                <w:lang w:eastAsia="en-AU"/>
              </w:rPr>
            </w:pPr>
            <w:r w:rsidRPr="0069074E">
              <w:rPr>
                <w:rFonts w:ascii="Arial" w:eastAsia="Times New Roman" w:hAnsi="Arial" w:cs="Arial"/>
                <w:b/>
                <w:bCs/>
                <w:color w:val="000000"/>
                <w:sz w:val="16"/>
                <w:szCs w:val="16"/>
                <w:lang w:eastAsia="en-AU"/>
              </w:rPr>
              <w:t> </w:t>
            </w:r>
          </w:p>
        </w:tc>
        <w:tc>
          <w:tcPr>
            <w:tcW w:w="615" w:type="dxa"/>
            <w:tcBorders>
              <w:top w:val="nil"/>
              <w:left w:val="nil"/>
              <w:bottom w:val="single" w:sz="4" w:space="0" w:color="auto"/>
              <w:right w:val="nil"/>
            </w:tcBorders>
            <w:shd w:val="clear" w:color="auto" w:fill="auto"/>
            <w:vAlign w:val="center"/>
            <w:hideMark/>
          </w:tcPr>
          <w:p w14:paraId="1A3699A3" w14:textId="6CD7713C" w:rsidR="00547D44" w:rsidRPr="0069074E" w:rsidRDefault="00547D44" w:rsidP="00360E75">
            <w:pPr>
              <w:spacing w:after="0" w:line="276" w:lineRule="auto"/>
              <w:jc w:val="center"/>
              <w:rPr>
                <w:rFonts w:ascii="Arial" w:eastAsia="Times New Roman" w:hAnsi="Arial" w:cs="Arial"/>
                <w:b/>
                <w:bCs/>
                <w:color w:val="000000"/>
                <w:sz w:val="16"/>
                <w:szCs w:val="16"/>
                <w:lang w:eastAsia="en-AU"/>
              </w:rPr>
            </w:pPr>
            <w:r w:rsidRPr="00617599">
              <w:rPr>
                <w:rFonts w:ascii="Arial" w:hAnsi="Arial" w:cs="Arial"/>
                <w:b/>
                <w:bCs/>
                <w:sz w:val="16"/>
                <w:szCs w:val="16"/>
              </w:rPr>
              <w:t>CL</w:t>
            </w:r>
            <w:r w:rsidRPr="00617599">
              <w:rPr>
                <w:rFonts w:ascii="Arial" w:hAnsi="Arial" w:cs="Arial"/>
                <w:b/>
                <w:bCs/>
                <w:sz w:val="16"/>
                <w:szCs w:val="16"/>
                <w:vertAlign w:val="superscript"/>
              </w:rPr>
              <w:t>(b)</w:t>
            </w:r>
          </w:p>
        </w:tc>
        <w:tc>
          <w:tcPr>
            <w:tcW w:w="615" w:type="dxa"/>
            <w:tcBorders>
              <w:top w:val="nil"/>
              <w:left w:val="nil"/>
              <w:bottom w:val="single" w:sz="4" w:space="0" w:color="auto"/>
              <w:right w:val="nil"/>
            </w:tcBorders>
            <w:shd w:val="clear" w:color="auto" w:fill="auto"/>
            <w:vAlign w:val="center"/>
            <w:hideMark/>
          </w:tcPr>
          <w:p w14:paraId="3BB0B817" w14:textId="085E503C" w:rsidR="00547D44" w:rsidRPr="0069074E" w:rsidRDefault="00547D44" w:rsidP="00360E75">
            <w:pPr>
              <w:spacing w:after="0" w:line="276" w:lineRule="auto"/>
              <w:jc w:val="center"/>
              <w:rPr>
                <w:rFonts w:ascii="Arial" w:eastAsia="Times New Roman" w:hAnsi="Arial" w:cs="Arial"/>
                <w:b/>
                <w:bCs/>
                <w:color w:val="000000"/>
                <w:sz w:val="16"/>
                <w:szCs w:val="16"/>
                <w:lang w:eastAsia="en-AU"/>
              </w:rPr>
            </w:pPr>
            <w:r w:rsidRPr="00617599">
              <w:rPr>
                <w:rFonts w:ascii="Arial" w:hAnsi="Arial" w:cs="Arial"/>
                <w:b/>
                <w:bCs/>
                <w:sz w:val="16"/>
                <w:szCs w:val="16"/>
              </w:rPr>
              <w:t>BL</w:t>
            </w:r>
            <w:r w:rsidRPr="00617599">
              <w:rPr>
                <w:rFonts w:ascii="Arial" w:hAnsi="Arial" w:cs="Arial"/>
                <w:b/>
                <w:bCs/>
                <w:sz w:val="16"/>
                <w:szCs w:val="16"/>
                <w:vertAlign w:val="superscript"/>
              </w:rPr>
              <w:t>(c)</w:t>
            </w:r>
          </w:p>
        </w:tc>
      </w:tr>
      <w:tr w:rsidR="005E43D6" w:rsidRPr="0069074E" w14:paraId="08F301AD" w14:textId="77777777" w:rsidTr="00360E75">
        <w:trPr>
          <w:trHeight w:val="227"/>
        </w:trPr>
        <w:tc>
          <w:tcPr>
            <w:tcW w:w="3686" w:type="dxa"/>
            <w:tcBorders>
              <w:top w:val="nil"/>
              <w:left w:val="nil"/>
              <w:bottom w:val="nil"/>
              <w:right w:val="nil"/>
            </w:tcBorders>
            <w:shd w:val="clear" w:color="auto" w:fill="auto"/>
            <w:noWrap/>
            <w:vAlign w:val="center"/>
            <w:hideMark/>
          </w:tcPr>
          <w:p w14:paraId="76931E58" w14:textId="77777777" w:rsidR="005E43D6" w:rsidRPr="0069074E" w:rsidRDefault="005E43D6" w:rsidP="005E43D6">
            <w:pPr>
              <w:spacing w:after="0" w:line="276" w:lineRule="auto"/>
              <w:rPr>
                <w:rFonts w:ascii="Arial" w:eastAsia="Times New Roman" w:hAnsi="Arial" w:cs="Arial"/>
                <w:color w:val="000000"/>
                <w:sz w:val="16"/>
                <w:szCs w:val="16"/>
                <w:lang w:eastAsia="en-AU"/>
              </w:rPr>
            </w:pPr>
            <w:r w:rsidRPr="0069074E">
              <w:rPr>
                <w:rFonts w:ascii="Arial" w:eastAsia="Times New Roman" w:hAnsi="Arial" w:cs="Arial"/>
                <w:color w:val="000000"/>
                <w:sz w:val="16"/>
                <w:szCs w:val="16"/>
                <w:lang w:eastAsia="en-AU"/>
              </w:rPr>
              <w:t>Embryo transfer cycles</w:t>
            </w:r>
          </w:p>
        </w:tc>
        <w:tc>
          <w:tcPr>
            <w:tcW w:w="567" w:type="dxa"/>
            <w:tcBorders>
              <w:top w:val="nil"/>
              <w:left w:val="nil"/>
              <w:bottom w:val="nil"/>
              <w:right w:val="nil"/>
            </w:tcBorders>
            <w:shd w:val="clear" w:color="auto" w:fill="auto"/>
            <w:vAlign w:val="center"/>
            <w:hideMark/>
          </w:tcPr>
          <w:p w14:paraId="0500168D" w14:textId="4D06C48A"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199</w:t>
            </w:r>
          </w:p>
        </w:tc>
        <w:tc>
          <w:tcPr>
            <w:tcW w:w="737" w:type="dxa"/>
            <w:tcBorders>
              <w:top w:val="nil"/>
              <w:left w:val="nil"/>
              <w:bottom w:val="nil"/>
              <w:right w:val="nil"/>
            </w:tcBorders>
            <w:shd w:val="clear" w:color="auto" w:fill="auto"/>
            <w:vAlign w:val="center"/>
            <w:hideMark/>
          </w:tcPr>
          <w:p w14:paraId="6F6DC702" w14:textId="28341130"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355</w:t>
            </w:r>
          </w:p>
        </w:tc>
        <w:tc>
          <w:tcPr>
            <w:tcW w:w="79" w:type="dxa"/>
            <w:tcBorders>
              <w:top w:val="nil"/>
              <w:left w:val="nil"/>
              <w:bottom w:val="nil"/>
              <w:right w:val="nil"/>
            </w:tcBorders>
            <w:shd w:val="clear" w:color="auto" w:fill="auto"/>
            <w:vAlign w:val="center"/>
            <w:hideMark/>
          </w:tcPr>
          <w:p w14:paraId="617882DF" w14:textId="2F2D76CD"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680" w:type="dxa"/>
            <w:tcBorders>
              <w:top w:val="nil"/>
              <w:left w:val="nil"/>
              <w:bottom w:val="nil"/>
              <w:right w:val="nil"/>
            </w:tcBorders>
            <w:shd w:val="clear" w:color="auto" w:fill="auto"/>
            <w:vAlign w:val="center"/>
            <w:hideMark/>
          </w:tcPr>
          <w:p w14:paraId="67419B9F" w14:textId="739365E8"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311</w:t>
            </w:r>
          </w:p>
        </w:tc>
        <w:tc>
          <w:tcPr>
            <w:tcW w:w="709" w:type="dxa"/>
            <w:tcBorders>
              <w:top w:val="nil"/>
              <w:left w:val="nil"/>
              <w:bottom w:val="nil"/>
              <w:right w:val="nil"/>
            </w:tcBorders>
            <w:shd w:val="clear" w:color="auto" w:fill="auto"/>
            <w:vAlign w:val="center"/>
            <w:hideMark/>
          </w:tcPr>
          <w:p w14:paraId="5AFC1134" w14:textId="7D670D2B"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429</w:t>
            </w:r>
          </w:p>
        </w:tc>
        <w:tc>
          <w:tcPr>
            <w:tcW w:w="142" w:type="dxa"/>
            <w:tcBorders>
              <w:top w:val="nil"/>
              <w:left w:val="nil"/>
              <w:bottom w:val="nil"/>
              <w:right w:val="nil"/>
            </w:tcBorders>
            <w:shd w:val="clear" w:color="auto" w:fill="auto"/>
            <w:vAlign w:val="center"/>
            <w:hideMark/>
          </w:tcPr>
          <w:p w14:paraId="132CEE0E" w14:textId="5BC38396"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567" w:type="dxa"/>
            <w:tcBorders>
              <w:top w:val="nil"/>
              <w:left w:val="nil"/>
              <w:bottom w:val="nil"/>
              <w:right w:val="nil"/>
            </w:tcBorders>
            <w:shd w:val="clear" w:color="auto" w:fill="auto"/>
            <w:vAlign w:val="center"/>
            <w:hideMark/>
          </w:tcPr>
          <w:p w14:paraId="3DB553B9" w14:textId="07E1B6B7"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198</w:t>
            </w:r>
          </w:p>
        </w:tc>
        <w:tc>
          <w:tcPr>
            <w:tcW w:w="708" w:type="dxa"/>
            <w:tcBorders>
              <w:top w:val="nil"/>
              <w:left w:val="nil"/>
              <w:bottom w:val="nil"/>
              <w:right w:val="nil"/>
            </w:tcBorders>
            <w:shd w:val="clear" w:color="auto" w:fill="auto"/>
            <w:vAlign w:val="center"/>
            <w:hideMark/>
          </w:tcPr>
          <w:p w14:paraId="7059A25E" w14:textId="0D0599E2"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148</w:t>
            </w:r>
          </w:p>
        </w:tc>
        <w:tc>
          <w:tcPr>
            <w:tcW w:w="79" w:type="dxa"/>
            <w:tcBorders>
              <w:top w:val="nil"/>
              <w:left w:val="nil"/>
              <w:bottom w:val="nil"/>
              <w:right w:val="nil"/>
            </w:tcBorders>
            <w:shd w:val="clear" w:color="auto" w:fill="auto"/>
            <w:vAlign w:val="center"/>
            <w:hideMark/>
          </w:tcPr>
          <w:p w14:paraId="39B6D8E6" w14:textId="27221E2C"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615" w:type="dxa"/>
            <w:tcBorders>
              <w:top w:val="nil"/>
              <w:left w:val="nil"/>
              <w:bottom w:val="nil"/>
              <w:right w:val="nil"/>
            </w:tcBorders>
            <w:shd w:val="clear" w:color="auto" w:fill="auto"/>
            <w:vAlign w:val="center"/>
            <w:hideMark/>
          </w:tcPr>
          <w:p w14:paraId="36ABC6FF" w14:textId="57FD174F"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708</w:t>
            </w:r>
          </w:p>
        </w:tc>
        <w:tc>
          <w:tcPr>
            <w:tcW w:w="615" w:type="dxa"/>
            <w:tcBorders>
              <w:top w:val="nil"/>
              <w:left w:val="nil"/>
              <w:bottom w:val="nil"/>
              <w:right w:val="nil"/>
            </w:tcBorders>
            <w:shd w:val="clear" w:color="auto" w:fill="auto"/>
            <w:vAlign w:val="center"/>
            <w:hideMark/>
          </w:tcPr>
          <w:p w14:paraId="76FDFD80" w14:textId="3A130EF4"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932</w:t>
            </w:r>
          </w:p>
        </w:tc>
      </w:tr>
      <w:tr w:rsidR="005E43D6" w:rsidRPr="0069074E" w14:paraId="3CF40D3B" w14:textId="77777777" w:rsidTr="00A25E98">
        <w:trPr>
          <w:trHeight w:val="227"/>
        </w:trPr>
        <w:tc>
          <w:tcPr>
            <w:tcW w:w="3686" w:type="dxa"/>
            <w:tcBorders>
              <w:top w:val="nil"/>
              <w:left w:val="nil"/>
              <w:bottom w:val="nil"/>
              <w:right w:val="nil"/>
            </w:tcBorders>
            <w:shd w:val="clear" w:color="auto" w:fill="auto"/>
            <w:noWrap/>
            <w:vAlign w:val="center"/>
            <w:hideMark/>
          </w:tcPr>
          <w:p w14:paraId="6D940C28" w14:textId="77777777" w:rsidR="005E43D6" w:rsidRPr="0069074E" w:rsidRDefault="005E43D6" w:rsidP="005E43D6">
            <w:pPr>
              <w:spacing w:after="0" w:line="276" w:lineRule="auto"/>
              <w:rPr>
                <w:rFonts w:ascii="Arial" w:eastAsia="Times New Roman" w:hAnsi="Arial" w:cs="Arial"/>
                <w:color w:val="000000"/>
                <w:sz w:val="16"/>
                <w:szCs w:val="16"/>
                <w:lang w:eastAsia="en-AU"/>
              </w:rPr>
            </w:pPr>
            <w:r w:rsidRPr="0069074E">
              <w:rPr>
                <w:rFonts w:ascii="Arial" w:eastAsia="Times New Roman" w:hAnsi="Arial" w:cs="Arial"/>
                <w:color w:val="000000"/>
                <w:sz w:val="16"/>
                <w:szCs w:val="16"/>
                <w:lang w:eastAsia="en-AU"/>
              </w:rPr>
              <w:t>Clinical pregnancies</w:t>
            </w:r>
          </w:p>
        </w:tc>
        <w:tc>
          <w:tcPr>
            <w:tcW w:w="567" w:type="dxa"/>
            <w:tcBorders>
              <w:top w:val="nil"/>
              <w:left w:val="nil"/>
              <w:bottom w:val="nil"/>
              <w:right w:val="nil"/>
            </w:tcBorders>
            <w:shd w:val="clear" w:color="auto" w:fill="auto"/>
            <w:noWrap/>
            <w:vAlign w:val="bottom"/>
            <w:hideMark/>
          </w:tcPr>
          <w:p w14:paraId="63A35137" w14:textId="184DD18D"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74</w:t>
            </w:r>
          </w:p>
        </w:tc>
        <w:tc>
          <w:tcPr>
            <w:tcW w:w="737" w:type="dxa"/>
            <w:tcBorders>
              <w:top w:val="nil"/>
              <w:left w:val="nil"/>
              <w:bottom w:val="nil"/>
              <w:right w:val="nil"/>
            </w:tcBorders>
            <w:shd w:val="clear" w:color="auto" w:fill="auto"/>
            <w:noWrap/>
            <w:vAlign w:val="bottom"/>
            <w:hideMark/>
          </w:tcPr>
          <w:p w14:paraId="0B6FA066" w14:textId="73164448"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203</w:t>
            </w:r>
          </w:p>
        </w:tc>
        <w:tc>
          <w:tcPr>
            <w:tcW w:w="79" w:type="dxa"/>
            <w:tcBorders>
              <w:top w:val="nil"/>
              <w:left w:val="nil"/>
              <w:bottom w:val="nil"/>
              <w:right w:val="nil"/>
            </w:tcBorders>
            <w:shd w:val="clear" w:color="auto" w:fill="auto"/>
            <w:noWrap/>
            <w:vAlign w:val="bottom"/>
            <w:hideMark/>
          </w:tcPr>
          <w:p w14:paraId="54690E5E" w14:textId="3CBD4770"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680" w:type="dxa"/>
            <w:tcBorders>
              <w:top w:val="nil"/>
              <w:left w:val="nil"/>
              <w:bottom w:val="nil"/>
              <w:right w:val="nil"/>
            </w:tcBorders>
            <w:shd w:val="clear" w:color="auto" w:fill="auto"/>
            <w:noWrap/>
            <w:vAlign w:val="bottom"/>
            <w:hideMark/>
          </w:tcPr>
          <w:p w14:paraId="5D591785" w14:textId="10204270"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76</w:t>
            </w:r>
          </w:p>
        </w:tc>
        <w:tc>
          <w:tcPr>
            <w:tcW w:w="709" w:type="dxa"/>
            <w:tcBorders>
              <w:top w:val="nil"/>
              <w:left w:val="nil"/>
              <w:bottom w:val="nil"/>
              <w:right w:val="nil"/>
            </w:tcBorders>
            <w:shd w:val="clear" w:color="auto" w:fill="auto"/>
            <w:noWrap/>
            <w:vAlign w:val="bottom"/>
            <w:hideMark/>
          </w:tcPr>
          <w:p w14:paraId="3DE82E52" w14:textId="10135A58"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190</w:t>
            </w:r>
          </w:p>
        </w:tc>
        <w:tc>
          <w:tcPr>
            <w:tcW w:w="142" w:type="dxa"/>
            <w:tcBorders>
              <w:top w:val="nil"/>
              <w:left w:val="nil"/>
              <w:bottom w:val="nil"/>
              <w:right w:val="nil"/>
            </w:tcBorders>
            <w:shd w:val="clear" w:color="auto" w:fill="auto"/>
            <w:noWrap/>
            <w:vAlign w:val="bottom"/>
            <w:hideMark/>
          </w:tcPr>
          <w:p w14:paraId="0F45D3F0" w14:textId="5194243F"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67" w:type="dxa"/>
            <w:tcBorders>
              <w:top w:val="nil"/>
              <w:left w:val="nil"/>
              <w:bottom w:val="nil"/>
              <w:right w:val="nil"/>
            </w:tcBorders>
            <w:shd w:val="clear" w:color="auto" w:fill="auto"/>
            <w:noWrap/>
            <w:vAlign w:val="bottom"/>
            <w:hideMark/>
          </w:tcPr>
          <w:p w14:paraId="04E050FE" w14:textId="683B3E6F"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26</w:t>
            </w:r>
          </w:p>
        </w:tc>
        <w:tc>
          <w:tcPr>
            <w:tcW w:w="708" w:type="dxa"/>
            <w:tcBorders>
              <w:top w:val="nil"/>
              <w:left w:val="nil"/>
              <w:bottom w:val="nil"/>
              <w:right w:val="nil"/>
            </w:tcBorders>
            <w:shd w:val="clear" w:color="auto" w:fill="auto"/>
            <w:noWrap/>
            <w:vAlign w:val="bottom"/>
            <w:hideMark/>
          </w:tcPr>
          <w:p w14:paraId="2C8FD998" w14:textId="2D82F403"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33</w:t>
            </w:r>
          </w:p>
        </w:tc>
        <w:tc>
          <w:tcPr>
            <w:tcW w:w="79" w:type="dxa"/>
            <w:tcBorders>
              <w:top w:val="nil"/>
              <w:left w:val="nil"/>
              <w:bottom w:val="nil"/>
              <w:right w:val="nil"/>
            </w:tcBorders>
            <w:shd w:val="clear" w:color="auto" w:fill="auto"/>
            <w:noWrap/>
            <w:vAlign w:val="bottom"/>
            <w:hideMark/>
          </w:tcPr>
          <w:p w14:paraId="259B7456" w14:textId="5EAAC4BD"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615" w:type="dxa"/>
            <w:tcBorders>
              <w:top w:val="nil"/>
              <w:left w:val="nil"/>
              <w:bottom w:val="nil"/>
              <w:right w:val="nil"/>
            </w:tcBorders>
            <w:shd w:val="clear" w:color="auto" w:fill="auto"/>
            <w:noWrap/>
            <w:vAlign w:val="bottom"/>
            <w:hideMark/>
          </w:tcPr>
          <w:p w14:paraId="57CAD218" w14:textId="6F7F3051"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176</w:t>
            </w:r>
          </w:p>
        </w:tc>
        <w:tc>
          <w:tcPr>
            <w:tcW w:w="615" w:type="dxa"/>
            <w:tcBorders>
              <w:top w:val="nil"/>
              <w:left w:val="nil"/>
              <w:bottom w:val="nil"/>
              <w:right w:val="nil"/>
            </w:tcBorders>
            <w:shd w:val="clear" w:color="auto" w:fill="auto"/>
            <w:noWrap/>
            <w:vAlign w:val="bottom"/>
            <w:hideMark/>
          </w:tcPr>
          <w:p w14:paraId="1AEACE2B" w14:textId="6DDCAF38"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426</w:t>
            </w:r>
          </w:p>
        </w:tc>
      </w:tr>
      <w:tr w:rsidR="005E43D6" w:rsidRPr="0069074E" w14:paraId="74C985CE" w14:textId="77777777" w:rsidTr="00A25E98">
        <w:trPr>
          <w:trHeight w:val="227"/>
        </w:trPr>
        <w:tc>
          <w:tcPr>
            <w:tcW w:w="3686" w:type="dxa"/>
            <w:tcBorders>
              <w:top w:val="nil"/>
              <w:left w:val="nil"/>
              <w:bottom w:val="nil"/>
              <w:right w:val="nil"/>
            </w:tcBorders>
            <w:shd w:val="clear" w:color="auto" w:fill="auto"/>
            <w:noWrap/>
            <w:vAlign w:val="center"/>
            <w:hideMark/>
          </w:tcPr>
          <w:p w14:paraId="79AC6074" w14:textId="0402E261" w:rsidR="005E43D6" w:rsidRPr="0069074E" w:rsidRDefault="005E43D6" w:rsidP="005E43D6">
            <w:pPr>
              <w:spacing w:after="0" w:line="276" w:lineRule="auto"/>
              <w:rPr>
                <w:rFonts w:ascii="Arial" w:eastAsia="Times New Roman" w:hAnsi="Arial" w:cs="Arial"/>
                <w:color w:val="000000"/>
                <w:sz w:val="16"/>
                <w:szCs w:val="16"/>
                <w:lang w:eastAsia="en-AU"/>
              </w:rPr>
            </w:pPr>
            <w:r w:rsidRPr="0069074E">
              <w:rPr>
                <w:rFonts w:ascii="Arial" w:eastAsia="Times New Roman" w:hAnsi="Arial" w:cs="Arial"/>
                <w:color w:val="000000"/>
                <w:sz w:val="16"/>
                <w:szCs w:val="16"/>
                <w:lang w:eastAsia="en-AU"/>
              </w:rPr>
              <w:t xml:space="preserve">Live </w:t>
            </w:r>
            <w:r>
              <w:rPr>
                <w:rFonts w:ascii="Arial" w:eastAsia="Times New Roman" w:hAnsi="Arial" w:cs="Arial"/>
                <w:color w:val="000000"/>
                <w:sz w:val="16"/>
                <w:szCs w:val="16"/>
                <w:lang w:eastAsia="en-AU"/>
              </w:rPr>
              <w:t>births</w:t>
            </w:r>
          </w:p>
        </w:tc>
        <w:tc>
          <w:tcPr>
            <w:tcW w:w="567" w:type="dxa"/>
            <w:tcBorders>
              <w:top w:val="nil"/>
              <w:left w:val="nil"/>
              <w:bottom w:val="nil"/>
              <w:right w:val="nil"/>
            </w:tcBorders>
            <w:shd w:val="clear" w:color="auto" w:fill="auto"/>
            <w:noWrap/>
            <w:vAlign w:val="bottom"/>
            <w:hideMark/>
          </w:tcPr>
          <w:p w14:paraId="64FD420B" w14:textId="043957DC"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65</w:t>
            </w:r>
          </w:p>
        </w:tc>
        <w:tc>
          <w:tcPr>
            <w:tcW w:w="737" w:type="dxa"/>
            <w:tcBorders>
              <w:top w:val="nil"/>
              <w:left w:val="nil"/>
              <w:bottom w:val="nil"/>
              <w:right w:val="nil"/>
            </w:tcBorders>
            <w:shd w:val="clear" w:color="auto" w:fill="auto"/>
            <w:noWrap/>
            <w:vAlign w:val="bottom"/>
            <w:hideMark/>
          </w:tcPr>
          <w:p w14:paraId="62DB7C3B" w14:textId="53D68BE3"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170</w:t>
            </w:r>
          </w:p>
        </w:tc>
        <w:tc>
          <w:tcPr>
            <w:tcW w:w="79" w:type="dxa"/>
            <w:tcBorders>
              <w:top w:val="nil"/>
              <w:left w:val="nil"/>
              <w:bottom w:val="nil"/>
              <w:right w:val="nil"/>
            </w:tcBorders>
            <w:shd w:val="clear" w:color="auto" w:fill="auto"/>
            <w:noWrap/>
            <w:vAlign w:val="bottom"/>
            <w:hideMark/>
          </w:tcPr>
          <w:p w14:paraId="1939D447" w14:textId="2839B482"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680" w:type="dxa"/>
            <w:tcBorders>
              <w:top w:val="nil"/>
              <w:left w:val="nil"/>
              <w:bottom w:val="nil"/>
              <w:right w:val="nil"/>
            </w:tcBorders>
            <w:shd w:val="clear" w:color="auto" w:fill="auto"/>
            <w:noWrap/>
            <w:vAlign w:val="bottom"/>
            <w:hideMark/>
          </w:tcPr>
          <w:p w14:paraId="5A917066" w14:textId="59624D84"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56</w:t>
            </w:r>
          </w:p>
        </w:tc>
        <w:tc>
          <w:tcPr>
            <w:tcW w:w="709" w:type="dxa"/>
            <w:tcBorders>
              <w:top w:val="nil"/>
              <w:left w:val="nil"/>
              <w:bottom w:val="nil"/>
              <w:right w:val="nil"/>
            </w:tcBorders>
            <w:shd w:val="clear" w:color="auto" w:fill="auto"/>
            <w:noWrap/>
            <w:vAlign w:val="bottom"/>
            <w:hideMark/>
          </w:tcPr>
          <w:p w14:paraId="1891D345" w14:textId="04D30E50"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154</w:t>
            </w:r>
          </w:p>
        </w:tc>
        <w:tc>
          <w:tcPr>
            <w:tcW w:w="142" w:type="dxa"/>
            <w:tcBorders>
              <w:top w:val="nil"/>
              <w:left w:val="nil"/>
              <w:bottom w:val="nil"/>
              <w:right w:val="nil"/>
            </w:tcBorders>
            <w:shd w:val="clear" w:color="auto" w:fill="auto"/>
            <w:noWrap/>
            <w:vAlign w:val="bottom"/>
            <w:hideMark/>
          </w:tcPr>
          <w:p w14:paraId="2D62CC38" w14:textId="2F8F2851"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67" w:type="dxa"/>
            <w:tcBorders>
              <w:top w:val="nil"/>
              <w:left w:val="nil"/>
              <w:bottom w:val="nil"/>
              <w:right w:val="nil"/>
            </w:tcBorders>
            <w:shd w:val="clear" w:color="auto" w:fill="auto"/>
            <w:noWrap/>
            <w:vAlign w:val="bottom"/>
            <w:hideMark/>
          </w:tcPr>
          <w:p w14:paraId="42414521" w14:textId="5E2BAD2A"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14</w:t>
            </w:r>
          </w:p>
        </w:tc>
        <w:tc>
          <w:tcPr>
            <w:tcW w:w="708" w:type="dxa"/>
            <w:tcBorders>
              <w:top w:val="nil"/>
              <w:left w:val="nil"/>
              <w:bottom w:val="nil"/>
              <w:right w:val="nil"/>
            </w:tcBorders>
            <w:shd w:val="clear" w:color="auto" w:fill="auto"/>
            <w:noWrap/>
            <w:vAlign w:val="bottom"/>
            <w:hideMark/>
          </w:tcPr>
          <w:p w14:paraId="5D05D316" w14:textId="0F665EA1"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17</w:t>
            </w:r>
          </w:p>
        </w:tc>
        <w:tc>
          <w:tcPr>
            <w:tcW w:w="79" w:type="dxa"/>
            <w:tcBorders>
              <w:top w:val="nil"/>
              <w:left w:val="nil"/>
              <w:bottom w:val="nil"/>
              <w:right w:val="nil"/>
            </w:tcBorders>
            <w:shd w:val="clear" w:color="auto" w:fill="auto"/>
            <w:noWrap/>
            <w:vAlign w:val="bottom"/>
            <w:hideMark/>
          </w:tcPr>
          <w:p w14:paraId="437FD380" w14:textId="4D6926C3"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615" w:type="dxa"/>
            <w:tcBorders>
              <w:top w:val="nil"/>
              <w:left w:val="nil"/>
              <w:bottom w:val="nil"/>
              <w:right w:val="nil"/>
            </w:tcBorders>
            <w:shd w:val="clear" w:color="auto" w:fill="auto"/>
            <w:noWrap/>
            <w:vAlign w:val="bottom"/>
            <w:hideMark/>
          </w:tcPr>
          <w:p w14:paraId="19E1AD8B" w14:textId="5BF5ED1C"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135</w:t>
            </w:r>
          </w:p>
        </w:tc>
        <w:tc>
          <w:tcPr>
            <w:tcW w:w="615" w:type="dxa"/>
            <w:tcBorders>
              <w:top w:val="nil"/>
              <w:left w:val="nil"/>
              <w:bottom w:val="nil"/>
              <w:right w:val="nil"/>
            </w:tcBorders>
            <w:shd w:val="clear" w:color="auto" w:fill="auto"/>
            <w:noWrap/>
            <w:vAlign w:val="bottom"/>
            <w:hideMark/>
          </w:tcPr>
          <w:p w14:paraId="01CB7163" w14:textId="10F1006D"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341</w:t>
            </w:r>
          </w:p>
        </w:tc>
      </w:tr>
      <w:tr w:rsidR="005E43D6" w:rsidRPr="0069074E" w14:paraId="6F8B5D3B" w14:textId="77777777" w:rsidTr="00A25E98">
        <w:trPr>
          <w:trHeight w:val="227"/>
        </w:trPr>
        <w:tc>
          <w:tcPr>
            <w:tcW w:w="3686" w:type="dxa"/>
            <w:tcBorders>
              <w:top w:val="nil"/>
              <w:left w:val="nil"/>
              <w:right w:val="nil"/>
            </w:tcBorders>
            <w:shd w:val="clear" w:color="auto" w:fill="auto"/>
            <w:noWrap/>
            <w:vAlign w:val="center"/>
            <w:hideMark/>
          </w:tcPr>
          <w:p w14:paraId="721F1B6F" w14:textId="77777777" w:rsidR="005E43D6" w:rsidRPr="0069074E" w:rsidRDefault="005E43D6" w:rsidP="005E43D6">
            <w:pPr>
              <w:spacing w:after="0" w:line="276" w:lineRule="auto"/>
              <w:rPr>
                <w:rFonts w:ascii="Arial" w:eastAsia="Times New Roman" w:hAnsi="Arial" w:cs="Arial"/>
                <w:i/>
                <w:iCs/>
                <w:color w:val="000000"/>
                <w:sz w:val="16"/>
                <w:szCs w:val="16"/>
                <w:lang w:eastAsia="en-AU"/>
              </w:rPr>
            </w:pPr>
            <w:r w:rsidRPr="0069074E">
              <w:rPr>
                <w:rFonts w:ascii="Arial" w:eastAsia="Times New Roman" w:hAnsi="Arial" w:cs="Arial"/>
                <w:i/>
                <w:iCs/>
                <w:color w:val="000000"/>
                <w:sz w:val="16"/>
                <w:szCs w:val="16"/>
                <w:lang w:eastAsia="en-AU"/>
              </w:rPr>
              <w:t>Clinical pregnancies per embryo transfer cycle (%)</w:t>
            </w:r>
          </w:p>
        </w:tc>
        <w:tc>
          <w:tcPr>
            <w:tcW w:w="567" w:type="dxa"/>
            <w:tcBorders>
              <w:top w:val="nil"/>
              <w:left w:val="nil"/>
              <w:right w:val="nil"/>
            </w:tcBorders>
            <w:shd w:val="clear" w:color="auto" w:fill="auto"/>
            <w:noWrap/>
            <w:vAlign w:val="bottom"/>
            <w:hideMark/>
          </w:tcPr>
          <w:p w14:paraId="2E6C5BF3" w14:textId="5D5628CF" w:rsidR="005E43D6" w:rsidRPr="00BC7EC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37.2</w:t>
            </w:r>
          </w:p>
        </w:tc>
        <w:tc>
          <w:tcPr>
            <w:tcW w:w="737" w:type="dxa"/>
            <w:tcBorders>
              <w:top w:val="nil"/>
              <w:left w:val="nil"/>
              <w:right w:val="nil"/>
            </w:tcBorders>
            <w:shd w:val="clear" w:color="auto" w:fill="auto"/>
            <w:noWrap/>
            <w:vAlign w:val="bottom"/>
            <w:hideMark/>
          </w:tcPr>
          <w:p w14:paraId="0E103F0A" w14:textId="3A345192" w:rsidR="005E43D6" w:rsidRPr="009F3F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57.2</w:t>
            </w:r>
          </w:p>
        </w:tc>
        <w:tc>
          <w:tcPr>
            <w:tcW w:w="79" w:type="dxa"/>
            <w:tcBorders>
              <w:top w:val="nil"/>
              <w:left w:val="nil"/>
              <w:right w:val="nil"/>
            </w:tcBorders>
            <w:shd w:val="clear" w:color="auto" w:fill="auto"/>
            <w:noWrap/>
            <w:vAlign w:val="bottom"/>
            <w:hideMark/>
          </w:tcPr>
          <w:p w14:paraId="204F1A3B" w14:textId="07FD3A31" w:rsidR="005E43D6" w:rsidRPr="00DE6BE4" w:rsidRDefault="005E43D6" w:rsidP="005E43D6">
            <w:pPr>
              <w:spacing w:after="0" w:line="276" w:lineRule="auto"/>
              <w:jc w:val="right"/>
              <w:rPr>
                <w:rFonts w:ascii="Arial" w:eastAsia="Times New Roman" w:hAnsi="Arial" w:cs="Arial"/>
                <w:color w:val="FF0000"/>
                <w:sz w:val="16"/>
                <w:szCs w:val="16"/>
                <w:lang w:eastAsia="en-AU"/>
              </w:rPr>
            </w:pPr>
            <w:r>
              <w:rPr>
                <w:rFonts w:ascii="Arial" w:hAnsi="Arial" w:cs="Arial"/>
                <w:sz w:val="16"/>
                <w:szCs w:val="16"/>
              </w:rPr>
              <w:t> </w:t>
            </w:r>
          </w:p>
        </w:tc>
        <w:tc>
          <w:tcPr>
            <w:tcW w:w="680" w:type="dxa"/>
            <w:tcBorders>
              <w:top w:val="nil"/>
              <w:left w:val="nil"/>
              <w:right w:val="nil"/>
            </w:tcBorders>
            <w:shd w:val="clear" w:color="auto" w:fill="auto"/>
            <w:noWrap/>
            <w:vAlign w:val="bottom"/>
            <w:hideMark/>
          </w:tcPr>
          <w:p w14:paraId="15AE1ABC" w14:textId="2D140D7A" w:rsidR="005E43D6" w:rsidRPr="009F3F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24.4</w:t>
            </w:r>
          </w:p>
        </w:tc>
        <w:tc>
          <w:tcPr>
            <w:tcW w:w="709" w:type="dxa"/>
            <w:tcBorders>
              <w:top w:val="nil"/>
              <w:left w:val="nil"/>
              <w:right w:val="nil"/>
            </w:tcBorders>
            <w:shd w:val="clear" w:color="auto" w:fill="auto"/>
            <w:noWrap/>
            <w:vAlign w:val="bottom"/>
            <w:hideMark/>
          </w:tcPr>
          <w:p w14:paraId="534454D8" w14:textId="74C93EFC" w:rsidR="005E43D6" w:rsidRPr="009F3F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44.3</w:t>
            </w:r>
          </w:p>
        </w:tc>
        <w:tc>
          <w:tcPr>
            <w:tcW w:w="142" w:type="dxa"/>
            <w:tcBorders>
              <w:top w:val="nil"/>
              <w:left w:val="nil"/>
              <w:right w:val="nil"/>
            </w:tcBorders>
            <w:shd w:val="clear" w:color="auto" w:fill="auto"/>
            <w:noWrap/>
            <w:vAlign w:val="bottom"/>
            <w:hideMark/>
          </w:tcPr>
          <w:p w14:paraId="7F77C54C" w14:textId="32AA0E45"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67" w:type="dxa"/>
            <w:tcBorders>
              <w:top w:val="nil"/>
              <w:left w:val="nil"/>
              <w:right w:val="nil"/>
            </w:tcBorders>
            <w:shd w:val="clear" w:color="auto" w:fill="auto"/>
            <w:noWrap/>
            <w:vAlign w:val="bottom"/>
            <w:hideMark/>
          </w:tcPr>
          <w:p w14:paraId="30D8E4DA" w14:textId="3DC6B217" w:rsidR="005E43D6" w:rsidRPr="00BC7EC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13.1</w:t>
            </w:r>
          </w:p>
        </w:tc>
        <w:tc>
          <w:tcPr>
            <w:tcW w:w="708" w:type="dxa"/>
            <w:tcBorders>
              <w:top w:val="nil"/>
              <w:left w:val="nil"/>
              <w:right w:val="nil"/>
            </w:tcBorders>
            <w:shd w:val="clear" w:color="auto" w:fill="auto"/>
            <w:noWrap/>
            <w:vAlign w:val="bottom"/>
            <w:hideMark/>
          </w:tcPr>
          <w:p w14:paraId="0BD05CEF" w14:textId="5A82FB8B" w:rsidR="005E43D6" w:rsidRPr="00BC7EC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22.3</w:t>
            </w:r>
          </w:p>
        </w:tc>
        <w:tc>
          <w:tcPr>
            <w:tcW w:w="79" w:type="dxa"/>
            <w:tcBorders>
              <w:top w:val="nil"/>
              <w:left w:val="nil"/>
              <w:right w:val="nil"/>
            </w:tcBorders>
            <w:shd w:val="clear" w:color="auto" w:fill="auto"/>
            <w:noWrap/>
            <w:vAlign w:val="bottom"/>
            <w:hideMark/>
          </w:tcPr>
          <w:p w14:paraId="5389F937" w14:textId="02377444"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615" w:type="dxa"/>
            <w:tcBorders>
              <w:top w:val="nil"/>
              <w:left w:val="nil"/>
              <w:right w:val="nil"/>
            </w:tcBorders>
            <w:shd w:val="clear" w:color="auto" w:fill="auto"/>
            <w:noWrap/>
            <w:vAlign w:val="bottom"/>
            <w:hideMark/>
          </w:tcPr>
          <w:p w14:paraId="6F2A9C41" w14:textId="7FAEFE1D" w:rsidR="005E43D6" w:rsidRPr="00BC7EC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24.9</w:t>
            </w:r>
          </w:p>
        </w:tc>
        <w:tc>
          <w:tcPr>
            <w:tcW w:w="615" w:type="dxa"/>
            <w:tcBorders>
              <w:top w:val="nil"/>
              <w:left w:val="nil"/>
              <w:right w:val="nil"/>
            </w:tcBorders>
            <w:shd w:val="clear" w:color="auto" w:fill="auto"/>
            <w:noWrap/>
            <w:vAlign w:val="bottom"/>
            <w:hideMark/>
          </w:tcPr>
          <w:p w14:paraId="50B94B52" w14:textId="747D8C58" w:rsidR="005E43D6" w:rsidRPr="00BC7EC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45.7</w:t>
            </w:r>
          </w:p>
        </w:tc>
      </w:tr>
      <w:tr w:rsidR="005E43D6" w:rsidRPr="0069074E" w14:paraId="2F4757D6" w14:textId="77777777" w:rsidTr="00A25E98">
        <w:trPr>
          <w:trHeight w:val="227"/>
        </w:trPr>
        <w:tc>
          <w:tcPr>
            <w:tcW w:w="3686" w:type="dxa"/>
            <w:tcBorders>
              <w:top w:val="nil"/>
              <w:left w:val="nil"/>
              <w:bottom w:val="single" w:sz="12" w:space="0" w:color="auto"/>
              <w:right w:val="nil"/>
            </w:tcBorders>
            <w:shd w:val="clear" w:color="auto" w:fill="auto"/>
            <w:noWrap/>
            <w:vAlign w:val="center"/>
            <w:hideMark/>
          </w:tcPr>
          <w:p w14:paraId="50849579" w14:textId="64297B1E" w:rsidR="005E43D6" w:rsidRPr="0069074E" w:rsidRDefault="005E43D6" w:rsidP="005E43D6">
            <w:pPr>
              <w:spacing w:after="0" w:line="276" w:lineRule="auto"/>
              <w:rPr>
                <w:rFonts w:ascii="Arial" w:eastAsia="Times New Roman" w:hAnsi="Arial" w:cs="Arial"/>
                <w:i/>
                <w:iCs/>
                <w:sz w:val="16"/>
                <w:szCs w:val="16"/>
                <w:lang w:eastAsia="en-AU"/>
              </w:rPr>
            </w:pPr>
            <w:r w:rsidRPr="0069074E">
              <w:rPr>
                <w:rFonts w:ascii="Arial" w:eastAsia="Times New Roman" w:hAnsi="Arial" w:cs="Arial"/>
                <w:i/>
                <w:iCs/>
                <w:sz w:val="16"/>
                <w:szCs w:val="16"/>
                <w:lang w:eastAsia="en-AU"/>
              </w:rPr>
              <w:t xml:space="preserve">Live </w:t>
            </w:r>
            <w:r>
              <w:rPr>
                <w:rFonts w:ascii="Arial" w:eastAsia="Times New Roman" w:hAnsi="Arial" w:cs="Arial"/>
                <w:i/>
                <w:iCs/>
                <w:sz w:val="16"/>
                <w:szCs w:val="16"/>
                <w:lang w:eastAsia="en-AU"/>
              </w:rPr>
              <w:t>births</w:t>
            </w:r>
            <w:r w:rsidRPr="0069074E">
              <w:rPr>
                <w:rFonts w:ascii="Arial" w:eastAsia="Times New Roman" w:hAnsi="Arial" w:cs="Arial"/>
                <w:i/>
                <w:iCs/>
                <w:sz w:val="16"/>
                <w:szCs w:val="16"/>
                <w:lang w:eastAsia="en-AU"/>
              </w:rPr>
              <w:t xml:space="preserve"> per embryo transfer cycle (%)</w:t>
            </w:r>
          </w:p>
        </w:tc>
        <w:tc>
          <w:tcPr>
            <w:tcW w:w="567" w:type="dxa"/>
            <w:tcBorders>
              <w:top w:val="nil"/>
              <w:left w:val="nil"/>
              <w:bottom w:val="single" w:sz="12" w:space="0" w:color="auto"/>
              <w:right w:val="nil"/>
            </w:tcBorders>
            <w:shd w:val="clear" w:color="auto" w:fill="auto"/>
            <w:noWrap/>
            <w:vAlign w:val="bottom"/>
            <w:hideMark/>
          </w:tcPr>
          <w:p w14:paraId="0967124F" w14:textId="60B30FA0" w:rsidR="005E43D6" w:rsidRPr="00BC7EC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32.7</w:t>
            </w:r>
          </w:p>
        </w:tc>
        <w:tc>
          <w:tcPr>
            <w:tcW w:w="737" w:type="dxa"/>
            <w:tcBorders>
              <w:top w:val="nil"/>
              <w:left w:val="nil"/>
              <w:bottom w:val="single" w:sz="12" w:space="0" w:color="auto"/>
              <w:right w:val="nil"/>
            </w:tcBorders>
            <w:shd w:val="clear" w:color="auto" w:fill="auto"/>
            <w:noWrap/>
            <w:vAlign w:val="bottom"/>
            <w:hideMark/>
          </w:tcPr>
          <w:p w14:paraId="523621E3" w14:textId="3EA2627F" w:rsidR="005E43D6" w:rsidRPr="009F3F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47.9</w:t>
            </w:r>
          </w:p>
        </w:tc>
        <w:tc>
          <w:tcPr>
            <w:tcW w:w="79" w:type="dxa"/>
            <w:tcBorders>
              <w:top w:val="nil"/>
              <w:left w:val="nil"/>
              <w:bottom w:val="single" w:sz="12" w:space="0" w:color="auto"/>
              <w:right w:val="nil"/>
            </w:tcBorders>
            <w:shd w:val="clear" w:color="auto" w:fill="auto"/>
            <w:noWrap/>
            <w:vAlign w:val="bottom"/>
            <w:hideMark/>
          </w:tcPr>
          <w:p w14:paraId="01BEDC5B" w14:textId="51B9D72D" w:rsidR="005E43D6" w:rsidRPr="00DE6BE4" w:rsidRDefault="005E43D6" w:rsidP="005E43D6">
            <w:pPr>
              <w:spacing w:after="0" w:line="276" w:lineRule="auto"/>
              <w:jc w:val="right"/>
              <w:rPr>
                <w:rFonts w:ascii="Arial" w:eastAsia="Times New Roman" w:hAnsi="Arial" w:cs="Arial"/>
                <w:color w:val="FF0000"/>
                <w:sz w:val="16"/>
                <w:szCs w:val="16"/>
                <w:lang w:eastAsia="en-AU"/>
              </w:rPr>
            </w:pPr>
            <w:r>
              <w:rPr>
                <w:rFonts w:ascii="Arial" w:hAnsi="Arial" w:cs="Arial"/>
                <w:sz w:val="16"/>
                <w:szCs w:val="16"/>
              </w:rPr>
              <w:t> </w:t>
            </w:r>
          </w:p>
        </w:tc>
        <w:tc>
          <w:tcPr>
            <w:tcW w:w="680" w:type="dxa"/>
            <w:tcBorders>
              <w:top w:val="nil"/>
              <w:left w:val="nil"/>
              <w:bottom w:val="single" w:sz="12" w:space="0" w:color="auto"/>
              <w:right w:val="nil"/>
            </w:tcBorders>
            <w:shd w:val="clear" w:color="auto" w:fill="auto"/>
            <w:noWrap/>
            <w:vAlign w:val="bottom"/>
            <w:hideMark/>
          </w:tcPr>
          <w:p w14:paraId="12184F33" w14:textId="0A883131" w:rsidR="005E43D6" w:rsidRPr="00BC7EC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18.0</w:t>
            </w:r>
          </w:p>
        </w:tc>
        <w:tc>
          <w:tcPr>
            <w:tcW w:w="709" w:type="dxa"/>
            <w:tcBorders>
              <w:top w:val="nil"/>
              <w:left w:val="nil"/>
              <w:bottom w:val="single" w:sz="12" w:space="0" w:color="auto"/>
              <w:right w:val="nil"/>
            </w:tcBorders>
            <w:shd w:val="clear" w:color="auto" w:fill="auto"/>
            <w:noWrap/>
            <w:vAlign w:val="bottom"/>
            <w:hideMark/>
          </w:tcPr>
          <w:p w14:paraId="49A31D96" w14:textId="4D2AF5CC" w:rsidR="005E43D6" w:rsidRPr="00BC7EC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35.9</w:t>
            </w:r>
          </w:p>
        </w:tc>
        <w:tc>
          <w:tcPr>
            <w:tcW w:w="142" w:type="dxa"/>
            <w:tcBorders>
              <w:top w:val="nil"/>
              <w:left w:val="nil"/>
              <w:bottom w:val="single" w:sz="12" w:space="0" w:color="auto"/>
              <w:right w:val="nil"/>
            </w:tcBorders>
            <w:shd w:val="clear" w:color="auto" w:fill="auto"/>
            <w:noWrap/>
            <w:vAlign w:val="bottom"/>
            <w:hideMark/>
          </w:tcPr>
          <w:p w14:paraId="11B2EDF8" w14:textId="366DC287"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67" w:type="dxa"/>
            <w:tcBorders>
              <w:top w:val="nil"/>
              <w:left w:val="nil"/>
              <w:bottom w:val="single" w:sz="12" w:space="0" w:color="auto"/>
              <w:right w:val="nil"/>
            </w:tcBorders>
            <w:shd w:val="clear" w:color="auto" w:fill="auto"/>
            <w:noWrap/>
            <w:vAlign w:val="bottom"/>
            <w:hideMark/>
          </w:tcPr>
          <w:p w14:paraId="185FFAD8" w14:textId="0177E516" w:rsidR="005E43D6" w:rsidRPr="00BC7EC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7.1</w:t>
            </w:r>
          </w:p>
        </w:tc>
        <w:tc>
          <w:tcPr>
            <w:tcW w:w="708" w:type="dxa"/>
            <w:tcBorders>
              <w:top w:val="nil"/>
              <w:left w:val="nil"/>
              <w:bottom w:val="single" w:sz="12" w:space="0" w:color="auto"/>
              <w:right w:val="nil"/>
            </w:tcBorders>
            <w:shd w:val="clear" w:color="auto" w:fill="auto"/>
            <w:noWrap/>
            <w:vAlign w:val="bottom"/>
            <w:hideMark/>
          </w:tcPr>
          <w:p w14:paraId="3526E957" w14:textId="5818A4F4" w:rsidR="005E43D6" w:rsidRPr="00BC7EC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11.5</w:t>
            </w:r>
          </w:p>
        </w:tc>
        <w:tc>
          <w:tcPr>
            <w:tcW w:w="79" w:type="dxa"/>
            <w:tcBorders>
              <w:top w:val="nil"/>
              <w:left w:val="nil"/>
              <w:bottom w:val="single" w:sz="12" w:space="0" w:color="auto"/>
              <w:right w:val="nil"/>
            </w:tcBorders>
            <w:shd w:val="clear" w:color="auto" w:fill="auto"/>
            <w:noWrap/>
            <w:vAlign w:val="bottom"/>
            <w:hideMark/>
          </w:tcPr>
          <w:p w14:paraId="30D28347" w14:textId="6EF7AA1D" w:rsidR="005E43D6" w:rsidRPr="00BC7EC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615" w:type="dxa"/>
            <w:tcBorders>
              <w:top w:val="nil"/>
              <w:left w:val="nil"/>
              <w:bottom w:val="single" w:sz="12" w:space="0" w:color="auto"/>
              <w:right w:val="nil"/>
            </w:tcBorders>
            <w:shd w:val="clear" w:color="auto" w:fill="auto"/>
            <w:noWrap/>
            <w:vAlign w:val="bottom"/>
            <w:hideMark/>
          </w:tcPr>
          <w:p w14:paraId="1702F803" w14:textId="6D4A77E8" w:rsidR="005E43D6" w:rsidRPr="00BC7EC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19.1</w:t>
            </w:r>
          </w:p>
        </w:tc>
        <w:tc>
          <w:tcPr>
            <w:tcW w:w="615" w:type="dxa"/>
            <w:tcBorders>
              <w:top w:val="nil"/>
              <w:left w:val="nil"/>
              <w:bottom w:val="single" w:sz="12" w:space="0" w:color="auto"/>
              <w:right w:val="nil"/>
            </w:tcBorders>
            <w:shd w:val="clear" w:color="auto" w:fill="auto"/>
            <w:noWrap/>
            <w:vAlign w:val="bottom"/>
            <w:hideMark/>
          </w:tcPr>
          <w:p w14:paraId="67F14DEC" w14:textId="2406B3D4" w:rsidR="005E43D6" w:rsidRPr="00BC7EC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36.6</w:t>
            </w:r>
          </w:p>
        </w:tc>
      </w:tr>
    </w:tbl>
    <w:p w14:paraId="62280E25" w14:textId="00DDC446" w:rsidR="009303CD" w:rsidRPr="00617599" w:rsidRDefault="002D639B" w:rsidP="00E5087D">
      <w:pPr>
        <w:pStyle w:val="TableSourcefootnotes"/>
        <w:spacing w:before="0" w:after="0" w:line="240" w:lineRule="auto"/>
        <w:rPr>
          <w:rFonts w:cs="Arial"/>
        </w:rPr>
      </w:pPr>
      <w:r>
        <w:rPr>
          <w:rFonts w:cs="Arial"/>
        </w:rPr>
        <w:t>(</w:t>
      </w:r>
      <w:r w:rsidR="009303CD" w:rsidRPr="00617599">
        <w:rPr>
          <w:rFonts w:cs="Arial"/>
        </w:rPr>
        <w:t>a)</w:t>
      </w:r>
      <w:r w:rsidR="009303CD" w:rsidRPr="00617599">
        <w:rPr>
          <w:rFonts w:cs="Arial"/>
        </w:rPr>
        <w:tab/>
        <w:t>Age at start of a treatment cycle.</w:t>
      </w:r>
    </w:p>
    <w:p w14:paraId="35B38878" w14:textId="77777777" w:rsidR="009303CD" w:rsidRPr="00617599" w:rsidRDefault="009303CD" w:rsidP="00E5087D">
      <w:pPr>
        <w:pStyle w:val="TableSourcefootnotes"/>
        <w:spacing w:before="0" w:after="0" w:line="240" w:lineRule="auto"/>
        <w:rPr>
          <w:rFonts w:cs="Arial"/>
        </w:rPr>
      </w:pPr>
      <w:r w:rsidRPr="00617599">
        <w:rPr>
          <w:rFonts w:cs="Arial"/>
        </w:rPr>
        <w:t>(b)</w:t>
      </w:r>
      <w:r w:rsidRPr="00617599">
        <w:rPr>
          <w:rFonts w:cs="Arial"/>
        </w:rPr>
        <w:tab/>
        <w:t>CL: cleavage stage embryo.</w:t>
      </w:r>
    </w:p>
    <w:p w14:paraId="43873411" w14:textId="77777777" w:rsidR="009303CD" w:rsidRPr="00617599" w:rsidRDefault="009303CD" w:rsidP="00E5087D">
      <w:pPr>
        <w:pStyle w:val="TableSourcefootnotes"/>
        <w:spacing w:before="0" w:after="0" w:line="240" w:lineRule="auto"/>
        <w:rPr>
          <w:rFonts w:cs="Arial"/>
          <w:highlight w:val="yellow"/>
        </w:rPr>
      </w:pPr>
      <w:r w:rsidRPr="00617599">
        <w:rPr>
          <w:rFonts w:cs="Arial"/>
        </w:rPr>
        <w:t>(c)</w:t>
      </w:r>
      <w:r w:rsidRPr="00617599">
        <w:rPr>
          <w:rFonts w:cs="Arial"/>
        </w:rPr>
        <w:tab/>
        <w:t>BL: blastocyst.</w:t>
      </w:r>
    </w:p>
    <w:p w14:paraId="34E54D2A" w14:textId="77777777" w:rsidR="009303CD" w:rsidRPr="00617599" w:rsidRDefault="009303CD" w:rsidP="009303CD">
      <w:pPr>
        <w:pStyle w:val="Heading2"/>
        <w:rPr>
          <w:rFonts w:cs="Arial"/>
        </w:rPr>
      </w:pPr>
      <w:r w:rsidRPr="00617599">
        <w:rPr>
          <w:rFonts w:cs="Arial"/>
          <w:b w:val="0"/>
          <w:bCs w:val="0"/>
          <w:highlight w:val="yellow"/>
        </w:rPr>
        <w:br w:type="page"/>
      </w:r>
      <w:bookmarkStart w:id="280" w:name="_Toc453061469"/>
      <w:bookmarkStart w:id="281" w:name="_Toc453057397"/>
      <w:bookmarkStart w:id="282" w:name="_Toc453055612"/>
      <w:bookmarkStart w:id="283" w:name="_Toc453054838"/>
      <w:r w:rsidRPr="00617599">
        <w:rPr>
          <w:rFonts w:cs="Arial"/>
        </w:rPr>
        <w:lastRenderedPageBreak/>
        <w:t>3.3 Autologous thaw cycles</w:t>
      </w:r>
      <w:bookmarkEnd w:id="280"/>
    </w:p>
    <w:p w14:paraId="5BCE07B1" w14:textId="0DAA268B" w:rsidR="009303CD" w:rsidRPr="00617599" w:rsidRDefault="009303CD" w:rsidP="009303CD">
      <w:pPr>
        <w:pStyle w:val="Heading3"/>
        <w:rPr>
          <w:rFonts w:eastAsia="Times New Roman" w:cs="Arial"/>
        </w:rPr>
      </w:pPr>
      <w:bookmarkStart w:id="284" w:name="_Toc453061470"/>
      <w:bookmarkStart w:id="285" w:name="_Toc453059067"/>
      <w:r w:rsidRPr="00617599">
        <w:rPr>
          <w:rFonts w:eastAsia="Times New Roman" w:cs="Arial"/>
        </w:rPr>
        <w:t xml:space="preserve">Clinical pregnancies and live </w:t>
      </w:r>
      <w:r w:rsidR="00C736CE">
        <w:rPr>
          <w:rFonts w:eastAsia="Times New Roman" w:cs="Arial"/>
        </w:rPr>
        <w:t>births</w:t>
      </w:r>
      <w:r w:rsidRPr="00617599">
        <w:rPr>
          <w:rFonts w:eastAsia="Times New Roman" w:cs="Arial"/>
        </w:rPr>
        <w:t xml:space="preserve"> from autologous thaw cycles by women’s age</w:t>
      </w:r>
      <w:bookmarkEnd w:id="281"/>
      <w:bookmarkEnd w:id="282"/>
      <w:bookmarkEnd w:id="283"/>
      <w:bookmarkEnd w:id="284"/>
      <w:bookmarkEnd w:id="285"/>
    </w:p>
    <w:p w14:paraId="0A09FD6D" w14:textId="0150B338" w:rsidR="009303CD" w:rsidRDefault="009303CD" w:rsidP="009303CD">
      <w:pPr>
        <w:pStyle w:val="NPESUbodytext"/>
        <w:rPr>
          <w:rFonts w:cs="Arial"/>
          <w:lang w:eastAsia="en-AU"/>
        </w:rPr>
      </w:pPr>
      <w:r w:rsidRPr="00617599">
        <w:rPr>
          <w:rFonts w:cs="Arial"/>
          <w:lang w:eastAsia="en-AU"/>
        </w:rPr>
        <w:t xml:space="preserve">The overall live </w:t>
      </w:r>
      <w:r w:rsidR="00EC42AE">
        <w:rPr>
          <w:rFonts w:cs="Arial"/>
          <w:lang w:eastAsia="en-AU"/>
        </w:rPr>
        <w:t>birth</w:t>
      </w:r>
      <w:r w:rsidRPr="00617599">
        <w:rPr>
          <w:rFonts w:cs="Arial"/>
          <w:lang w:eastAsia="en-AU"/>
        </w:rPr>
        <w:t xml:space="preserve"> rate per autologous thaw embryo transfer cycle was </w:t>
      </w:r>
      <w:r w:rsidR="00E53FFF">
        <w:rPr>
          <w:rFonts w:cs="Arial"/>
          <w:lang w:eastAsia="en-AU"/>
        </w:rPr>
        <w:t>3</w:t>
      </w:r>
      <w:r w:rsidR="00F226A8">
        <w:rPr>
          <w:rFonts w:cs="Arial"/>
          <w:lang w:eastAsia="en-AU"/>
        </w:rPr>
        <w:t>4.9</w:t>
      </w:r>
      <w:r w:rsidRPr="00617599">
        <w:rPr>
          <w:rFonts w:cs="Arial"/>
          <w:lang w:eastAsia="en-AU"/>
        </w:rPr>
        <w:t xml:space="preserve">%. The highest live </w:t>
      </w:r>
      <w:r w:rsidR="00EC42AE">
        <w:rPr>
          <w:rFonts w:cs="Arial"/>
          <w:lang w:eastAsia="en-AU"/>
        </w:rPr>
        <w:t>birth</w:t>
      </w:r>
      <w:r w:rsidRPr="00617599">
        <w:rPr>
          <w:rFonts w:cs="Arial"/>
          <w:lang w:eastAsia="en-AU"/>
        </w:rPr>
        <w:t xml:space="preserve"> rate per embryo transfer cycle</w:t>
      </w:r>
      <w:r w:rsidR="009578F2">
        <w:rPr>
          <w:rFonts w:cs="Arial"/>
          <w:lang w:eastAsia="en-AU"/>
        </w:rPr>
        <w:t xml:space="preserve"> </w:t>
      </w:r>
      <w:r w:rsidR="009578F2" w:rsidRPr="00617599">
        <w:rPr>
          <w:rFonts w:cs="Arial"/>
          <w:lang w:eastAsia="en-AU"/>
        </w:rPr>
        <w:t>(</w:t>
      </w:r>
      <w:r w:rsidR="00E53FFF">
        <w:rPr>
          <w:rFonts w:cs="Arial"/>
          <w:lang w:eastAsia="en-AU"/>
        </w:rPr>
        <w:t>4</w:t>
      </w:r>
      <w:r w:rsidR="00F226A8">
        <w:rPr>
          <w:rFonts w:cs="Arial"/>
          <w:lang w:eastAsia="en-AU"/>
        </w:rPr>
        <w:t>1.8</w:t>
      </w:r>
      <w:r w:rsidR="009578F2" w:rsidRPr="00617599">
        <w:rPr>
          <w:rFonts w:cs="Arial"/>
          <w:lang w:eastAsia="en-AU"/>
        </w:rPr>
        <w:t>%)</w:t>
      </w:r>
      <w:r w:rsidR="006C55F2">
        <w:rPr>
          <w:rFonts w:cs="Arial"/>
          <w:lang w:eastAsia="en-AU"/>
        </w:rPr>
        <w:t xml:space="preserve"> </w:t>
      </w:r>
      <w:r w:rsidR="00F226A8">
        <w:rPr>
          <w:rFonts w:cs="Arial"/>
          <w:lang w:eastAsia="en-AU"/>
        </w:rPr>
        <w:t xml:space="preserve">and per clinical pregnancy (83.9%) </w:t>
      </w:r>
      <w:r w:rsidR="00772356">
        <w:rPr>
          <w:rFonts w:cs="Arial"/>
          <w:lang w:eastAsia="en-AU"/>
        </w:rPr>
        <w:t xml:space="preserve">was in women aged less than 30 years </w:t>
      </w:r>
      <w:r w:rsidR="009578F2">
        <w:rPr>
          <w:rFonts w:cs="Arial"/>
          <w:lang w:eastAsia="en-AU"/>
        </w:rPr>
        <w:t>(</w:t>
      </w:r>
      <w:r w:rsidRPr="00617599">
        <w:rPr>
          <w:rFonts w:cs="Arial"/>
          <w:lang w:eastAsia="en-AU"/>
        </w:rPr>
        <w:t>Table 1</w:t>
      </w:r>
      <w:r w:rsidR="00F24826">
        <w:rPr>
          <w:rFonts w:cs="Arial"/>
          <w:lang w:eastAsia="en-AU"/>
        </w:rPr>
        <w:t>4</w:t>
      </w:r>
      <w:r w:rsidRPr="00617599">
        <w:rPr>
          <w:rFonts w:cs="Arial"/>
          <w:lang w:eastAsia="en-AU"/>
        </w:rPr>
        <w:t>). It is important to note that embryos thawed during a thaw cycle were created during an earlier initiated fresh cycle, therefore</w:t>
      </w:r>
      <w:r w:rsidR="002D639B">
        <w:rPr>
          <w:rFonts w:cs="Arial"/>
          <w:lang w:eastAsia="en-AU"/>
        </w:rPr>
        <w:t>,</w:t>
      </w:r>
      <w:r w:rsidRPr="00617599">
        <w:rPr>
          <w:rFonts w:cs="Arial"/>
          <w:lang w:eastAsia="en-AU"/>
        </w:rPr>
        <w:t xml:space="preserve"> a wom</w:t>
      </w:r>
      <w:r w:rsidR="00297809">
        <w:rPr>
          <w:rFonts w:cs="Arial"/>
          <w:lang w:eastAsia="en-AU"/>
        </w:rPr>
        <w:t>a</w:t>
      </w:r>
      <w:r w:rsidRPr="00617599">
        <w:rPr>
          <w:rFonts w:cs="Arial"/>
          <w:lang w:eastAsia="en-AU"/>
        </w:rPr>
        <w:t>n’s age at the start of a thaw cycle is older than her age at the start of the initiated fresh cycle.</w:t>
      </w:r>
    </w:p>
    <w:tbl>
      <w:tblPr>
        <w:tblW w:w="9100" w:type="dxa"/>
        <w:tblLayout w:type="fixed"/>
        <w:tblLook w:val="04A0" w:firstRow="1" w:lastRow="0" w:firstColumn="1" w:lastColumn="0" w:noHBand="0" w:noVBand="1"/>
      </w:tblPr>
      <w:tblGrid>
        <w:gridCol w:w="3828"/>
        <w:gridCol w:w="878"/>
        <w:gridCol w:w="879"/>
        <w:gridCol w:w="879"/>
        <w:gridCol w:w="878"/>
        <w:gridCol w:w="879"/>
        <w:gridCol w:w="879"/>
      </w:tblGrid>
      <w:tr w:rsidR="009578F2" w:rsidRPr="009578F2" w14:paraId="46BD9297" w14:textId="77777777" w:rsidTr="00510FAA">
        <w:trPr>
          <w:trHeight w:val="240"/>
        </w:trPr>
        <w:tc>
          <w:tcPr>
            <w:tcW w:w="9100" w:type="dxa"/>
            <w:gridSpan w:val="7"/>
            <w:tcBorders>
              <w:top w:val="nil"/>
              <w:left w:val="nil"/>
              <w:bottom w:val="single" w:sz="12" w:space="0" w:color="auto"/>
              <w:right w:val="nil"/>
            </w:tcBorders>
            <w:shd w:val="clear" w:color="auto" w:fill="auto"/>
            <w:noWrap/>
            <w:vAlign w:val="center"/>
            <w:hideMark/>
          </w:tcPr>
          <w:p w14:paraId="39C49CBB" w14:textId="6015CD30" w:rsidR="009578F2" w:rsidRPr="00584635" w:rsidRDefault="009578F2" w:rsidP="00CC6C74">
            <w:pPr>
              <w:pStyle w:val="Caption"/>
              <w:rPr>
                <w:rFonts w:eastAsia="Times New Roman"/>
                <w:lang w:eastAsia="en-AU"/>
              </w:rPr>
            </w:pPr>
            <w:bookmarkStart w:id="286" w:name="_Toc158026563"/>
            <w:bookmarkStart w:id="287" w:name="_Hlk105081741"/>
            <w:r w:rsidRPr="00584635">
              <w:rPr>
                <w:rFonts w:eastAsia="Times New Roman"/>
                <w:lang w:eastAsia="en-AU"/>
              </w:rPr>
              <w:t>Table 1</w:t>
            </w:r>
            <w:r w:rsidR="00F400A5">
              <w:rPr>
                <w:rFonts w:eastAsia="Times New Roman"/>
                <w:lang w:eastAsia="en-AU"/>
              </w:rPr>
              <w:t>4</w:t>
            </w:r>
            <w:r w:rsidRPr="00584635">
              <w:rPr>
                <w:rFonts w:eastAsia="Times New Roman"/>
                <w:lang w:eastAsia="en-AU"/>
              </w:rPr>
              <w:t xml:space="preserve">: Outcomes of autologous thaw cycles by women's age group, </w:t>
            </w:r>
            <w:r w:rsidR="00A501CE">
              <w:rPr>
                <w:rFonts w:eastAsia="Times New Roman"/>
                <w:lang w:eastAsia="en-AU"/>
              </w:rPr>
              <w:t>New Zealand, 20</w:t>
            </w:r>
            <w:r w:rsidR="00E53FFF">
              <w:rPr>
                <w:rFonts w:eastAsia="Times New Roman"/>
                <w:lang w:eastAsia="en-AU"/>
              </w:rPr>
              <w:t>2</w:t>
            </w:r>
            <w:r w:rsidR="005E43D6">
              <w:rPr>
                <w:rFonts w:eastAsia="Times New Roman"/>
                <w:lang w:eastAsia="en-AU"/>
              </w:rPr>
              <w:t>1</w:t>
            </w:r>
            <w:bookmarkEnd w:id="286"/>
            <w:r w:rsidR="00A501CE">
              <w:rPr>
                <w:rFonts w:eastAsia="Times New Roman"/>
                <w:lang w:eastAsia="en-AU"/>
              </w:rPr>
              <w:t xml:space="preserve"> </w:t>
            </w:r>
          </w:p>
        </w:tc>
      </w:tr>
      <w:tr w:rsidR="009578F2" w:rsidRPr="009578F2" w14:paraId="756628EB" w14:textId="77777777" w:rsidTr="00510FAA">
        <w:trPr>
          <w:trHeight w:val="225"/>
        </w:trPr>
        <w:tc>
          <w:tcPr>
            <w:tcW w:w="3828" w:type="dxa"/>
            <w:tcBorders>
              <w:top w:val="single" w:sz="12" w:space="0" w:color="auto"/>
              <w:left w:val="nil"/>
              <w:bottom w:val="nil"/>
              <w:right w:val="nil"/>
            </w:tcBorders>
            <w:shd w:val="clear" w:color="auto" w:fill="auto"/>
            <w:noWrap/>
            <w:vAlign w:val="center"/>
            <w:hideMark/>
          </w:tcPr>
          <w:p w14:paraId="71AD90D5" w14:textId="77777777" w:rsidR="009578F2" w:rsidRPr="009578F2" w:rsidRDefault="009578F2" w:rsidP="00360E75">
            <w:pPr>
              <w:spacing w:after="0" w:line="276" w:lineRule="auto"/>
              <w:rPr>
                <w:rFonts w:ascii="Arial" w:eastAsia="Times New Roman" w:hAnsi="Arial" w:cs="Arial"/>
                <w:b/>
                <w:bCs/>
                <w:color w:val="000000"/>
                <w:sz w:val="16"/>
                <w:szCs w:val="16"/>
                <w:lang w:eastAsia="en-AU"/>
              </w:rPr>
            </w:pPr>
            <w:r w:rsidRPr="009578F2">
              <w:rPr>
                <w:rFonts w:ascii="Arial" w:eastAsia="Times New Roman" w:hAnsi="Arial" w:cs="Arial"/>
                <w:b/>
                <w:bCs/>
                <w:color w:val="000000"/>
                <w:sz w:val="16"/>
                <w:szCs w:val="16"/>
                <w:lang w:eastAsia="en-AU"/>
              </w:rPr>
              <w:t> </w:t>
            </w:r>
          </w:p>
        </w:tc>
        <w:tc>
          <w:tcPr>
            <w:tcW w:w="5272" w:type="dxa"/>
            <w:gridSpan w:val="6"/>
            <w:tcBorders>
              <w:top w:val="single" w:sz="12" w:space="0" w:color="auto"/>
              <w:left w:val="nil"/>
              <w:bottom w:val="single" w:sz="4" w:space="0" w:color="auto"/>
              <w:right w:val="nil"/>
            </w:tcBorders>
            <w:shd w:val="clear" w:color="auto" w:fill="auto"/>
            <w:noWrap/>
            <w:vAlign w:val="center"/>
            <w:hideMark/>
          </w:tcPr>
          <w:p w14:paraId="2A9A1D63" w14:textId="5BC85571" w:rsidR="009578F2" w:rsidRPr="009578F2" w:rsidRDefault="009578F2" w:rsidP="00360E75">
            <w:pPr>
              <w:spacing w:after="0" w:line="276" w:lineRule="auto"/>
              <w:jc w:val="center"/>
              <w:rPr>
                <w:rFonts w:ascii="Arial" w:eastAsia="Times New Roman" w:hAnsi="Arial" w:cs="Arial"/>
                <w:b/>
                <w:bCs/>
                <w:color w:val="000000"/>
                <w:sz w:val="16"/>
                <w:szCs w:val="16"/>
                <w:lang w:eastAsia="en-AU"/>
              </w:rPr>
            </w:pPr>
            <w:r w:rsidRPr="009578F2">
              <w:rPr>
                <w:rFonts w:ascii="Arial" w:eastAsia="Times New Roman" w:hAnsi="Arial" w:cs="Arial"/>
                <w:b/>
                <w:bCs/>
                <w:color w:val="000000"/>
                <w:sz w:val="16"/>
                <w:szCs w:val="16"/>
                <w:lang w:eastAsia="en-AU"/>
              </w:rPr>
              <w:t>Age group (years)</w:t>
            </w:r>
            <w:r w:rsidRPr="00617599">
              <w:rPr>
                <w:rFonts w:ascii="Arial" w:hAnsi="Arial" w:cs="Arial"/>
                <w:b/>
                <w:bCs/>
                <w:sz w:val="16"/>
                <w:szCs w:val="16"/>
                <w:vertAlign w:val="superscript"/>
              </w:rPr>
              <w:t xml:space="preserve"> (a)</w:t>
            </w:r>
          </w:p>
        </w:tc>
      </w:tr>
      <w:tr w:rsidR="009578F2" w:rsidRPr="009578F2" w14:paraId="4681C421" w14:textId="77777777" w:rsidTr="00510FAA">
        <w:trPr>
          <w:trHeight w:val="225"/>
        </w:trPr>
        <w:tc>
          <w:tcPr>
            <w:tcW w:w="3828" w:type="dxa"/>
            <w:tcBorders>
              <w:top w:val="nil"/>
              <w:left w:val="nil"/>
              <w:bottom w:val="single" w:sz="4" w:space="0" w:color="auto"/>
              <w:right w:val="nil"/>
            </w:tcBorders>
            <w:shd w:val="clear" w:color="auto" w:fill="auto"/>
            <w:noWrap/>
            <w:vAlign w:val="center"/>
            <w:hideMark/>
          </w:tcPr>
          <w:p w14:paraId="6B3CA3EC" w14:textId="77777777" w:rsidR="009578F2" w:rsidRPr="009578F2" w:rsidRDefault="009578F2" w:rsidP="00360E75">
            <w:pPr>
              <w:spacing w:after="0" w:line="276" w:lineRule="auto"/>
              <w:rPr>
                <w:rFonts w:ascii="Arial" w:eastAsia="Times New Roman" w:hAnsi="Arial" w:cs="Arial"/>
                <w:b/>
                <w:bCs/>
                <w:color w:val="000000"/>
                <w:sz w:val="16"/>
                <w:szCs w:val="16"/>
                <w:lang w:eastAsia="en-AU"/>
              </w:rPr>
            </w:pPr>
            <w:r w:rsidRPr="009578F2">
              <w:rPr>
                <w:rFonts w:ascii="Arial" w:eastAsia="Times New Roman" w:hAnsi="Arial" w:cs="Arial"/>
                <w:b/>
                <w:bCs/>
                <w:color w:val="000000"/>
                <w:sz w:val="16"/>
                <w:szCs w:val="16"/>
                <w:lang w:eastAsia="en-AU"/>
              </w:rPr>
              <w:t>Stage/outcome of treatment</w:t>
            </w:r>
          </w:p>
        </w:tc>
        <w:tc>
          <w:tcPr>
            <w:tcW w:w="878" w:type="dxa"/>
            <w:tcBorders>
              <w:top w:val="nil"/>
              <w:left w:val="nil"/>
              <w:bottom w:val="single" w:sz="4" w:space="0" w:color="auto"/>
              <w:right w:val="nil"/>
            </w:tcBorders>
            <w:shd w:val="clear" w:color="auto" w:fill="auto"/>
            <w:vAlign w:val="center"/>
            <w:hideMark/>
          </w:tcPr>
          <w:p w14:paraId="10698BF3" w14:textId="77777777" w:rsidR="009578F2" w:rsidRPr="009578F2" w:rsidRDefault="009578F2" w:rsidP="00510FAA">
            <w:pPr>
              <w:spacing w:after="0" w:line="276" w:lineRule="auto"/>
              <w:jc w:val="right"/>
              <w:rPr>
                <w:rFonts w:ascii="Arial" w:eastAsia="Times New Roman" w:hAnsi="Arial" w:cs="Arial"/>
                <w:b/>
                <w:bCs/>
                <w:color w:val="000000"/>
                <w:sz w:val="16"/>
                <w:szCs w:val="16"/>
                <w:lang w:eastAsia="en-AU"/>
              </w:rPr>
            </w:pPr>
            <w:r w:rsidRPr="009578F2">
              <w:rPr>
                <w:rFonts w:ascii="Arial" w:eastAsia="Times New Roman" w:hAnsi="Arial" w:cs="Arial"/>
                <w:b/>
                <w:bCs/>
                <w:color w:val="000000"/>
                <w:sz w:val="16"/>
                <w:szCs w:val="16"/>
                <w:lang w:eastAsia="en-AU"/>
              </w:rPr>
              <w:t>&lt;30</w:t>
            </w:r>
          </w:p>
        </w:tc>
        <w:tc>
          <w:tcPr>
            <w:tcW w:w="879" w:type="dxa"/>
            <w:tcBorders>
              <w:top w:val="nil"/>
              <w:left w:val="nil"/>
              <w:bottom w:val="single" w:sz="4" w:space="0" w:color="auto"/>
              <w:right w:val="nil"/>
            </w:tcBorders>
            <w:shd w:val="clear" w:color="auto" w:fill="auto"/>
            <w:vAlign w:val="center"/>
            <w:hideMark/>
          </w:tcPr>
          <w:p w14:paraId="3C2A9C74" w14:textId="77777777" w:rsidR="009578F2" w:rsidRPr="009578F2" w:rsidRDefault="009578F2" w:rsidP="00510FAA">
            <w:pPr>
              <w:spacing w:after="0" w:line="276" w:lineRule="auto"/>
              <w:jc w:val="right"/>
              <w:rPr>
                <w:rFonts w:ascii="Arial" w:eastAsia="Times New Roman" w:hAnsi="Arial" w:cs="Arial"/>
                <w:b/>
                <w:bCs/>
                <w:color w:val="000000"/>
                <w:sz w:val="16"/>
                <w:szCs w:val="16"/>
                <w:lang w:eastAsia="en-AU"/>
              </w:rPr>
            </w:pPr>
            <w:r w:rsidRPr="009578F2">
              <w:rPr>
                <w:rFonts w:ascii="Arial" w:eastAsia="Times New Roman" w:hAnsi="Arial" w:cs="Arial"/>
                <w:b/>
                <w:bCs/>
                <w:color w:val="000000"/>
                <w:sz w:val="16"/>
                <w:szCs w:val="16"/>
                <w:lang w:eastAsia="en-AU"/>
              </w:rPr>
              <w:t>30-34</w:t>
            </w:r>
          </w:p>
        </w:tc>
        <w:tc>
          <w:tcPr>
            <w:tcW w:w="879" w:type="dxa"/>
            <w:tcBorders>
              <w:top w:val="nil"/>
              <w:left w:val="nil"/>
              <w:bottom w:val="single" w:sz="4" w:space="0" w:color="auto"/>
              <w:right w:val="nil"/>
            </w:tcBorders>
            <w:shd w:val="clear" w:color="auto" w:fill="auto"/>
            <w:vAlign w:val="center"/>
            <w:hideMark/>
          </w:tcPr>
          <w:p w14:paraId="49C0EA4D" w14:textId="77777777" w:rsidR="009578F2" w:rsidRPr="009578F2" w:rsidRDefault="009578F2" w:rsidP="00510FAA">
            <w:pPr>
              <w:spacing w:after="0" w:line="276" w:lineRule="auto"/>
              <w:jc w:val="right"/>
              <w:rPr>
                <w:rFonts w:ascii="Arial" w:eastAsia="Times New Roman" w:hAnsi="Arial" w:cs="Arial"/>
                <w:b/>
                <w:bCs/>
                <w:color w:val="000000"/>
                <w:sz w:val="16"/>
                <w:szCs w:val="16"/>
                <w:lang w:eastAsia="en-AU"/>
              </w:rPr>
            </w:pPr>
            <w:r w:rsidRPr="009578F2">
              <w:rPr>
                <w:rFonts w:ascii="Arial" w:eastAsia="Times New Roman" w:hAnsi="Arial" w:cs="Arial"/>
                <w:b/>
                <w:bCs/>
                <w:color w:val="000000"/>
                <w:sz w:val="16"/>
                <w:szCs w:val="16"/>
                <w:lang w:eastAsia="en-AU"/>
              </w:rPr>
              <w:t>35-39</w:t>
            </w:r>
          </w:p>
        </w:tc>
        <w:tc>
          <w:tcPr>
            <w:tcW w:w="878" w:type="dxa"/>
            <w:tcBorders>
              <w:top w:val="nil"/>
              <w:left w:val="nil"/>
              <w:bottom w:val="single" w:sz="4" w:space="0" w:color="auto"/>
              <w:right w:val="nil"/>
            </w:tcBorders>
            <w:shd w:val="clear" w:color="auto" w:fill="auto"/>
            <w:vAlign w:val="center"/>
            <w:hideMark/>
          </w:tcPr>
          <w:p w14:paraId="08E975DA" w14:textId="77777777" w:rsidR="009578F2" w:rsidRPr="009578F2" w:rsidRDefault="009578F2" w:rsidP="00510FAA">
            <w:pPr>
              <w:spacing w:after="0" w:line="276" w:lineRule="auto"/>
              <w:jc w:val="right"/>
              <w:rPr>
                <w:rFonts w:ascii="Arial" w:eastAsia="Times New Roman" w:hAnsi="Arial" w:cs="Arial"/>
                <w:b/>
                <w:bCs/>
                <w:color w:val="000000"/>
                <w:sz w:val="16"/>
                <w:szCs w:val="16"/>
                <w:lang w:eastAsia="en-AU"/>
              </w:rPr>
            </w:pPr>
            <w:r w:rsidRPr="009578F2">
              <w:rPr>
                <w:rFonts w:ascii="Arial" w:eastAsia="Times New Roman" w:hAnsi="Arial" w:cs="Arial"/>
                <w:b/>
                <w:bCs/>
                <w:color w:val="000000"/>
                <w:sz w:val="16"/>
                <w:szCs w:val="16"/>
                <w:lang w:eastAsia="en-AU"/>
              </w:rPr>
              <w:t>40-44</w:t>
            </w:r>
          </w:p>
        </w:tc>
        <w:tc>
          <w:tcPr>
            <w:tcW w:w="879" w:type="dxa"/>
            <w:tcBorders>
              <w:top w:val="nil"/>
              <w:left w:val="nil"/>
              <w:bottom w:val="single" w:sz="4" w:space="0" w:color="auto"/>
              <w:right w:val="nil"/>
            </w:tcBorders>
            <w:shd w:val="clear" w:color="auto" w:fill="auto"/>
            <w:noWrap/>
            <w:vAlign w:val="center"/>
            <w:hideMark/>
          </w:tcPr>
          <w:p w14:paraId="7F5AD28E" w14:textId="126CBCD3" w:rsidR="009578F2" w:rsidRPr="009578F2" w:rsidRDefault="009578F2" w:rsidP="00510FAA">
            <w:pPr>
              <w:spacing w:after="0" w:line="276" w:lineRule="auto"/>
              <w:jc w:val="right"/>
              <w:rPr>
                <w:rFonts w:ascii="Arial" w:eastAsia="Times New Roman" w:hAnsi="Arial" w:cs="Arial"/>
                <w:b/>
                <w:bCs/>
                <w:color w:val="000000"/>
                <w:sz w:val="16"/>
                <w:szCs w:val="16"/>
                <w:lang w:eastAsia="en-AU"/>
              </w:rPr>
            </w:pPr>
            <w:r w:rsidRPr="009578F2">
              <w:rPr>
                <w:rFonts w:ascii="Arial" w:eastAsia="Times New Roman" w:hAnsi="Arial" w:cs="Arial"/>
                <w:b/>
                <w:bCs/>
                <w:color w:val="000000"/>
                <w:sz w:val="16"/>
                <w:szCs w:val="16"/>
                <w:lang w:eastAsia="en-AU"/>
              </w:rPr>
              <w:t>≥</w:t>
            </w:r>
            <w:r w:rsidR="009F3A27">
              <w:rPr>
                <w:rFonts w:ascii="Arial" w:eastAsia="Times New Roman" w:hAnsi="Arial" w:cs="Arial"/>
                <w:b/>
                <w:bCs/>
                <w:color w:val="000000"/>
                <w:sz w:val="16"/>
                <w:szCs w:val="16"/>
                <w:lang w:eastAsia="en-AU"/>
              </w:rPr>
              <w:t xml:space="preserve"> </w:t>
            </w:r>
            <w:r w:rsidRPr="009578F2">
              <w:rPr>
                <w:rFonts w:ascii="Arial" w:eastAsia="Times New Roman" w:hAnsi="Arial" w:cs="Arial"/>
                <w:b/>
                <w:bCs/>
                <w:color w:val="000000"/>
                <w:sz w:val="16"/>
                <w:szCs w:val="16"/>
                <w:lang w:eastAsia="en-AU"/>
              </w:rPr>
              <w:t>45</w:t>
            </w:r>
          </w:p>
        </w:tc>
        <w:tc>
          <w:tcPr>
            <w:tcW w:w="879" w:type="dxa"/>
            <w:tcBorders>
              <w:top w:val="nil"/>
              <w:left w:val="nil"/>
              <w:bottom w:val="single" w:sz="4" w:space="0" w:color="auto"/>
              <w:right w:val="nil"/>
            </w:tcBorders>
            <w:shd w:val="clear" w:color="auto" w:fill="auto"/>
            <w:vAlign w:val="center"/>
            <w:hideMark/>
          </w:tcPr>
          <w:p w14:paraId="5A4C91C9" w14:textId="77777777" w:rsidR="009578F2" w:rsidRPr="009578F2" w:rsidRDefault="009578F2" w:rsidP="00510FAA">
            <w:pPr>
              <w:spacing w:after="0" w:line="276" w:lineRule="auto"/>
              <w:jc w:val="right"/>
              <w:rPr>
                <w:rFonts w:ascii="Arial" w:eastAsia="Times New Roman" w:hAnsi="Arial" w:cs="Arial"/>
                <w:b/>
                <w:bCs/>
                <w:color w:val="000000"/>
                <w:sz w:val="16"/>
                <w:szCs w:val="16"/>
                <w:lang w:eastAsia="en-AU"/>
              </w:rPr>
            </w:pPr>
            <w:r w:rsidRPr="009578F2">
              <w:rPr>
                <w:rFonts w:ascii="Arial" w:eastAsia="Times New Roman" w:hAnsi="Arial" w:cs="Arial"/>
                <w:b/>
                <w:bCs/>
                <w:color w:val="000000"/>
                <w:sz w:val="16"/>
                <w:szCs w:val="16"/>
                <w:lang w:eastAsia="en-AU"/>
              </w:rPr>
              <w:t>All</w:t>
            </w:r>
          </w:p>
        </w:tc>
      </w:tr>
      <w:tr w:rsidR="005E43D6" w:rsidRPr="009578F2" w14:paraId="38A37462" w14:textId="77777777" w:rsidTr="00510FAA">
        <w:trPr>
          <w:trHeight w:val="225"/>
        </w:trPr>
        <w:tc>
          <w:tcPr>
            <w:tcW w:w="3828" w:type="dxa"/>
            <w:tcBorders>
              <w:top w:val="nil"/>
              <w:left w:val="nil"/>
              <w:bottom w:val="nil"/>
              <w:right w:val="nil"/>
            </w:tcBorders>
            <w:shd w:val="clear" w:color="auto" w:fill="auto"/>
            <w:noWrap/>
            <w:vAlign w:val="center"/>
            <w:hideMark/>
          </w:tcPr>
          <w:p w14:paraId="7B4E0658" w14:textId="77777777" w:rsidR="005E43D6" w:rsidRPr="009578F2" w:rsidRDefault="005E43D6" w:rsidP="005E43D6">
            <w:pPr>
              <w:spacing w:after="0" w:line="276" w:lineRule="auto"/>
              <w:rPr>
                <w:rFonts w:ascii="Arial" w:eastAsia="Times New Roman" w:hAnsi="Arial" w:cs="Arial"/>
                <w:color w:val="000000"/>
                <w:sz w:val="16"/>
                <w:szCs w:val="16"/>
                <w:lang w:eastAsia="en-AU"/>
              </w:rPr>
            </w:pPr>
            <w:r w:rsidRPr="009578F2">
              <w:rPr>
                <w:rFonts w:ascii="Arial" w:eastAsia="Times New Roman" w:hAnsi="Arial" w:cs="Arial"/>
                <w:color w:val="000000"/>
                <w:sz w:val="16"/>
                <w:szCs w:val="16"/>
                <w:lang w:eastAsia="en-AU"/>
              </w:rPr>
              <w:t>Initiated cycles</w:t>
            </w:r>
          </w:p>
        </w:tc>
        <w:tc>
          <w:tcPr>
            <w:tcW w:w="878" w:type="dxa"/>
            <w:tcBorders>
              <w:top w:val="nil"/>
              <w:left w:val="nil"/>
              <w:bottom w:val="nil"/>
              <w:right w:val="nil"/>
            </w:tcBorders>
            <w:shd w:val="clear" w:color="auto" w:fill="auto"/>
            <w:vAlign w:val="center"/>
            <w:hideMark/>
          </w:tcPr>
          <w:p w14:paraId="7B564E6F" w14:textId="040240EA" w:rsidR="005E43D6" w:rsidRPr="009578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361</w:t>
            </w:r>
          </w:p>
        </w:tc>
        <w:tc>
          <w:tcPr>
            <w:tcW w:w="879" w:type="dxa"/>
            <w:tcBorders>
              <w:top w:val="nil"/>
              <w:left w:val="nil"/>
              <w:bottom w:val="nil"/>
              <w:right w:val="nil"/>
            </w:tcBorders>
            <w:shd w:val="clear" w:color="auto" w:fill="auto"/>
            <w:vAlign w:val="center"/>
            <w:hideMark/>
          </w:tcPr>
          <w:p w14:paraId="390BEAE4" w14:textId="23A6C2ED" w:rsidR="005E43D6" w:rsidRPr="009578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1,394</w:t>
            </w:r>
          </w:p>
        </w:tc>
        <w:tc>
          <w:tcPr>
            <w:tcW w:w="879" w:type="dxa"/>
            <w:tcBorders>
              <w:top w:val="nil"/>
              <w:left w:val="nil"/>
              <w:bottom w:val="nil"/>
              <w:right w:val="nil"/>
            </w:tcBorders>
            <w:shd w:val="clear" w:color="auto" w:fill="auto"/>
            <w:vAlign w:val="center"/>
            <w:hideMark/>
          </w:tcPr>
          <w:p w14:paraId="193EFC54" w14:textId="7E40D754" w:rsidR="005E43D6" w:rsidRPr="009578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1,593</w:t>
            </w:r>
          </w:p>
        </w:tc>
        <w:tc>
          <w:tcPr>
            <w:tcW w:w="878" w:type="dxa"/>
            <w:tcBorders>
              <w:top w:val="nil"/>
              <w:left w:val="nil"/>
              <w:bottom w:val="nil"/>
              <w:right w:val="nil"/>
            </w:tcBorders>
            <w:shd w:val="clear" w:color="auto" w:fill="auto"/>
            <w:vAlign w:val="center"/>
            <w:hideMark/>
          </w:tcPr>
          <w:p w14:paraId="2062F1A4" w14:textId="26E042AA" w:rsidR="005E43D6" w:rsidRPr="009578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651</w:t>
            </w:r>
          </w:p>
        </w:tc>
        <w:tc>
          <w:tcPr>
            <w:tcW w:w="879" w:type="dxa"/>
            <w:tcBorders>
              <w:top w:val="nil"/>
              <w:left w:val="nil"/>
              <w:bottom w:val="nil"/>
              <w:right w:val="nil"/>
            </w:tcBorders>
            <w:shd w:val="clear" w:color="auto" w:fill="auto"/>
            <w:vAlign w:val="center"/>
            <w:hideMark/>
          </w:tcPr>
          <w:p w14:paraId="0EDCF33A" w14:textId="79728351" w:rsidR="005E43D6" w:rsidRPr="009578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29</w:t>
            </w:r>
          </w:p>
        </w:tc>
        <w:tc>
          <w:tcPr>
            <w:tcW w:w="879" w:type="dxa"/>
            <w:tcBorders>
              <w:top w:val="nil"/>
              <w:left w:val="nil"/>
              <w:bottom w:val="nil"/>
              <w:right w:val="nil"/>
            </w:tcBorders>
            <w:shd w:val="clear" w:color="auto" w:fill="auto"/>
            <w:vAlign w:val="center"/>
            <w:hideMark/>
          </w:tcPr>
          <w:p w14:paraId="4D6BB8F5" w14:textId="4FB6F411" w:rsidR="005E43D6" w:rsidRPr="009578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4,028</w:t>
            </w:r>
          </w:p>
        </w:tc>
      </w:tr>
      <w:tr w:rsidR="005E43D6" w:rsidRPr="009578F2" w14:paraId="78A67409" w14:textId="77777777" w:rsidTr="00510FAA">
        <w:trPr>
          <w:trHeight w:val="225"/>
        </w:trPr>
        <w:tc>
          <w:tcPr>
            <w:tcW w:w="3828" w:type="dxa"/>
            <w:tcBorders>
              <w:top w:val="nil"/>
              <w:left w:val="nil"/>
              <w:bottom w:val="nil"/>
              <w:right w:val="nil"/>
            </w:tcBorders>
            <w:shd w:val="clear" w:color="auto" w:fill="auto"/>
            <w:noWrap/>
            <w:vAlign w:val="bottom"/>
            <w:hideMark/>
          </w:tcPr>
          <w:p w14:paraId="71B4A439" w14:textId="77777777" w:rsidR="005E43D6" w:rsidRPr="009578F2" w:rsidRDefault="005E43D6" w:rsidP="005E43D6">
            <w:pPr>
              <w:spacing w:after="0" w:line="276" w:lineRule="auto"/>
              <w:rPr>
                <w:rFonts w:ascii="Arial" w:eastAsia="Times New Roman" w:hAnsi="Arial" w:cs="Arial"/>
                <w:color w:val="000000"/>
                <w:sz w:val="16"/>
                <w:szCs w:val="16"/>
                <w:lang w:eastAsia="en-AU"/>
              </w:rPr>
            </w:pPr>
            <w:r w:rsidRPr="009578F2">
              <w:rPr>
                <w:rFonts w:ascii="Arial" w:eastAsia="Times New Roman" w:hAnsi="Arial" w:cs="Arial"/>
                <w:color w:val="000000"/>
                <w:sz w:val="16"/>
                <w:szCs w:val="16"/>
                <w:lang w:eastAsia="en-AU"/>
              </w:rPr>
              <w:t>Embryo transfers</w:t>
            </w:r>
          </w:p>
        </w:tc>
        <w:tc>
          <w:tcPr>
            <w:tcW w:w="878" w:type="dxa"/>
            <w:tcBorders>
              <w:top w:val="nil"/>
              <w:left w:val="nil"/>
              <w:bottom w:val="nil"/>
              <w:right w:val="nil"/>
            </w:tcBorders>
            <w:shd w:val="clear" w:color="auto" w:fill="auto"/>
            <w:noWrap/>
            <w:vAlign w:val="bottom"/>
            <w:hideMark/>
          </w:tcPr>
          <w:p w14:paraId="3A0D09A1" w14:textId="6EBB1FCD"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361</w:t>
            </w:r>
          </w:p>
        </w:tc>
        <w:tc>
          <w:tcPr>
            <w:tcW w:w="879" w:type="dxa"/>
            <w:tcBorders>
              <w:top w:val="nil"/>
              <w:left w:val="nil"/>
              <w:bottom w:val="nil"/>
              <w:right w:val="nil"/>
            </w:tcBorders>
            <w:shd w:val="clear" w:color="auto" w:fill="auto"/>
            <w:noWrap/>
            <w:vAlign w:val="bottom"/>
            <w:hideMark/>
          </w:tcPr>
          <w:p w14:paraId="2137471F" w14:textId="2EB6D291"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1,392</w:t>
            </w:r>
          </w:p>
        </w:tc>
        <w:tc>
          <w:tcPr>
            <w:tcW w:w="879" w:type="dxa"/>
            <w:tcBorders>
              <w:top w:val="nil"/>
              <w:left w:val="nil"/>
              <w:bottom w:val="nil"/>
              <w:right w:val="nil"/>
            </w:tcBorders>
            <w:shd w:val="clear" w:color="auto" w:fill="auto"/>
            <w:noWrap/>
            <w:vAlign w:val="bottom"/>
            <w:hideMark/>
          </w:tcPr>
          <w:p w14:paraId="60B03DBC" w14:textId="68831612"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1,588</w:t>
            </w:r>
          </w:p>
        </w:tc>
        <w:tc>
          <w:tcPr>
            <w:tcW w:w="878" w:type="dxa"/>
            <w:tcBorders>
              <w:top w:val="nil"/>
              <w:left w:val="nil"/>
              <w:bottom w:val="nil"/>
              <w:right w:val="nil"/>
            </w:tcBorders>
            <w:shd w:val="clear" w:color="auto" w:fill="auto"/>
            <w:noWrap/>
            <w:vAlign w:val="bottom"/>
            <w:hideMark/>
          </w:tcPr>
          <w:p w14:paraId="643D4E74" w14:textId="7FECCECF"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648</w:t>
            </w:r>
          </w:p>
        </w:tc>
        <w:tc>
          <w:tcPr>
            <w:tcW w:w="879" w:type="dxa"/>
            <w:tcBorders>
              <w:top w:val="nil"/>
              <w:left w:val="nil"/>
              <w:bottom w:val="nil"/>
              <w:right w:val="nil"/>
            </w:tcBorders>
            <w:shd w:val="clear" w:color="auto" w:fill="auto"/>
            <w:noWrap/>
            <w:vAlign w:val="bottom"/>
            <w:hideMark/>
          </w:tcPr>
          <w:p w14:paraId="1EF7AD55" w14:textId="7B76DDBE"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29</w:t>
            </w:r>
          </w:p>
        </w:tc>
        <w:tc>
          <w:tcPr>
            <w:tcW w:w="879" w:type="dxa"/>
            <w:tcBorders>
              <w:top w:val="nil"/>
              <w:left w:val="nil"/>
              <w:bottom w:val="nil"/>
              <w:right w:val="nil"/>
            </w:tcBorders>
            <w:shd w:val="clear" w:color="auto" w:fill="auto"/>
            <w:noWrap/>
            <w:vAlign w:val="bottom"/>
            <w:hideMark/>
          </w:tcPr>
          <w:p w14:paraId="1EC14CA7" w14:textId="358A9D8A"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4,018</w:t>
            </w:r>
          </w:p>
        </w:tc>
      </w:tr>
      <w:tr w:rsidR="005E43D6" w:rsidRPr="009578F2" w14:paraId="09121330" w14:textId="77777777" w:rsidTr="00510FAA">
        <w:trPr>
          <w:trHeight w:val="225"/>
        </w:trPr>
        <w:tc>
          <w:tcPr>
            <w:tcW w:w="3828" w:type="dxa"/>
            <w:tcBorders>
              <w:top w:val="nil"/>
              <w:left w:val="nil"/>
              <w:bottom w:val="nil"/>
              <w:right w:val="nil"/>
            </w:tcBorders>
            <w:shd w:val="clear" w:color="auto" w:fill="auto"/>
            <w:noWrap/>
            <w:vAlign w:val="bottom"/>
            <w:hideMark/>
          </w:tcPr>
          <w:p w14:paraId="24BE8784" w14:textId="77777777" w:rsidR="005E43D6" w:rsidRPr="009578F2" w:rsidRDefault="005E43D6" w:rsidP="005E43D6">
            <w:pPr>
              <w:spacing w:after="0" w:line="276" w:lineRule="auto"/>
              <w:rPr>
                <w:rFonts w:ascii="Arial" w:eastAsia="Times New Roman" w:hAnsi="Arial" w:cs="Arial"/>
                <w:color w:val="000000"/>
                <w:sz w:val="16"/>
                <w:szCs w:val="16"/>
                <w:lang w:eastAsia="en-AU"/>
              </w:rPr>
            </w:pPr>
            <w:r w:rsidRPr="009578F2">
              <w:rPr>
                <w:rFonts w:ascii="Arial" w:eastAsia="Times New Roman" w:hAnsi="Arial" w:cs="Arial"/>
                <w:color w:val="000000"/>
                <w:sz w:val="16"/>
                <w:szCs w:val="16"/>
                <w:lang w:eastAsia="en-AU"/>
              </w:rPr>
              <w:t>Clinical pregnancies</w:t>
            </w:r>
          </w:p>
        </w:tc>
        <w:tc>
          <w:tcPr>
            <w:tcW w:w="878" w:type="dxa"/>
            <w:tcBorders>
              <w:top w:val="nil"/>
              <w:left w:val="nil"/>
              <w:bottom w:val="nil"/>
              <w:right w:val="nil"/>
            </w:tcBorders>
            <w:shd w:val="clear" w:color="auto" w:fill="auto"/>
            <w:noWrap/>
            <w:vAlign w:val="bottom"/>
            <w:hideMark/>
          </w:tcPr>
          <w:p w14:paraId="3C618B60" w14:textId="7284997F"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180</w:t>
            </w:r>
          </w:p>
        </w:tc>
        <w:tc>
          <w:tcPr>
            <w:tcW w:w="879" w:type="dxa"/>
            <w:tcBorders>
              <w:top w:val="nil"/>
              <w:left w:val="nil"/>
              <w:bottom w:val="nil"/>
              <w:right w:val="nil"/>
            </w:tcBorders>
            <w:shd w:val="clear" w:color="auto" w:fill="auto"/>
            <w:noWrap/>
            <w:vAlign w:val="bottom"/>
            <w:hideMark/>
          </w:tcPr>
          <w:p w14:paraId="052CB31A" w14:textId="2DA1BCE8"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689</w:t>
            </w:r>
          </w:p>
        </w:tc>
        <w:tc>
          <w:tcPr>
            <w:tcW w:w="879" w:type="dxa"/>
            <w:tcBorders>
              <w:top w:val="nil"/>
              <w:left w:val="nil"/>
              <w:bottom w:val="nil"/>
              <w:right w:val="nil"/>
            </w:tcBorders>
            <w:shd w:val="clear" w:color="auto" w:fill="auto"/>
            <w:noWrap/>
            <w:vAlign w:val="bottom"/>
            <w:hideMark/>
          </w:tcPr>
          <w:p w14:paraId="1EDF9C07" w14:textId="0BD421DC"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673</w:t>
            </w:r>
          </w:p>
        </w:tc>
        <w:tc>
          <w:tcPr>
            <w:tcW w:w="878" w:type="dxa"/>
            <w:tcBorders>
              <w:top w:val="nil"/>
              <w:left w:val="nil"/>
              <w:bottom w:val="nil"/>
              <w:right w:val="nil"/>
            </w:tcBorders>
            <w:shd w:val="clear" w:color="auto" w:fill="auto"/>
            <w:noWrap/>
            <w:vAlign w:val="bottom"/>
            <w:hideMark/>
          </w:tcPr>
          <w:p w14:paraId="03717923" w14:textId="494D6837"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221</w:t>
            </w:r>
          </w:p>
        </w:tc>
        <w:tc>
          <w:tcPr>
            <w:tcW w:w="879" w:type="dxa"/>
            <w:tcBorders>
              <w:top w:val="nil"/>
              <w:left w:val="nil"/>
              <w:bottom w:val="nil"/>
              <w:right w:val="nil"/>
            </w:tcBorders>
            <w:shd w:val="clear" w:color="auto" w:fill="auto"/>
            <w:noWrap/>
            <w:vAlign w:val="bottom"/>
            <w:hideMark/>
          </w:tcPr>
          <w:p w14:paraId="3340D6DB" w14:textId="5E9D6F28"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8</w:t>
            </w:r>
          </w:p>
        </w:tc>
        <w:tc>
          <w:tcPr>
            <w:tcW w:w="879" w:type="dxa"/>
            <w:tcBorders>
              <w:top w:val="nil"/>
              <w:left w:val="nil"/>
              <w:bottom w:val="nil"/>
              <w:right w:val="nil"/>
            </w:tcBorders>
            <w:shd w:val="clear" w:color="auto" w:fill="auto"/>
            <w:noWrap/>
            <w:vAlign w:val="bottom"/>
            <w:hideMark/>
          </w:tcPr>
          <w:p w14:paraId="597F70AA" w14:textId="17415742" w:rsidR="005E43D6" w:rsidRPr="009578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1,771</w:t>
            </w:r>
          </w:p>
        </w:tc>
      </w:tr>
      <w:tr w:rsidR="005E43D6" w:rsidRPr="009578F2" w14:paraId="6813D598" w14:textId="77777777" w:rsidTr="00510FAA">
        <w:trPr>
          <w:trHeight w:val="225"/>
        </w:trPr>
        <w:tc>
          <w:tcPr>
            <w:tcW w:w="3828" w:type="dxa"/>
            <w:tcBorders>
              <w:top w:val="nil"/>
              <w:left w:val="nil"/>
              <w:bottom w:val="nil"/>
              <w:right w:val="nil"/>
            </w:tcBorders>
            <w:shd w:val="clear" w:color="auto" w:fill="auto"/>
            <w:noWrap/>
            <w:vAlign w:val="bottom"/>
            <w:hideMark/>
          </w:tcPr>
          <w:p w14:paraId="1576BB5B" w14:textId="213E5815" w:rsidR="005E43D6" w:rsidRPr="009578F2" w:rsidRDefault="005E43D6" w:rsidP="005E43D6">
            <w:pPr>
              <w:spacing w:after="0" w:line="276" w:lineRule="auto"/>
              <w:rPr>
                <w:rFonts w:ascii="Arial" w:eastAsia="Times New Roman" w:hAnsi="Arial" w:cs="Arial"/>
                <w:color w:val="000000"/>
                <w:sz w:val="16"/>
                <w:szCs w:val="16"/>
                <w:lang w:eastAsia="en-AU"/>
              </w:rPr>
            </w:pPr>
            <w:r w:rsidRPr="009578F2">
              <w:rPr>
                <w:rFonts w:ascii="Arial" w:eastAsia="Times New Roman" w:hAnsi="Arial" w:cs="Arial"/>
                <w:color w:val="000000"/>
                <w:sz w:val="16"/>
                <w:szCs w:val="16"/>
                <w:lang w:eastAsia="en-AU"/>
              </w:rPr>
              <w:t xml:space="preserve">Live </w:t>
            </w:r>
            <w:r>
              <w:rPr>
                <w:rFonts w:ascii="Arial" w:eastAsia="Times New Roman" w:hAnsi="Arial" w:cs="Arial"/>
                <w:color w:val="000000"/>
                <w:sz w:val="16"/>
                <w:szCs w:val="16"/>
                <w:lang w:eastAsia="en-AU"/>
              </w:rPr>
              <w:t>births</w:t>
            </w:r>
          </w:p>
        </w:tc>
        <w:tc>
          <w:tcPr>
            <w:tcW w:w="878" w:type="dxa"/>
            <w:tcBorders>
              <w:top w:val="nil"/>
              <w:left w:val="nil"/>
              <w:bottom w:val="nil"/>
              <w:right w:val="nil"/>
            </w:tcBorders>
            <w:shd w:val="clear" w:color="auto" w:fill="auto"/>
            <w:noWrap/>
            <w:vAlign w:val="bottom"/>
            <w:hideMark/>
          </w:tcPr>
          <w:p w14:paraId="06FE5E44" w14:textId="3661F103"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151</w:t>
            </w:r>
          </w:p>
        </w:tc>
        <w:tc>
          <w:tcPr>
            <w:tcW w:w="879" w:type="dxa"/>
            <w:tcBorders>
              <w:top w:val="nil"/>
              <w:left w:val="nil"/>
              <w:bottom w:val="nil"/>
              <w:right w:val="nil"/>
            </w:tcBorders>
            <w:shd w:val="clear" w:color="auto" w:fill="auto"/>
            <w:noWrap/>
            <w:vAlign w:val="bottom"/>
            <w:hideMark/>
          </w:tcPr>
          <w:p w14:paraId="6772FFC3" w14:textId="3568DBF1"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565</w:t>
            </w:r>
          </w:p>
        </w:tc>
        <w:tc>
          <w:tcPr>
            <w:tcW w:w="879" w:type="dxa"/>
            <w:tcBorders>
              <w:top w:val="nil"/>
              <w:left w:val="nil"/>
              <w:bottom w:val="nil"/>
              <w:right w:val="nil"/>
            </w:tcBorders>
            <w:shd w:val="clear" w:color="auto" w:fill="auto"/>
            <w:noWrap/>
            <w:vAlign w:val="bottom"/>
            <w:hideMark/>
          </w:tcPr>
          <w:p w14:paraId="41CACA5C" w14:textId="7BF4BA21"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522</w:t>
            </w:r>
          </w:p>
        </w:tc>
        <w:tc>
          <w:tcPr>
            <w:tcW w:w="878" w:type="dxa"/>
            <w:tcBorders>
              <w:top w:val="nil"/>
              <w:left w:val="nil"/>
              <w:bottom w:val="nil"/>
              <w:right w:val="nil"/>
            </w:tcBorders>
            <w:shd w:val="clear" w:color="auto" w:fill="auto"/>
            <w:noWrap/>
            <w:vAlign w:val="bottom"/>
            <w:hideMark/>
          </w:tcPr>
          <w:p w14:paraId="1BC20231" w14:textId="6116FC4F"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160</w:t>
            </w:r>
          </w:p>
        </w:tc>
        <w:tc>
          <w:tcPr>
            <w:tcW w:w="879" w:type="dxa"/>
            <w:tcBorders>
              <w:top w:val="nil"/>
              <w:left w:val="nil"/>
              <w:bottom w:val="nil"/>
              <w:right w:val="nil"/>
            </w:tcBorders>
            <w:shd w:val="clear" w:color="auto" w:fill="auto"/>
            <w:noWrap/>
            <w:vAlign w:val="bottom"/>
            <w:hideMark/>
          </w:tcPr>
          <w:p w14:paraId="7CDAD250" w14:textId="5473CA40" w:rsidR="005E43D6" w:rsidRPr="009578F2"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5</w:t>
            </w:r>
          </w:p>
        </w:tc>
        <w:tc>
          <w:tcPr>
            <w:tcW w:w="879" w:type="dxa"/>
            <w:tcBorders>
              <w:top w:val="nil"/>
              <w:left w:val="nil"/>
              <w:bottom w:val="nil"/>
              <w:right w:val="nil"/>
            </w:tcBorders>
            <w:shd w:val="clear" w:color="auto" w:fill="auto"/>
            <w:noWrap/>
            <w:vAlign w:val="bottom"/>
            <w:hideMark/>
          </w:tcPr>
          <w:p w14:paraId="71C32FF6" w14:textId="4C0DFCBA" w:rsidR="005E43D6" w:rsidRPr="009578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1,403</w:t>
            </w:r>
          </w:p>
        </w:tc>
      </w:tr>
      <w:tr w:rsidR="005E43D6" w:rsidRPr="009578F2" w14:paraId="0EBEC5F4" w14:textId="77777777" w:rsidTr="00510FAA">
        <w:trPr>
          <w:trHeight w:val="225"/>
        </w:trPr>
        <w:tc>
          <w:tcPr>
            <w:tcW w:w="3828" w:type="dxa"/>
            <w:tcBorders>
              <w:top w:val="nil"/>
              <w:left w:val="nil"/>
              <w:bottom w:val="nil"/>
              <w:right w:val="nil"/>
            </w:tcBorders>
            <w:shd w:val="clear" w:color="auto" w:fill="auto"/>
            <w:vAlign w:val="center"/>
            <w:hideMark/>
          </w:tcPr>
          <w:p w14:paraId="5BF61157" w14:textId="1532B09E" w:rsidR="005E43D6" w:rsidRPr="009578F2" w:rsidRDefault="005E43D6" w:rsidP="005E43D6">
            <w:pPr>
              <w:spacing w:after="0" w:line="276" w:lineRule="auto"/>
              <w:ind w:firstLineChars="100" w:firstLine="160"/>
              <w:rPr>
                <w:rFonts w:ascii="Arial" w:eastAsia="Times New Roman" w:hAnsi="Arial" w:cs="Arial"/>
                <w:i/>
                <w:iCs/>
                <w:color w:val="000000"/>
                <w:sz w:val="16"/>
                <w:szCs w:val="16"/>
                <w:lang w:eastAsia="en-AU"/>
              </w:rPr>
            </w:pPr>
            <w:r w:rsidRPr="009578F2">
              <w:rPr>
                <w:rFonts w:ascii="Arial" w:eastAsia="Times New Roman" w:hAnsi="Arial" w:cs="Arial"/>
                <w:i/>
                <w:iCs/>
                <w:color w:val="000000"/>
                <w:sz w:val="16"/>
                <w:szCs w:val="16"/>
                <w:lang w:eastAsia="en-AU"/>
              </w:rPr>
              <w:t xml:space="preserve">Live </w:t>
            </w:r>
            <w:r>
              <w:rPr>
                <w:rFonts w:ascii="Arial" w:eastAsia="Times New Roman" w:hAnsi="Arial" w:cs="Arial"/>
                <w:i/>
                <w:iCs/>
                <w:color w:val="000000"/>
                <w:sz w:val="16"/>
                <w:szCs w:val="16"/>
                <w:lang w:eastAsia="en-AU"/>
              </w:rPr>
              <w:t>births</w:t>
            </w:r>
            <w:r w:rsidRPr="009578F2">
              <w:rPr>
                <w:rFonts w:ascii="Arial" w:eastAsia="Times New Roman" w:hAnsi="Arial" w:cs="Arial"/>
                <w:i/>
                <w:iCs/>
                <w:color w:val="000000"/>
                <w:sz w:val="16"/>
                <w:szCs w:val="16"/>
                <w:lang w:eastAsia="en-AU"/>
              </w:rPr>
              <w:t xml:space="preserve"> per initiated cycle (%)</w:t>
            </w:r>
          </w:p>
        </w:tc>
        <w:tc>
          <w:tcPr>
            <w:tcW w:w="878" w:type="dxa"/>
            <w:tcBorders>
              <w:top w:val="nil"/>
              <w:left w:val="nil"/>
              <w:bottom w:val="nil"/>
              <w:right w:val="nil"/>
            </w:tcBorders>
            <w:shd w:val="clear" w:color="auto" w:fill="auto"/>
            <w:noWrap/>
            <w:vAlign w:val="center"/>
            <w:hideMark/>
          </w:tcPr>
          <w:p w14:paraId="0A0430BE" w14:textId="15727BA5" w:rsidR="005E43D6" w:rsidRPr="009578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41.8</w:t>
            </w:r>
          </w:p>
        </w:tc>
        <w:tc>
          <w:tcPr>
            <w:tcW w:w="879" w:type="dxa"/>
            <w:tcBorders>
              <w:top w:val="nil"/>
              <w:left w:val="nil"/>
              <w:bottom w:val="nil"/>
              <w:right w:val="nil"/>
            </w:tcBorders>
            <w:shd w:val="clear" w:color="auto" w:fill="auto"/>
            <w:noWrap/>
            <w:vAlign w:val="center"/>
            <w:hideMark/>
          </w:tcPr>
          <w:p w14:paraId="5DCE9F58" w14:textId="2541D5CE" w:rsidR="005E43D6" w:rsidRPr="009578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40.5</w:t>
            </w:r>
          </w:p>
        </w:tc>
        <w:tc>
          <w:tcPr>
            <w:tcW w:w="879" w:type="dxa"/>
            <w:tcBorders>
              <w:top w:val="nil"/>
              <w:left w:val="nil"/>
              <w:bottom w:val="nil"/>
              <w:right w:val="nil"/>
            </w:tcBorders>
            <w:shd w:val="clear" w:color="auto" w:fill="auto"/>
            <w:noWrap/>
            <w:vAlign w:val="center"/>
            <w:hideMark/>
          </w:tcPr>
          <w:p w14:paraId="5AC3E742" w14:textId="3B5B69C4" w:rsidR="005E43D6" w:rsidRPr="009578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32.8</w:t>
            </w:r>
          </w:p>
        </w:tc>
        <w:tc>
          <w:tcPr>
            <w:tcW w:w="878" w:type="dxa"/>
            <w:tcBorders>
              <w:top w:val="nil"/>
              <w:left w:val="nil"/>
              <w:bottom w:val="nil"/>
              <w:right w:val="nil"/>
            </w:tcBorders>
            <w:shd w:val="clear" w:color="auto" w:fill="auto"/>
            <w:noWrap/>
            <w:vAlign w:val="center"/>
            <w:hideMark/>
          </w:tcPr>
          <w:p w14:paraId="288BA539" w14:textId="2912011B" w:rsidR="005E43D6" w:rsidRPr="009578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24.6</w:t>
            </w:r>
          </w:p>
        </w:tc>
        <w:tc>
          <w:tcPr>
            <w:tcW w:w="879" w:type="dxa"/>
            <w:tcBorders>
              <w:top w:val="nil"/>
              <w:left w:val="nil"/>
              <w:bottom w:val="nil"/>
              <w:right w:val="nil"/>
            </w:tcBorders>
            <w:shd w:val="clear" w:color="auto" w:fill="auto"/>
            <w:noWrap/>
            <w:vAlign w:val="center"/>
            <w:hideMark/>
          </w:tcPr>
          <w:p w14:paraId="104E31CF" w14:textId="37D3D242" w:rsidR="005E43D6" w:rsidRPr="00AE6CE1"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17.2</w:t>
            </w:r>
          </w:p>
        </w:tc>
        <w:tc>
          <w:tcPr>
            <w:tcW w:w="879" w:type="dxa"/>
            <w:tcBorders>
              <w:top w:val="nil"/>
              <w:left w:val="nil"/>
              <w:bottom w:val="nil"/>
              <w:right w:val="nil"/>
            </w:tcBorders>
            <w:shd w:val="clear" w:color="auto" w:fill="auto"/>
            <w:noWrap/>
            <w:vAlign w:val="center"/>
            <w:hideMark/>
          </w:tcPr>
          <w:p w14:paraId="22D98B39" w14:textId="369A7CD3" w:rsidR="005E43D6" w:rsidRPr="009578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34.8</w:t>
            </w:r>
          </w:p>
        </w:tc>
      </w:tr>
      <w:tr w:rsidR="005E43D6" w:rsidRPr="009578F2" w14:paraId="3C6B6D54" w14:textId="77777777" w:rsidTr="00510FAA">
        <w:trPr>
          <w:trHeight w:val="225"/>
        </w:trPr>
        <w:tc>
          <w:tcPr>
            <w:tcW w:w="3828" w:type="dxa"/>
            <w:tcBorders>
              <w:top w:val="nil"/>
              <w:left w:val="nil"/>
              <w:right w:val="nil"/>
            </w:tcBorders>
            <w:shd w:val="clear" w:color="auto" w:fill="auto"/>
            <w:noWrap/>
            <w:vAlign w:val="bottom"/>
            <w:hideMark/>
          </w:tcPr>
          <w:p w14:paraId="47BCD69D" w14:textId="414CD16C" w:rsidR="005E43D6" w:rsidRPr="009578F2" w:rsidRDefault="005E43D6" w:rsidP="005E43D6">
            <w:pPr>
              <w:spacing w:after="0" w:line="276" w:lineRule="auto"/>
              <w:ind w:firstLineChars="100" w:firstLine="160"/>
              <w:rPr>
                <w:rFonts w:ascii="Arial" w:eastAsia="Times New Roman" w:hAnsi="Arial" w:cs="Arial"/>
                <w:i/>
                <w:iCs/>
                <w:color w:val="000000"/>
                <w:sz w:val="16"/>
                <w:szCs w:val="16"/>
                <w:lang w:eastAsia="en-AU"/>
              </w:rPr>
            </w:pPr>
            <w:r w:rsidRPr="009578F2">
              <w:rPr>
                <w:rFonts w:ascii="Arial" w:eastAsia="Times New Roman" w:hAnsi="Arial" w:cs="Arial"/>
                <w:i/>
                <w:iCs/>
                <w:color w:val="000000"/>
                <w:sz w:val="16"/>
                <w:szCs w:val="16"/>
                <w:lang w:eastAsia="en-AU"/>
              </w:rPr>
              <w:t xml:space="preserve">Live </w:t>
            </w:r>
            <w:r>
              <w:rPr>
                <w:rFonts w:ascii="Arial" w:eastAsia="Times New Roman" w:hAnsi="Arial" w:cs="Arial"/>
                <w:i/>
                <w:iCs/>
                <w:color w:val="000000"/>
                <w:sz w:val="16"/>
                <w:szCs w:val="16"/>
                <w:lang w:eastAsia="en-AU"/>
              </w:rPr>
              <w:t>births</w:t>
            </w:r>
            <w:r w:rsidRPr="009578F2">
              <w:rPr>
                <w:rFonts w:ascii="Arial" w:eastAsia="Times New Roman" w:hAnsi="Arial" w:cs="Arial"/>
                <w:i/>
                <w:iCs/>
                <w:color w:val="000000"/>
                <w:sz w:val="16"/>
                <w:szCs w:val="16"/>
                <w:lang w:eastAsia="en-AU"/>
              </w:rPr>
              <w:t xml:space="preserve"> per embryo transfer cycle (%)</w:t>
            </w:r>
          </w:p>
        </w:tc>
        <w:tc>
          <w:tcPr>
            <w:tcW w:w="878" w:type="dxa"/>
            <w:tcBorders>
              <w:top w:val="nil"/>
              <w:left w:val="nil"/>
              <w:right w:val="nil"/>
            </w:tcBorders>
            <w:shd w:val="clear" w:color="auto" w:fill="auto"/>
            <w:noWrap/>
            <w:vAlign w:val="bottom"/>
            <w:hideMark/>
          </w:tcPr>
          <w:p w14:paraId="32822EFC" w14:textId="03CF3462" w:rsidR="005E43D6" w:rsidRPr="009578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41.8</w:t>
            </w:r>
          </w:p>
        </w:tc>
        <w:tc>
          <w:tcPr>
            <w:tcW w:w="879" w:type="dxa"/>
            <w:tcBorders>
              <w:top w:val="nil"/>
              <w:left w:val="nil"/>
              <w:right w:val="nil"/>
            </w:tcBorders>
            <w:shd w:val="clear" w:color="auto" w:fill="auto"/>
            <w:noWrap/>
            <w:vAlign w:val="bottom"/>
            <w:hideMark/>
          </w:tcPr>
          <w:p w14:paraId="47514D3E" w14:textId="463BEDC9" w:rsidR="005E43D6" w:rsidRPr="009578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40.6</w:t>
            </w:r>
          </w:p>
        </w:tc>
        <w:tc>
          <w:tcPr>
            <w:tcW w:w="879" w:type="dxa"/>
            <w:tcBorders>
              <w:top w:val="nil"/>
              <w:left w:val="nil"/>
              <w:right w:val="nil"/>
            </w:tcBorders>
            <w:shd w:val="clear" w:color="auto" w:fill="auto"/>
            <w:noWrap/>
            <w:vAlign w:val="bottom"/>
            <w:hideMark/>
          </w:tcPr>
          <w:p w14:paraId="150D193F" w14:textId="0F8C0303" w:rsidR="005E43D6" w:rsidRPr="009578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32.9</w:t>
            </w:r>
          </w:p>
        </w:tc>
        <w:tc>
          <w:tcPr>
            <w:tcW w:w="878" w:type="dxa"/>
            <w:tcBorders>
              <w:top w:val="nil"/>
              <w:left w:val="nil"/>
              <w:right w:val="nil"/>
            </w:tcBorders>
            <w:shd w:val="clear" w:color="auto" w:fill="auto"/>
            <w:noWrap/>
            <w:vAlign w:val="bottom"/>
            <w:hideMark/>
          </w:tcPr>
          <w:p w14:paraId="328E3192" w14:textId="346D616F" w:rsidR="005E43D6" w:rsidRPr="009578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24.7</w:t>
            </w:r>
          </w:p>
        </w:tc>
        <w:tc>
          <w:tcPr>
            <w:tcW w:w="879" w:type="dxa"/>
            <w:tcBorders>
              <w:top w:val="nil"/>
              <w:left w:val="nil"/>
              <w:right w:val="nil"/>
            </w:tcBorders>
            <w:shd w:val="clear" w:color="auto" w:fill="auto"/>
            <w:noWrap/>
            <w:vAlign w:val="bottom"/>
            <w:hideMark/>
          </w:tcPr>
          <w:p w14:paraId="141083E9" w14:textId="1B7EF6A9" w:rsidR="005E43D6" w:rsidRPr="00AE6CE1"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17.2</w:t>
            </w:r>
          </w:p>
        </w:tc>
        <w:tc>
          <w:tcPr>
            <w:tcW w:w="879" w:type="dxa"/>
            <w:tcBorders>
              <w:top w:val="nil"/>
              <w:left w:val="nil"/>
              <w:right w:val="nil"/>
            </w:tcBorders>
            <w:shd w:val="clear" w:color="auto" w:fill="auto"/>
            <w:noWrap/>
            <w:vAlign w:val="bottom"/>
            <w:hideMark/>
          </w:tcPr>
          <w:p w14:paraId="58A13B43" w14:textId="7C09AFD5" w:rsidR="005E43D6" w:rsidRPr="009578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34.9</w:t>
            </w:r>
          </w:p>
        </w:tc>
      </w:tr>
      <w:tr w:rsidR="005E43D6" w:rsidRPr="009578F2" w14:paraId="16441C89" w14:textId="77777777" w:rsidTr="00510FAA">
        <w:trPr>
          <w:trHeight w:val="240"/>
        </w:trPr>
        <w:tc>
          <w:tcPr>
            <w:tcW w:w="3828" w:type="dxa"/>
            <w:tcBorders>
              <w:top w:val="nil"/>
              <w:left w:val="nil"/>
              <w:bottom w:val="single" w:sz="12" w:space="0" w:color="auto"/>
              <w:right w:val="nil"/>
            </w:tcBorders>
            <w:shd w:val="clear" w:color="auto" w:fill="auto"/>
            <w:noWrap/>
            <w:vAlign w:val="bottom"/>
            <w:hideMark/>
          </w:tcPr>
          <w:p w14:paraId="004E1041" w14:textId="2EE544B2" w:rsidR="005E43D6" w:rsidRPr="009578F2" w:rsidRDefault="005E43D6" w:rsidP="005E43D6">
            <w:pPr>
              <w:spacing w:after="0" w:line="276" w:lineRule="auto"/>
              <w:ind w:firstLineChars="100" w:firstLine="160"/>
              <w:rPr>
                <w:rFonts w:ascii="Arial" w:eastAsia="Times New Roman" w:hAnsi="Arial" w:cs="Arial"/>
                <w:i/>
                <w:iCs/>
                <w:color w:val="000000"/>
                <w:sz w:val="16"/>
                <w:szCs w:val="16"/>
                <w:lang w:eastAsia="en-AU"/>
              </w:rPr>
            </w:pPr>
            <w:r w:rsidRPr="009578F2">
              <w:rPr>
                <w:rFonts w:ascii="Arial" w:eastAsia="Times New Roman" w:hAnsi="Arial" w:cs="Arial"/>
                <w:i/>
                <w:iCs/>
                <w:color w:val="000000"/>
                <w:sz w:val="16"/>
                <w:szCs w:val="16"/>
                <w:lang w:eastAsia="en-AU"/>
              </w:rPr>
              <w:t xml:space="preserve">Live </w:t>
            </w:r>
            <w:r>
              <w:rPr>
                <w:rFonts w:ascii="Arial" w:eastAsia="Times New Roman" w:hAnsi="Arial" w:cs="Arial"/>
                <w:i/>
                <w:iCs/>
                <w:color w:val="000000"/>
                <w:sz w:val="16"/>
                <w:szCs w:val="16"/>
                <w:lang w:eastAsia="en-AU"/>
              </w:rPr>
              <w:t>births</w:t>
            </w:r>
            <w:r w:rsidRPr="009578F2">
              <w:rPr>
                <w:rFonts w:ascii="Arial" w:eastAsia="Times New Roman" w:hAnsi="Arial" w:cs="Arial"/>
                <w:i/>
                <w:iCs/>
                <w:color w:val="000000"/>
                <w:sz w:val="16"/>
                <w:szCs w:val="16"/>
                <w:lang w:eastAsia="en-AU"/>
              </w:rPr>
              <w:t xml:space="preserve"> per clinical pregnancy (%)</w:t>
            </w:r>
          </w:p>
        </w:tc>
        <w:tc>
          <w:tcPr>
            <w:tcW w:w="878" w:type="dxa"/>
            <w:tcBorders>
              <w:top w:val="nil"/>
              <w:left w:val="nil"/>
              <w:bottom w:val="single" w:sz="12" w:space="0" w:color="auto"/>
              <w:right w:val="nil"/>
            </w:tcBorders>
            <w:shd w:val="clear" w:color="auto" w:fill="auto"/>
            <w:noWrap/>
            <w:vAlign w:val="bottom"/>
            <w:hideMark/>
          </w:tcPr>
          <w:p w14:paraId="4DD22DD5" w14:textId="3E6EFF89" w:rsidR="005E43D6" w:rsidRPr="009578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83.9</w:t>
            </w:r>
          </w:p>
        </w:tc>
        <w:tc>
          <w:tcPr>
            <w:tcW w:w="879" w:type="dxa"/>
            <w:tcBorders>
              <w:top w:val="nil"/>
              <w:left w:val="nil"/>
              <w:bottom w:val="single" w:sz="12" w:space="0" w:color="auto"/>
              <w:right w:val="nil"/>
            </w:tcBorders>
            <w:shd w:val="clear" w:color="auto" w:fill="auto"/>
            <w:noWrap/>
            <w:vAlign w:val="bottom"/>
            <w:hideMark/>
          </w:tcPr>
          <w:p w14:paraId="13352245" w14:textId="2030E795" w:rsidR="005E43D6" w:rsidRPr="002038D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82.0</w:t>
            </w:r>
          </w:p>
        </w:tc>
        <w:tc>
          <w:tcPr>
            <w:tcW w:w="879" w:type="dxa"/>
            <w:tcBorders>
              <w:top w:val="nil"/>
              <w:left w:val="nil"/>
              <w:bottom w:val="single" w:sz="12" w:space="0" w:color="auto"/>
              <w:right w:val="nil"/>
            </w:tcBorders>
            <w:shd w:val="clear" w:color="auto" w:fill="auto"/>
            <w:noWrap/>
            <w:vAlign w:val="bottom"/>
            <w:hideMark/>
          </w:tcPr>
          <w:p w14:paraId="7870636A" w14:textId="6744AE89" w:rsidR="005E43D6" w:rsidRPr="002038D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77.6</w:t>
            </w:r>
          </w:p>
        </w:tc>
        <w:tc>
          <w:tcPr>
            <w:tcW w:w="878" w:type="dxa"/>
            <w:tcBorders>
              <w:top w:val="nil"/>
              <w:left w:val="nil"/>
              <w:bottom w:val="single" w:sz="12" w:space="0" w:color="auto"/>
              <w:right w:val="nil"/>
            </w:tcBorders>
            <w:shd w:val="clear" w:color="auto" w:fill="auto"/>
            <w:noWrap/>
            <w:vAlign w:val="bottom"/>
            <w:hideMark/>
          </w:tcPr>
          <w:p w14:paraId="0AA2DC1D" w14:textId="07579E7A" w:rsidR="005E43D6" w:rsidRPr="002038D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72.4</w:t>
            </w:r>
          </w:p>
        </w:tc>
        <w:tc>
          <w:tcPr>
            <w:tcW w:w="879" w:type="dxa"/>
            <w:tcBorders>
              <w:top w:val="nil"/>
              <w:left w:val="nil"/>
              <w:bottom w:val="single" w:sz="12" w:space="0" w:color="auto"/>
              <w:right w:val="nil"/>
            </w:tcBorders>
            <w:shd w:val="clear" w:color="auto" w:fill="auto"/>
            <w:noWrap/>
            <w:vAlign w:val="bottom"/>
            <w:hideMark/>
          </w:tcPr>
          <w:p w14:paraId="24E2E8BA" w14:textId="620618F7" w:rsidR="005E43D6" w:rsidRPr="00AE6CE1"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62.5</w:t>
            </w:r>
          </w:p>
        </w:tc>
        <w:tc>
          <w:tcPr>
            <w:tcW w:w="879" w:type="dxa"/>
            <w:tcBorders>
              <w:top w:val="nil"/>
              <w:left w:val="nil"/>
              <w:bottom w:val="single" w:sz="12" w:space="0" w:color="auto"/>
              <w:right w:val="nil"/>
            </w:tcBorders>
            <w:shd w:val="clear" w:color="auto" w:fill="auto"/>
            <w:noWrap/>
            <w:vAlign w:val="bottom"/>
            <w:hideMark/>
          </w:tcPr>
          <w:p w14:paraId="3006F725" w14:textId="41FEEEAB" w:rsidR="005E43D6" w:rsidRPr="009578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79.2</w:t>
            </w:r>
          </w:p>
        </w:tc>
      </w:tr>
    </w:tbl>
    <w:bookmarkEnd w:id="287"/>
    <w:p w14:paraId="32D53C67" w14:textId="77777777" w:rsidR="009303CD" w:rsidRPr="00617599" w:rsidRDefault="00E209F7" w:rsidP="00E5087D">
      <w:pPr>
        <w:pStyle w:val="TableSourcefootnotes"/>
        <w:spacing w:before="0" w:after="0" w:line="240" w:lineRule="auto"/>
        <w:rPr>
          <w:rFonts w:cs="Arial"/>
        </w:rPr>
      </w:pPr>
      <w:r w:rsidRPr="00617599">
        <w:rPr>
          <w:rFonts w:cs="Arial"/>
        </w:rPr>
        <w:t xml:space="preserve"> </w:t>
      </w:r>
      <w:r w:rsidR="009303CD" w:rsidRPr="00617599">
        <w:rPr>
          <w:rFonts w:cs="Arial"/>
        </w:rPr>
        <w:t>(a)</w:t>
      </w:r>
      <w:r w:rsidR="009303CD" w:rsidRPr="00617599">
        <w:rPr>
          <w:rFonts w:cs="Arial"/>
        </w:rPr>
        <w:tab/>
        <w:t>Age at start of a treatment cycle.</w:t>
      </w:r>
    </w:p>
    <w:p w14:paraId="397B061F" w14:textId="263D480E" w:rsidR="009303CD" w:rsidRPr="00617599" w:rsidRDefault="009303CD" w:rsidP="009303CD">
      <w:pPr>
        <w:pStyle w:val="Heading3"/>
        <w:rPr>
          <w:rFonts w:eastAsia="Times New Roman" w:cs="Arial"/>
        </w:rPr>
      </w:pPr>
      <w:bookmarkStart w:id="288" w:name="_Toc453061471"/>
      <w:bookmarkStart w:id="289" w:name="_Toc453059068"/>
      <w:r w:rsidRPr="00617599">
        <w:rPr>
          <w:rFonts w:eastAsia="Times New Roman" w:cs="Arial"/>
        </w:rPr>
        <w:t xml:space="preserve">Clinical pregnancies and live </w:t>
      </w:r>
      <w:r w:rsidR="00C736CE">
        <w:rPr>
          <w:rFonts w:eastAsia="Times New Roman" w:cs="Arial"/>
        </w:rPr>
        <w:t>births</w:t>
      </w:r>
      <w:r w:rsidRPr="00617599">
        <w:rPr>
          <w:rFonts w:eastAsia="Times New Roman" w:cs="Arial"/>
        </w:rPr>
        <w:t xml:space="preserve"> by number of embryos transferred from autologous thaw cycles</w:t>
      </w:r>
      <w:bookmarkEnd w:id="288"/>
      <w:bookmarkEnd w:id="289"/>
    </w:p>
    <w:p w14:paraId="47DC7066" w14:textId="15DE3A76" w:rsidR="00420FAC" w:rsidRDefault="00AC5167" w:rsidP="009303CD">
      <w:pPr>
        <w:pStyle w:val="NPESUbodytext"/>
        <w:rPr>
          <w:rFonts w:cs="Arial"/>
          <w:lang w:eastAsia="en-AU"/>
        </w:rPr>
      </w:pPr>
      <w:r w:rsidRPr="009351D3">
        <w:rPr>
          <w:rFonts w:cs="Arial"/>
          <w:lang w:eastAsia="en-AU"/>
        </w:rPr>
        <w:t>O</w:t>
      </w:r>
      <w:r w:rsidR="009303CD" w:rsidRPr="009351D3">
        <w:rPr>
          <w:rFonts w:cs="Arial"/>
          <w:lang w:eastAsia="en-AU"/>
        </w:rPr>
        <w:t xml:space="preserve">f the </w:t>
      </w:r>
      <w:r w:rsidR="00F226A8">
        <w:rPr>
          <w:rFonts w:cs="Arial"/>
          <w:lang w:eastAsia="en-AU"/>
        </w:rPr>
        <w:t>4,018</w:t>
      </w:r>
      <w:r w:rsidR="00622B8A" w:rsidRPr="009351D3">
        <w:rPr>
          <w:rFonts w:cs="Arial"/>
          <w:lang w:eastAsia="en-AU"/>
        </w:rPr>
        <w:t xml:space="preserve"> </w:t>
      </w:r>
      <w:r w:rsidRPr="009351D3">
        <w:rPr>
          <w:rFonts w:cs="Arial"/>
          <w:lang w:eastAsia="en-AU"/>
        </w:rPr>
        <w:t xml:space="preserve">autologous </w:t>
      </w:r>
      <w:r w:rsidR="009303CD" w:rsidRPr="009351D3">
        <w:rPr>
          <w:rFonts w:cs="Arial"/>
          <w:lang w:eastAsia="en-AU"/>
        </w:rPr>
        <w:t xml:space="preserve">thaw embryo transfer cycles, </w:t>
      </w:r>
      <w:r w:rsidR="00622B8A" w:rsidRPr="009351D3">
        <w:rPr>
          <w:rFonts w:cs="Arial"/>
          <w:lang w:eastAsia="en-AU"/>
        </w:rPr>
        <w:t>9</w:t>
      </w:r>
      <w:r w:rsidR="00F226A8">
        <w:rPr>
          <w:rFonts w:cs="Arial"/>
          <w:lang w:eastAsia="en-AU"/>
        </w:rPr>
        <w:t>7.9</w:t>
      </w:r>
      <w:r w:rsidR="00766EE9" w:rsidRPr="009351D3">
        <w:rPr>
          <w:rFonts w:cs="Arial"/>
          <w:lang w:eastAsia="en-AU"/>
        </w:rPr>
        <w:t>% were SET cycles and</w:t>
      </w:r>
      <w:r w:rsidR="009303CD" w:rsidRPr="009351D3">
        <w:rPr>
          <w:rFonts w:cs="Arial"/>
          <w:lang w:eastAsia="en-AU"/>
        </w:rPr>
        <w:t xml:space="preserve"> </w:t>
      </w:r>
      <w:r w:rsidR="00F226A8">
        <w:rPr>
          <w:rFonts w:cs="Arial"/>
          <w:lang w:eastAsia="en-AU"/>
        </w:rPr>
        <w:t>2.1</w:t>
      </w:r>
      <w:r w:rsidR="009303CD" w:rsidRPr="009351D3">
        <w:rPr>
          <w:rFonts w:cs="Arial"/>
          <w:lang w:eastAsia="en-AU"/>
        </w:rPr>
        <w:t>% were DET cycles</w:t>
      </w:r>
      <w:r w:rsidRPr="00927D66">
        <w:rPr>
          <w:rFonts w:cs="Arial"/>
          <w:lang w:eastAsia="en-AU"/>
        </w:rPr>
        <w:t>.</w:t>
      </w:r>
      <w:r w:rsidR="00927D66">
        <w:rPr>
          <w:rFonts w:cs="Arial"/>
          <w:lang w:eastAsia="en-AU"/>
        </w:rPr>
        <w:t xml:space="preserve"> There were </w:t>
      </w:r>
      <w:r w:rsidR="00C65840">
        <w:rPr>
          <w:rFonts w:cs="Arial"/>
          <w:lang w:eastAsia="en-AU"/>
        </w:rPr>
        <w:t xml:space="preserve">no </w:t>
      </w:r>
      <w:r w:rsidR="00927D66">
        <w:rPr>
          <w:rFonts w:cs="Arial"/>
          <w:lang w:eastAsia="en-AU"/>
        </w:rPr>
        <w:t>cycles where three or more embryos were transferred.</w:t>
      </w:r>
      <w:r w:rsidRPr="00686147">
        <w:rPr>
          <w:rFonts w:cs="Arial"/>
          <w:color w:val="FF0000"/>
          <w:lang w:eastAsia="en-AU"/>
        </w:rPr>
        <w:t xml:space="preserve"> </w:t>
      </w:r>
      <w:r>
        <w:rPr>
          <w:rFonts w:cs="Arial"/>
          <w:lang w:eastAsia="en-AU"/>
        </w:rPr>
        <w:t xml:space="preserve">In total, there were </w:t>
      </w:r>
      <w:r w:rsidR="004315CE">
        <w:rPr>
          <w:rFonts w:cs="Arial"/>
          <w:lang w:eastAsia="en-AU"/>
        </w:rPr>
        <w:t>1,</w:t>
      </w:r>
      <w:r w:rsidR="00F226A8">
        <w:rPr>
          <w:rFonts w:cs="Arial"/>
          <w:lang w:eastAsia="en-AU"/>
        </w:rPr>
        <w:t>771</w:t>
      </w:r>
      <w:r w:rsidR="00BE14BE">
        <w:rPr>
          <w:rFonts w:cs="Arial"/>
          <w:lang w:eastAsia="en-AU"/>
        </w:rPr>
        <w:t xml:space="preserve"> </w:t>
      </w:r>
      <w:r>
        <w:rPr>
          <w:rFonts w:cs="Arial"/>
          <w:lang w:eastAsia="en-AU"/>
        </w:rPr>
        <w:t xml:space="preserve">clinical pregnancies and </w:t>
      </w:r>
      <w:r w:rsidR="00B85A13">
        <w:rPr>
          <w:rFonts w:cs="Arial"/>
          <w:lang w:eastAsia="en-AU"/>
        </w:rPr>
        <w:t>1,</w:t>
      </w:r>
      <w:r w:rsidR="00F226A8">
        <w:rPr>
          <w:rFonts w:cs="Arial"/>
          <w:lang w:eastAsia="en-AU"/>
        </w:rPr>
        <w:t>403</w:t>
      </w:r>
      <w:r w:rsidR="00BE14BE">
        <w:rPr>
          <w:rFonts w:cs="Arial"/>
          <w:lang w:eastAsia="en-AU"/>
        </w:rPr>
        <w:t xml:space="preserve"> </w:t>
      </w:r>
      <w:r>
        <w:rPr>
          <w:rFonts w:cs="Arial"/>
          <w:lang w:eastAsia="en-AU"/>
        </w:rPr>
        <w:t xml:space="preserve">live </w:t>
      </w:r>
      <w:r w:rsidR="00C736CE">
        <w:rPr>
          <w:rFonts w:cs="Arial"/>
          <w:lang w:eastAsia="en-AU"/>
        </w:rPr>
        <w:t>births</w:t>
      </w:r>
      <w:r>
        <w:rPr>
          <w:rFonts w:cs="Arial"/>
          <w:lang w:eastAsia="en-AU"/>
        </w:rPr>
        <w:t xml:space="preserve">. </w:t>
      </w:r>
      <w:r w:rsidR="0036184D">
        <w:rPr>
          <w:rFonts w:cs="Arial"/>
          <w:lang w:eastAsia="en-AU"/>
        </w:rPr>
        <w:t>S</w:t>
      </w:r>
      <w:r>
        <w:rPr>
          <w:rFonts w:cs="Arial"/>
          <w:lang w:eastAsia="en-AU"/>
        </w:rPr>
        <w:t xml:space="preserve">ET cycles had a higher percentage of live </w:t>
      </w:r>
      <w:r w:rsidR="00C736CE">
        <w:rPr>
          <w:rFonts w:cs="Arial"/>
          <w:lang w:eastAsia="en-AU"/>
        </w:rPr>
        <w:t>births</w:t>
      </w:r>
      <w:r>
        <w:rPr>
          <w:rFonts w:cs="Arial"/>
          <w:lang w:eastAsia="en-AU"/>
        </w:rPr>
        <w:t xml:space="preserve"> per embryo transfer cycle (</w:t>
      </w:r>
      <w:r w:rsidR="00BE14BE">
        <w:rPr>
          <w:rFonts w:cs="Arial"/>
          <w:lang w:eastAsia="en-AU"/>
        </w:rPr>
        <w:t>35.</w:t>
      </w:r>
      <w:r w:rsidR="00F226A8">
        <w:rPr>
          <w:rFonts w:cs="Arial"/>
          <w:lang w:eastAsia="en-AU"/>
        </w:rPr>
        <w:t>1</w:t>
      </w:r>
      <w:r>
        <w:rPr>
          <w:rFonts w:cs="Arial"/>
          <w:lang w:eastAsia="en-AU"/>
        </w:rPr>
        <w:t xml:space="preserve">%) than </w:t>
      </w:r>
      <w:r w:rsidR="0036184D">
        <w:rPr>
          <w:rFonts w:cs="Arial"/>
          <w:lang w:eastAsia="en-AU"/>
        </w:rPr>
        <w:t>D</w:t>
      </w:r>
      <w:r>
        <w:rPr>
          <w:rFonts w:cs="Arial"/>
          <w:lang w:eastAsia="en-AU"/>
        </w:rPr>
        <w:t>ET cycles (</w:t>
      </w:r>
      <w:r w:rsidR="00BE14BE">
        <w:rPr>
          <w:rFonts w:cs="Arial"/>
          <w:lang w:eastAsia="en-AU"/>
        </w:rPr>
        <w:t>2</w:t>
      </w:r>
      <w:r w:rsidR="00F226A8">
        <w:rPr>
          <w:rFonts w:cs="Arial"/>
          <w:lang w:eastAsia="en-AU"/>
        </w:rPr>
        <w:t>7.4</w:t>
      </w:r>
      <w:r>
        <w:rPr>
          <w:rFonts w:cs="Arial"/>
          <w:lang w:eastAsia="en-AU"/>
        </w:rPr>
        <w:t xml:space="preserve">%) </w:t>
      </w:r>
      <w:r w:rsidR="009303CD" w:rsidRPr="00445A30">
        <w:rPr>
          <w:rFonts w:cs="Arial"/>
          <w:lang w:eastAsia="en-AU"/>
        </w:rPr>
        <w:t>(Table 1</w:t>
      </w:r>
      <w:r w:rsidR="00F24826">
        <w:rPr>
          <w:rFonts w:cs="Arial"/>
          <w:lang w:eastAsia="en-AU"/>
        </w:rPr>
        <w:t>5</w:t>
      </w:r>
      <w:r w:rsidR="009303CD" w:rsidRPr="00445A30">
        <w:rPr>
          <w:rFonts w:cs="Arial"/>
          <w:lang w:eastAsia="en-AU"/>
        </w:rPr>
        <w:t>).</w:t>
      </w:r>
    </w:p>
    <w:tbl>
      <w:tblPr>
        <w:tblW w:w="5000" w:type="pct"/>
        <w:tblLayout w:type="fixed"/>
        <w:tblCellMar>
          <w:left w:w="17" w:type="dxa"/>
          <w:right w:w="17" w:type="dxa"/>
        </w:tblCellMar>
        <w:tblLook w:val="04A0" w:firstRow="1" w:lastRow="0" w:firstColumn="1" w:lastColumn="0" w:noHBand="0" w:noVBand="1"/>
      </w:tblPr>
      <w:tblGrid>
        <w:gridCol w:w="3682"/>
        <w:gridCol w:w="713"/>
        <w:gridCol w:w="567"/>
        <w:gridCol w:w="141"/>
        <w:gridCol w:w="567"/>
        <w:gridCol w:w="709"/>
        <w:gridCol w:w="143"/>
        <w:gridCol w:w="567"/>
        <w:gridCol w:w="709"/>
        <w:gridCol w:w="141"/>
        <w:gridCol w:w="480"/>
        <w:gridCol w:w="607"/>
      </w:tblGrid>
      <w:tr w:rsidR="00A44B8F" w:rsidRPr="00A44B8F" w14:paraId="19E42A12" w14:textId="77777777" w:rsidTr="000D75B4">
        <w:trPr>
          <w:trHeight w:val="585"/>
        </w:trPr>
        <w:tc>
          <w:tcPr>
            <w:tcW w:w="5000" w:type="pct"/>
            <w:gridSpan w:val="12"/>
            <w:tcBorders>
              <w:top w:val="nil"/>
              <w:left w:val="nil"/>
              <w:bottom w:val="single" w:sz="12" w:space="0" w:color="auto"/>
              <w:right w:val="nil"/>
            </w:tcBorders>
            <w:shd w:val="clear" w:color="auto" w:fill="auto"/>
            <w:vAlign w:val="center"/>
            <w:hideMark/>
          </w:tcPr>
          <w:p w14:paraId="7E839B27" w14:textId="45D86F5C" w:rsidR="00A44B8F" w:rsidRPr="00A44B8F" w:rsidRDefault="00A44B8F" w:rsidP="00CC6C74">
            <w:pPr>
              <w:pStyle w:val="Caption"/>
              <w:rPr>
                <w:rFonts w:eastAsia="Times New Roman" w:cs="Arial"/>
                <w:color w:val="000000"/>
                <w:sz w:val="16"/>
                <w:szCs w:val="16"/>
                <w:lang w:eastAsia="en-AU"/>
              </w:rPr>
            </w:pPr>
            <w:bookmarkStart w:id="290" w:name="_Toc158026564"/>
            <w:r w:rsidRPr="00584635">
              <w:rPr>
                <w:rFonts w:eastAsia="Times New Roman"/>
                <w:lang w:eastAsia="en-AU"/>
              </w:rPr>
              <w:t>Table 1</w:t>
            </w:r>
            <w:r w:rsidR="00F400A5">
              <w:rPr>
                <w:rFonts w:eastAsia="Times New Roman"/>
                <w:lang w:eastAsia="en-AU"/>
              </w:rPr>
              <w:t>5</w:t>
            </w:r>
            <w:r w:rsidRPr="00584635">
              <w:rPr>
                <w:rFonts w:eastAsia="Times New Roman"/>
                <w:lang w:eastAsia="en-AU"/>
              </w:rPr>
              <w:t xml:space="preserve">: Outcomes of autologous thaw embryo transfer cycles by women's age and number of embryos transferred, </w:t>
            </w:r>
            <w:r w:rsidR="00A501CE">
              <w:rPr>
                <w:rFonts w:eastAsia="Times New Roman"/>
                <w:lang w:eastAsia="en-AU"/>
              </w:rPr>
              <w:t>New Zealand, 20</w:t>
            </w:r>
            <w:r w:rsidR="00E53FFF">
              <w:rPr>
                <w:rFonts w:eastAsia="Times New Roman"/>
                <w:lang w:eastAsia="en-AU"/>
              </w:rPr>
              <w:t>2</w:t>
            </w:r>
            <w:r w:rsidR="005E43D6">
              <w:rPr>
                <w:rFonts w:eastAsia="Times New Roman"/>
                <w:lang w:eastAsia="en-AU"/>
              </w:rPr>
              <w:t>1</w:t>
            </w:r>
            <w:bookmarkEnd w:id="290"/>
            <w:r w:rsidR="00A501CE">
              <w:rPr>
                <w:rFonts w:eastAsia="Times New Roman"/>
                <w:lang w:eastAsia="en-AU"/>
              </w:rPr>
              <w:t xml:space="preserve"> </w:t>
            </w:r>
          </w:p>
        </w:tc>
      </w:tr>
      <w:tr w:rsidR="00A44B8F" w:rsidRPr="00A44B8F" w14:paraId="62B2E9A5" w14:textId="77777777" w:rsidTr="000D75B4">
        <w:trPr>
          <w:trHeight w:val="227"/>
        </w:trPr>
        <w:tc>
          <w:tcPr>
            <w:tcW w:w="2040" w:type="pct"/>
            <w:tcBorders>
              <w:top w:val="single" w:sz="12" w:space="0" w:color="auto"/>
              <w:left w:val="nil"/>
              <w:bottom w:val="nil"/>
              <w:right w:val="nil"/>
            </w:tcBorders>
            <w:shd w:val="clear" w:color="auto" w:fill="auto"/>
            <w:noWrap/>
            <w:vAlign w:val="center"/>
            <w:hideMark/>
          </w:tcPr>
          <w:p w14:paraId="612EB49A" w14:textId="77777777" w:rsidR="00A44B8F" w:rsidRPr="00A44B8F" w:rsidRDefault="00A44B8F" w:rsidP="00360E75">
            <w:pPr>
              <w:spacing w:after="0" w:line="276" w:lineRule="auto"/>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2960" w:type="pct"/>
            <w:gridSpan w:val="11"/>
            <w:tcBorders>
              <w:top w:val="single" w:sz="12" w:space="0" w:color="auto"/>
              <w:left w:val="nil"/>
              <w:bottom w:val="single" w:sz="4" w:space="0" w:color="auto"/>
              <w:right w:val="nil"/>
            </w:tcBorders>
            <w:shd w:val="clear" w:color="auto" w:fill="auto"/>
            <w:noWrap/>
            <w:vAlign w:val="center"/>
            <w:hideMark/>
          </w:tcPr>
          <w:p w14:paraId="57D35D66" w14:textId="4F4DA50C" w:rsidR="00A44B8F" w:rsidRPr="00A44B8F" w:rsidRDefault="00A44B8F"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Age group (years)</w:t>
            </w:r>
            <w:r w:rsidRPr="00617599">
              <w:rPr>
                <w:rFonts w:ascii="Arial" w:eastAsia="Times New Roman" w:hAnsi="Arial" w:cs="Arial"/>
                <w:b/>
                <w:bCs/>
                <w:sz w:val="16"/>
                <w:szCs w:val="16"/>
                <w:vertAlign w:val="superscript"/>
                <w:lang w:eastAsia="en-AU"/>
              </w:rPr>
              <w:t xml:space="preserve"> (a)</w:t>
            </w:r>
          </w:p>
        </w:tc>
      </w:tr>
      <w:tr w:rsidR="00BE14BE" w:rsidRPr="00A44B8F" w14:paraId="042D0B0C" w14:textId="77777777" w:rsidTr="000D75B4">
        <w:trPr>
          <w:trHeight w:val="227"/>
        </w:trPr>
        <w:tc>
          <w:tcPr>
            <w:tcW w:w="2040" w:type="pct"/>
            <w:tcBorders>
              <w:top w:val="nil"/>
              <w:left w:val="nil"/>
              <w:bottom w:val="nil"/>
              <w:right w:val="nil"/>
            </w:tcBorders>
            <w:shd w:val="clear" w:color="auto" w:fill="auto"/>
            <w:noWrap/>
            <w:vAlign w:val="center"/>
            <w:hideMark/>
          </w:tcPr>
          <w:p w14:paraId="04BA45BF" w14:textId="77777777" w:rsidR="00A44B8F" w:rsidRPr="00A44B8F" w:rsidRDefault="00A44B8F" w:rsidP="00360E75">
            <w:pPr>
              <w:spacing w:after="0" w:line="276" w:lineRule="auto"/>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709" w:type="pct"/>
            <w:gridSpan w:val="2"/>
            <w:tcBorders>
              <w:top w:val="single" w:sz="4" w:space="0" w:color="auto"/>
              <w:left w:val="nil"/>
              <w:bottom w:val="single" w:sz="4" w:space="0" w:color="auto"/>
              <w:right w:val="nil"/>
            </w:tcBorders>
            <w:shd w:val="clear" w:color="auto" w:fill="auto"/>
            <w:noWrap/>
            <w:vAlign w:val="center"/>
            <w:hideMark/>
          </w:tcPr>
          <w:p w14:paraId="79126BF4" w14:textId="6362127D" w:rsidR="00A44B8F" w:rsidRPr="00A44B8F" w:rsidRDefault="00A44B8F"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&lt;35</w:t>
            </w:r>
          </w:p>
        </w:tc>
        <w:tc>
          <w:tcPr>
            <w:tcW w:w="78" w:type="pct"/>
            <w:tcBorders>
              <w:top w:val="nil"/>
              <w:left w:val="nil"/>
              <w:bottom w:val="nil"/>
              <w:right w:val="nil"/>
            </w:tcBorders>
            <w:shd w:val="clear" w:color="auto" w:fill="auto"/>
            <w:noWrap/>
            <w:vAlign w:val="center"/>
            <w:hideMark/>
          </w:tcPr>
          <w:p w14:paraId="52C458FD" w14:textId="77777777" w:rsidR="00A44B8F" w:rsidRPr="00A44B8F" w:rsidRDefault="00A44B8F"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707" w:type="pct"/>
            <w:gridSpan w:val="2"/>
            <w:tcBorders>
              <w:top w:val="single" w:sz="4" w:space="0" w:color="auto"/>
              <w:left w:val="nil"/>
              <w:bottom w:val="single" w:sz="4" w:space="0" w:color="auto"/>
              <w:right w:val="nil"/>
            </w:tcBorders>
            <w:shd w:val="clear" w:color="auto" w:fill="auto"/>
            <w:vAlign w:val="center"/>
            <w:hideMark/>
          </w:tcPr>
          <w:p w14:paraId="5196CABC" w14:textId="77777777" w:rsidR="00A44B8F" w:rsidRPr="00A44B8F" w:rsidRDefault="00A44B8F"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35-39</w:t>
            </w:r>
          </w:p>
        </w:tc>
        <w:tc>
          <w:tcPr>
            <w:tcW w:w="79" w:type="pct"/>
            <w:tcBorders>
              <w:top w:val="nil"/>
              <w:left w:val="nil"/>
              <w:bottom w:val="nil"/>
              <w:right w:val="nil"/>
            </w:tcBorders>
            <w:shd w:val="clear" w:color="auto" w:fill="auto"/>
            <w:noWrap/>
            <w:vAlign w:val="center"/>
            <w:hideMark/>
          </w:tcPr>
          <w:p w14:paraId="20EC6C8F" w14:textId="77777777" w:rsidR="00A44B8F" w:rsidRPr="00A44B8F" w:rsidRDefault="00A44B8F"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707" w:type="pct"/>
            <w:gridSpan w:val="2"/>
            <w:tcBorders>
              <w:top w:val="single" w:sz="4" w:space="0" w:color="auto"/>
              <w:left w:val="nil"/>
              <w:bottom w:val="single" w:sz="4" w:space="0" w:color="auto"/>
              <w:right w:val="nil"/>
            </w:tcBorders>
            <w:shd w:val="clear" w:color="auto" w:fill="auto"/>
            <w:noWrap/>
            <w:vAlign w:val="center"/>
            <w:hideMark/>
          </w:tcPr>
          <w:p w14:paraId="290D70C2" w14:textId="7094950F" w:rsidR="00A44B8F" w:rsidRPr="00A44B8F" w:rsidRDefault="00A44B8F"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w:t>
            </w:r>
            <w:r w:rsidR="009F3A27">
              <w:rPr>
                <w:rFonts w:ascii="Arial" w:eastAsia="Times New Roman" w:hAnsi="Arial" w:cs="Arial"/>
                <w:b/>
                <w:bCs/>
                <w:color w:val="000000"/>
                <w:sz w:val="16"/>
                <w:szCs w:val="16"/>
                <w:lang w:eastAsia="en-AU"/>
              </w:rPr>
              <w:t xml:space="preserve"> </w:t>
            </w:r>
            <w:r w:rsidRPr="00A44B8F">
              <w:rPr>
                <w:rFonts w:ascii="Arial" w:eastAsia="Times New Roman" w:hAnsi="Arial" w:cs="Arial"/>
                <w:b/>
                <w:bCs/>
                <w:color w:val="000000"/>
                <w:sz w:val="16"/>
                <w:szCs w:val="16"/>
                <w:lang w:eastAsia="en-AU"/>
              </w:rPr>
              <w:t>40</w:t>
            </w:r>
          </w:p>
        </w:tc>
        <w:tc>
          <w:tcPr>
            <w:tcW w:w="78" w:type="pct"/>
            <w:tcBorders>
              <w:top w:val="nil"/>
              <w:left w:val="nil"/>
              <w:bottom w:val="nil"/>
              <w:right w:val="nil"/>
            </w:tcBorders>
            <w:shd w:val="clear" w:color="auto" w:fill="auto"/>
            <w:noWrap/>
            <w:vAlign w:val="center"/>
            <w:hideMark/>
          </w:tcPr>
          <w:p w14:paraId="03AB8EE8" w14:textId="77777777" w:rsidR="00A44B8F" w:rsidRPr="00A44B8F" w:rsidRDefault="00A44B8F"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602" w:type="pct"/>
            <w:gridSpan w:val="2"/>
            <w:tcBorders>
              <w:top w:val="single" w:sz="4" w:space="0" w:color="auto"/>
              <w:left w:val="nil"/>
              <w:bottom w:val="single" w:sz="4" w:space="0" w:color="auto"/>
              <w:right w:val="nil"/>
            </w:tcBorders>
            <w:shd w:val="clear" w:color="auto" w:fill="auto"/>
            <w:vAlign w:val="center"/>
            <w:hideMark/>
          </w:tcPr>
          <w:p w14:paraId="6796183F" w14:textId="77777777" w:rsidR="00A44B8F" w:rsidRPr="00A44B8F" w:rsidRDefault="00A44B8F"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All</w:t>
            </w:r>
          </w:p>
        </w:tc>
      </w:tr>
      <w:tr w:rsidR="00BE14BE" w:rsidRPr="00A44B8F" w14:paraId="2ED00190" w14:textId="77777777" w:rsidTr="000D75B4">
        <w:trPr>
          <w:trHeight w:val="227"/>
        </w:trPr>
        <w:tc>
          <w:tcPr>
            <w:tcW w:w="2040" w:type="pct"/>
            <w:tcBorders>
              <w:top w:val="nil"/>
              <w:left w:val="nil"/>
              <w:bottom w:val="single" w:sz="4" w:space="0" w:color="auto"/>
              <w:right w:val="nil"/>
            </w:tcBorders>
            <w:shd w:val="clear" w:color="auto" w:fill="auto"/>
            <w:noWrap/>
            <w:vAlign w:val="center"/>
            <w:hideMark/>
          </w:tcPr>
          <w:p w14:paraId="4F0D7CE3" w14:textId="77777777" w:rsidR="00A44B8F" w:rsidRPr="00A44B8F" w:rsidRDefault="00A44B8F" w:rsidP="00360E75">
            <w:pPr>
              <w:spacing w:after="0" w:line="276" w:lineRule="auto"/>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Stage/outcome of treatment</w:t>
            </w:r>
          </w:p>
        </w:tc>
        <w:tc>
          <w:tcPr>
            <w:tcW w:w="395" w:type="pct"/>
            <w:tcBorders>
              <w:top w:val="nil"/>
              <w:left w:val="nil"/>
              <w:bottom w:val="single" w:sz="4" w:space="0" w:color="auto"/>
              <w:right w:val="nil"/>
            </w:tcBorders>
            <w:shd w:val="clear" w:color="auto" w:fill="auto"/>
            <w:vAlign w:val="center"/>
            <w:hideMark/>
          </w:tcPr>
          <w:p w14:paraId="537CECC7" w14:textId="2D1FD8BB" w:rsidR="00A44B8F" w:rsidRPr="00A44B8F" w:rsidRDefault="00A44B8F" w:rsidP="00360E75">
            <w:pPr>
              <w:spacing w:after="0" w:line="276" w:lineRule="auto"/>
              <w:jc w:val="right"/>
              <w:rPr>
                <w:rFonts w:ascii="Arial" w:eastAsia="Times New Roman" w:hAnsi="Arial" w:cs="Arial"/>
                <w:b/>
                <w:bCs/>
                <w:color w:val="000000"/>
                <w:sz w:val="16"/>
                <w:szCs w:val="16"/>
                <w:lang w:eastAsia="en-AU"/>
              </w:rPr>
            </w:pPr>
            <w:r w:rsidRPr="00617599">
              <w:rPr>
                <w:rFonts w:ascii="Arial" w:eastAsia="Times New Roman" w:hAnsi="Arial" w:cs="Arial"/>
                <w:b/>
                <w:bCs/>
                <w:sz w:val="16"/>
                <w:szCs w:val="16"/>
                <w:lang w:eastAsia="en-AU"/>
              </w:rPr>
              <w:t>SET</w:t>
            </w:r>
            <w:r w:rsidRPr="00617599">
              <w:rPr>
                <w:rFonts w:ascii="Arial" w:eastAsia="Times New Roman" w:hAnsi="Arial" w:cs="Arial"/>
                <w:b/>
                <w:bCs/>
                <w:sz w:val="16"/>
                <w:szCs w:val="16"/>
                <w:vertAlign w:val="superscript"/>
                <w:lang w:eastAsia="en-AU"/>
              </w:rPr>
              <w:t>(b)</w:t>
            </w:r>
          </w:p>
        </w:tc>
        <w:tc>
          <w:tcPr>
            <w:tcW w:w="314" w:type="pct"/>
            <w:tcBorders>
              <w:top w:val="nil"/>
              <w:left w:val="nil"/>
              <w:bottom w:val="single" w:sz="4" w:space="0" w:color="auto"/>
              <w:right w:val="nil"/>
            </w:tcBorders>
            <w:shd w:val="clear" w:color="auto" w:fill="auto"/>
            <w:vAlign w:val="center"/>
            <w:hideMark/>
          </w:tcPr>
          <w:p w14:paraId="7A945FBD" w14:textId="22065F12" w:rsidR="00A44B8F" w:rsidRPr="00A44B8F" w:rsidRDefault="00A44B8F" w:rsidP="00360E75">
            <w:pPr>
              <w:spacing w:after="0" w:line="276" w:lineRule="auto"/>
              <w:jc w:val="right"/>
              <w:rPr>
                <w:rFonts w:ascii="Arial" w:eastAsia="Times New Roman" w:hAnsi="Arial" w:cs="Arial"/>
                <w:b/>
                <w:bCs/>
                <w:color w:val="000000"/>
                <w:sz w:val="16"/>
                <w:szCs w:val="16"/>
                <w:lang w:eastAsia="en-AU"/>
              </w:rPr>
            </w:pPr>
            <w:r w:rsidRPr="00617599">
              <w:rPr>
                <w:rFonts w:ascii="Arial" w:eastAsia="Times New Roman" w:hAnsi="Arial" w:cs="Arial"/>
                <w:b/>
                <w:bCs/>
                <w:sz w:val="16"/>
                <w:szCs w:val="16"/>
                <w:lang w:eastAsia="en-AU"/>
              </w:rPr>
              <w:t>DET</w:t>
            </w:r>
            <w:r w:rsidRPr="00617599">
              <w:rPr>
                <w:rFonts w:ascii="Arial" w:eastAsia="Times New Roman" w:hAnsi="Arial" w:cs="Arial"/>
                <w:b/>
                <w:bCs/>
                <w:sz w:val="16"/>
                <w:szCs w:val="16"/>
                <w:vertAlign w:val="superscript"/>
                <w:lang w:eastAsia="en-AU"/>
              </w:rPr>
              <w:t>(c)</w:t>
            </w:r>
          </w:p>
        </w:tc>
        <w:tc>
          <w:tcPr>
            <w:tcW w:w="78" w:type="pct"/>
            <w:tcBorders>
              <w:top w:val="nil"/>
              <w:left w:val="nil"/>
              <w:bottom w:val="single" w:sz="4" w:space="0" w:color="auto"/>
              <w:right w:val="nil"/>
            </w:tcBorders>
            <w:shd w:val="clear" w:color="auto" w:fill="auto"/>
            <w:vAlign w:val="center"/>
            <w:hideMark/>
          </w:tcPr>
          <w:p w14:paraId="2929C082" w14:textId="77777777" w:rsidR="00A44B8F" w:rsidRPr="00A44B8F" w:rsidRDefault="00A44B8F" w:rsidP="00360E75">
            <w:pPr>
              <w:spacing w:after="0" w:line="276" w:lineRule="auto"/>
              <w:jc w:val="right"/>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314" w:type="pct"/>
            <w:tcBorders>
              <w:top w:val="nil"/>
              <w:left w:val="nil"/>
              <w:bottom w:val="single" w:sz="4" w:space="0" w:color="auto"/>
              <w:right w:val="nil"/>
            </w:tcBorders>
            <w:shd w:val="clear" w:color="auto" w:fill="auto"/>
            <w:vAlign w:val="center"/>
            <w:hideMark/>
          </w:tcPr>
          <w:p w14:paraId="41CB15F7" w14:textId="788FB47D" w:rsidR="00A44B8F" w:rsidRPr="00A44B8F" w:rsidRDefault="00A44B8F" w:rsidP="00360E75">
            <w:pPr>
              <w:spacing w:after="0" w:line="276" w:lineRule="auto"/>
              <w:jc w:val="right"/>
              <w:rPr>
                <w:rFonts w:ascii="Arial" w:eastAsia="Times New Roman" w:hAnsi="Arial" w:cs="Arial"/>
                <w:b/>
                <w:bCs/>
                <w:color w:val="000000"/>
                <w:sz w:val="16"/>
                <w:szCs w:val="16"/>
                <w:lang w:eastAsia="en-AU"/>
              </w:rPr>
            </w:pPr>
            <w:r w:rsidRPr="00617599">
              <w:rPr>
                <w:rFonts w:ascii="Arial" w:eastAsia="Times New Roman" w:hAnsi="Arial" w:cs="Arial"/>
                <w:b/>
                <w:bCs/>
                <w:sz w:val="16"/>
                <w:szCs w:val="16"/>
                <w:lang w:eastAsia="en-AU"/>
              </w:rPr>
              <w:t>SET</w:t>
            </w:r>
            <w:r w:rsidRPr="00617599">
              <w:rPr>
                <w:rFonts w:ascii="Arial" w:eastAsia="Times New Roman" w:hAnsi="Arial" w:cs="Arial"/>
                <w:b/>
                <w:bCs/>
                <w:sz w:val="16"/>
                <w:szCs w:val="16"/>
                <w:vertAlign w:val="superscript"/>
                <w:lang w:eastAsia="en-AU"/>
              </w:rPr>
              <w:t>(b)</w:t>
            </w:r>
          </w:p>
        </w:tc>
        <w:tc>
          <w:tcPr>
            <w:tcW w:w="393" w:type="pct"/>
            <w:tcBorders>
              <w:top w:val="nil"/>
              <w:left w:val="nil"/>
              <w:bottom w:val="single" w:sz="4" w:space="0" w:color="auto"/>
              <w:right w:val="nil"/>
            </w:tcBorders>
            <w:shd w:val="clear" w:color="auto" w:fill="auto"/>
            <w:vAlign w:val="center"/>
            <w:hideMark/>
          </w:tcPr>
          <w:p w14:paraId="27167D4C" w14:textId="391CD0A9" w:rsidR="00A44B8F" w:rsidRPr="00A44B8F" w:rsidRDefault="00A44B8F" w:rsidP="00360E75">
            <w:pPr>
              <w:spacing w:after="0" w:line="276" w:lineRule="auto"/>
              <w:jc w:val="right"/>
              <w:rPr>
                <w:rFonts w:ascii="Arial" w:eastAsia="Times New Roman" w:hAnsi="Arial" w:cs="Arial"/>
                <w:b/>
                <w:bCs/>
                <w:color w:val="000000"/>
                <w:sz w:val="16"/>
                <w:szCs w:val="16"/>
                <w:lang w:eastAsia="en-AU"/>
              </w:rPr>
            </w:pPr>
            <w:r w:rsidRPr="00617599">
              <w:rPr>
                <w:rFonts w:ascii="Arial" w:eastAsia="Times New Roman" w:hAnsi="Arial" w:cs="Arial"/>
                <w:b/>
                <w:bCs/>
                <w:sz w:val="16"/>
                <w:szCs w:val="16"/>
                <w:lang w:eastAsia="en-AU"/>
              </w:rPr>
              <w:t>DET</w:t>
            </w:r>
            <w:r w:rsidRPr="00617599">
              <w:rPr>
                <w:rFonts w:ascii="Arial" w:eastAsia="Times New Roman" w:hAnsi="Arial" w:cs="Arial"/>
                <w:b/>
                <w:bCs/>
                <w:sz w:val="16"/>
                <w:szCs w:val="16"/>
                <w:vertAlign w:val="superscript"/>
                <w:lang w:eastAsia="en-AU"/>
              </w:rPr>
              <w:t>(c)</w:t>
            </w:r>
          </w:p>
        </w:tc>
        <w:tc>
          <w:tcPr>
            <w:tcW w:w="79" w:type="pct"/>
            <w:tcBorders>
              <w:top w:val="nil"/>
              <w:left w:val="nil"/>
              <w:bottom w:val="single" w:sz="4" w:space="0" w:color="auto"/>
              <w:right w:val="nil"/>
            </w:tcBorders>
            <w:shd w:val="clear" w:color="auto" w:fill="auto"/>
            <w:vAlign w:val="center"/>
            <w:hideMark/>
          </w:tcPr>
          <w:p w14:paraId="24D19AE9" w14:textId="77777777" w:rsidR="00A44B8F" w:rsidRPr="00A44B8F" w:rsidRDefault="00A44B8F" w:rsidP="00360E75">
            <w:pPr>
              <w:spacing w:after="0" w:line="276" w:lineRule="auto"/>
              <w:jc w:val="right"/>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314" w:type="pct"/>
            <w:tcBorders>
              <w:top w:val="nil"/>
              <w:left w:val="nil"/>
              <w:bottom w:val="single" w:sz="4" w:space="0" w:color="auto"/>
              <w:right w:val="nil"/>
            </w:tcBorders>
            <w:shd w:val="clear" w:color="auto" w:fill="auto"/>
            <w:vAlign w:val="center"/>
            <w:hideMark/>
          </w:tcPr>
          <w:p w14:paraId="1830AF5E" w14:textId="0715E39C" w:rsidR="00A44B8F" w:rsidRPr="00A44B8F" w:rsidRDefault="00A44B8F" w:rsidP="00360E75">
            <w:pPr>
              <w:spacing w:after="0" w:line="276" w:lineRule="auto"/>
              <w:jc w:val="right"/>
              <w:rPr>
                <w:rFonts w:ascii="Arial" w:eastAsia="Times New Roman" w:hAnsi="Arial" w:cs="Arial"/>
                <w:b/>
                <w:bCs/>
                <w:color w:val="000000"/>
                <w:sz w:val="16"/>
                <w:szCs w:val="16"/>
                <w:lang w:eastAsia="en-AU"/>
              </w:rPr>
            </w:pPr>
            <w:r w:rsidRPr="00617599">
              <w:rPr>
                <w:rFonts w:ascii="Arial" w:eastAsia="Times New Roman" w:hAnsi="Arial" w:cs="Arial"/>
                <w:b/>
                <w:bCs/>
                <w:sz w:val="16"/>
                <w:szCs w:val="16"/>
                <w:lang w:eastAsia="en-AU"/>
              </w:rPr>
              <w:t>SET</w:t>
            </w:r>
            <w:r w:rsidRPr="00617599">
              <w:rPr>
                <w:rFonts w:ascii="Arial" w:eastAsia="Times New Roman" w:hAnsi="Arial" w:cs="Arial"/>
                <w:b/>
                <w:bCs/>
                <w:sz w:val="16"/>
                <w:szCs w:val="16"/>
                <w:vertAlign w:val="superscript"/>
                <w:lang w:eastAsia="en-AU"/>
              </w:rPr>
              <w:t>(b)</w:t>
            </w:r>
          </w:p>
        </w:tc>
        <w:tc>
          <w:tcPr>
            <w:tcW w:w="393" w:type="pct"/>
            <w:tcBorders>
              <w:top w:val="nil"/>
              <w:left w:val="nil"/>
              <w:bottom w:val="single" w:sz="4" w:space="0" w:color="auto"/>
              <w:right w:val="nil"/>
            </w:tcBorders>
            <w:shd w:val="clear" w:color="auto" w:fill="auto"/>
            <w:vAlign w:val="center"/>
            <w:hideMark/>
          </w:tcPr>
          <w:p w14:paraId="1EC47102" w14:textId="54306E60" w:rsidR="00A44B8F" w:rsidRPr="00A44B8F" w:rsidRDefault="00A44B8F" w:rsidP="00360E75">
            <w:pPr>
              <w:spacing w:after="0" w:line="276" w:lineRule="auto"/>
              <w:jc w:val="right"/>
              <w:rPr>
                <w:rFonts w:ascii="Arial" w:eastAsia="Times New Roman" w:hAnsi="Arial" w:cs="Arial"/>
                <w:b/>
                <w:bCs/>
                <w:color w:val="000000"/>
                <w:sz w:val="16"/>
                <w:szCs w:val="16"/>
                <w:lang w:eastAsia="en-AU"/>
              </w:rPr>
            </w:pPr>
            <w:r w:rsidRPr="00617599">
              <w:rPr>
                <w:rFonts w:ascii="Arial" w:eastAsia="Times New Roman" w:hAnsi="Arial" w:cs="Arial"/>
                <w:b/>
                <w:bCs/>
                <w:sz w:val="16"/>
                <w:szCs w:val="16"/>
                <w:lang w:eastAsia="en-AU"/>
              </w:rPr>
              <w:t>DET</w:t>
            </w:r>
            <w:r w:rsidRPr="00617599">
              <w:rPr>
                <w:rFonts w:ascii="Arial" w:eastAsia="Times New Roman" w:hAnsi="Arial" w:cs="Arial"/>
                <w:b/>
                <w:bCs/>
                <w:sz w:val="16"/>
                <w:szCs w:val="16"/>
                <w:vertAlign w:val="superscript"/>
                <w:lang w:eastAsia="en-AU"/>
              </w:rPr>
              <w:t>(c)</w:t>
            </w:r>
          </w:p>
        </w:tc>
        <w:tc>
          <w:tcPr>
            <w:tcW w:w="78" w:type="pct"/>
            <w:tcBorders>
              <w:top w:val="nil"/>
              <w:left w:val="nil"/>
              <w:bottom w:val="single" w:sz="4" w:space="0" w:color="auto"/>
              <w:right w:val="nil"/>
            </w:tcBorders>
            <w:shd w:val="clear" w:color="auto" w:fill="auto"/>
            <w:vAlign w:val="center"/>
            <w:hideMark/>
          </w:tcPr>
          <w:p w14:paraId="7130149E" w14:textId="77777777" w:rsidR="00A44B8F" w:rsidRPr="00A44B8F" w:rsidRDefault="00A44B8F" w:rsidP="00360E75">
            <w:pPr>
              <w:spacing w:after="0" w:line="276" w:lineRule="auto"/>
              <w:jc w:val="right"/>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266" w:type="pct"/>
            <w:tcBorders>
              <w:top w:val="nil"/>
              <w:left w:val="nil"/>
              <w:bottom w:val="single" w:sz="4" w:space="0" w:color="auto"/>
              <w:right w:val="nil"/>
            </w:tcBorders>
            <w:shd w:val="clear" w:color="auto" w:fill="auto"/>
            <w:vAlign w:val="center"/>
            <w:hideMark/>
          </w:tcPr>
          <w:p w14:paraId="5C93E8C2" w14:textId="2D4D79FA" w:rsidR="00A44B8F" w:rsidRPr="00A44B8F" w:rsidRDefault="00A44B8F" w:rsidP="00360E75">
            <w:pPr>
              <w:spacing w:after="0" w:line="276" w:lineRule="auto"/>
              <w:jc w:val="right"/>
              <w:rPr>
                <w:rFonts w:ascii="Arial" w:eastAsia="Times New Roman" w:hAnsi="Arial" w:cs="Arial"/>
                <w:b/>
                <w:bCs/>
                <w:color w:val="000000"/>
                <w:sz w:val="16"/>
                <w:szCs w:val="16"/>
                <w:lang w:eastAsia="en-AU"/>
              </w:rPr>
            </w:pPr>
            <w:r w:rsidRPr="00617599">
              <w:rPr>
                <w:rFonts w:ascii="Arial" w:eastAsia="Times New Roman" w:hAnsi="Arial" w:cs="Arial"/>
                <w:b/>
                <w:bCs/>
                <w:sz w:val="16"/>
                <w:szCs w:val="16"/>
                <w:lang w:eastAsia="en-AU"/>
              </w:rPr>
              <w:t>SET</w:t>
            </w:r>
            <w:r w:rsidRPr="00617599">
              <w:rPr>
                <w:rFonts w:ascii="Arial" w:eastAsia="Times New Roman" w:hAnsi="Arial" w:cs="Arial"/>
                <w:b/>
                <w:bCs/>
                <w:sz w:val="16"/>
                <w:szCs w:val="16"/>
                <w:vertAlign w:val="superscript"/>
                <w:lang w:eastAsia="en-AU"/>
              </w:rPr>
              <w:t>(b)</w:t>
            </w:r>
          </w:p>
        </w:tc>
        <w:tc>
          <w:tcPr>
            <w:tcW w:w="336" w:type="pct"/>
            <w:tcBorders>
              <w:top w:val="nil"/>
              <w:left w:val="nil"/>
              <w:bottom w:val="single" w:sz="4" w:space="0" w:color="auto"/>
              <w:right w:val="nil"/>
            </w:tcBorders>
            <w:shd w:val="clear" w:color="auto" w:fill="auto"/>
            <w:vAlign w:val="center"/>
            <w:hideMark/>
          </w:tcPr>
          <w:p w14:paraId="315541F4" w14:textId="113456F9" w:rsidR="00A44B8F" w:rsidRPr="00A44B8F" w:rsidRDefault="00A44B8F" w:rsidP="00360E75">
            <w:pPr>
              <w:spacing w:after="0" w:line="276" w:lineRule="auto"/>
              <w:jc w:val="right"/>
              <w:rPr>
                <w:rFonts w:ascii="Arial" w:eastAsia="Times New Roman" w:hAnsi="Arial" w:cs="Arial"/>
                <w:b/>
                <w:bCs/>
                <w:color w:val="000000"/>
                <w:sz w:val="16"/>
                <w:szCs w:val="16"/>
                <w:lang w:eastAsia="en-AU"/>
              </w:rPr>
            </w:pPr>
            <w:r w:rsidRPr="00617599">
              <w:rPr>
                <w:rFonts w:ascii="Arial" w:eastAsia="Times New Roman" w:hAnsi="Arial" w:cs="Arial"/>
                <w:b/>
                <w:bCs/>
                <w:sz w:val="16"/>
                <w:szCs w:val="16"/>
                <w:lang w:eastAsia="en-AU"/>
              </w:rPr>
              <w:t>DET</w:t>
            </w:r>
            <w:r w:rsidRPr="00617599">
              <w:rPr>
                <w:rFonts w:ascii="Arial" w:eastAsia="Times New Roman" w:hAnsi="Arial" w:cs="Arial"/>
                <w:b/>
                <w:bCs/>
                <w:sz w:val="16"/>
                <w:szCs w:val="16"/>
                <w:vertAlign w:val="superscript"/>
                <w:lang w:eastAsia="en-AU"/>
              </w:rPr>
              <w:t>(c)</w:t>
            </w:r>
          </w:p>
        </w:tc>
      </w:tr>
      <w:tr w:rsidR="005E43D6" w:rsidRPr="00A44B8F" w14:paraId="2A585042" w14:textId="77777777" w:rsidTr="000D75B4">
        <w:trPr>
          <w:trHeight w:val="227"/>
        </w:trPr>
        <w:tc>
          <w:tcPr>
            <w:tcW w:w="2040" w:type="pct"/>
            <w:tcBorders>
              <w:top w:val="nil"/>
              <w:left w:val="nil"/>
              <w:bottom w:val="nil"/>
              <w:right w:val="nil"/>
            </w:tcBorders>
            <w:shd w:val="clear" w:color="auto" w:fill="auto"/>
            <w:noWrap/>
            <w:vAlign w:val="center"/>
            <w:hideMark/>
          </w:tcPr>
          <w:p w14:paraId="7CD8B592" w14:textId="77777777" w:rsidR="005E43D6" w:rsidRPr="00A44B8F" w:rsidRDefault="005E43D6" w:rsidP="005E43D6">
            <w:pPr>
              <w:spacing w:after="0" w:line="276" w:lineRule="auto"/>
              <w:rPr>
                <w:rFonts w:ascii="Arial" w:eastAsia="Times New Roman" w:hAnsi="Arial" w:cs="Arial"/>
                <w:color w:val="000000"/>
                <w:sz w:val="16"/>
                <w:szCs w:val="16"/>
                <w:lang w:eastAsia="en-AU"/>
              </w:rPr>
            </w:pPr>
            <w:r w:rsidRPr="00A44B8F">
              <w:rPr>
                <w:rFonts w:ascii="Arial" w:eastAsia="Times New Roman" w:hAnsi="Arial" w:cs="Arial"/>
                <w:color w:val="000000"/>
                <w:sz w:val="16"/>
                <w:szCs w:val="16"/>
                <w:lang w:eastAsia="en-AU"/>
              </w:rPr>
              <w:t>Embryo transfer cycles</w:t>
            </w:r>
          </w:p>
        </w:tc>
        <w:tc>
          <w:tcPr>
            <w:tcW w:w="395" w:type="pct"/>
            <w:tcBorders>
              <w:top w:val="nil"/>
              <w:left w:val="nil"/>
              <w:bottom w:val="nil"/>
              <w:right w:val="nil"/>
            </w:tcBorders>
            <w:shd w:val="clear" w:color="auto" w:fill="auto"/>
            <w:vAlign w:val="center"/>
            <w:hideMark/>
          </w:tcPr>
          <w:p w14:paraId="20BA8E17" w14:textId="62FAC7E4" w:rsidR="005E43D6" w:rsidRPr="005458F3"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1,735</w:t>
            </w:r>
          </w:p>
        </w:tc>
        <w:tc>
          <w:tcPr>
            <w:tcW w:w="314" w:type="pct"/>
            <w:tcBorders>
              <w:top w:val="nil"/>
              <w:left w:val="nil"/>
              <w:bottom w:val="nil"/>
              <w:right w:val="nil"/>
            </w:tcBorders>
            <w:shd w:val="clear" w:color="auto" w:fill="auto"/>
            <w:vAlign w:val="center"/>
            <w:hideMark/>
          </w:tcPr>
          <w:p w14:paraId="2FE9B923" w14:textId="4F2A9C23"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18</w:t>
            </w:r>
          </w:p>
        </w:tc>
        <w:tc>
          <w:tcPr>
            <w:tcW w:w="78" w:type="pct"/>
            <w:tcBorders>
              <w:top w:val="nil"/>
              <w:left w:val="nil"/>
              <w:bottom w:val="nil"/>
              <w:right w:val="nil"/>
            </w:tcBorders>
            <w:shd w:val="clear" w:color="auto" w:fill="auto"/>
            <w:vAlign w:val="center"/>
            <w:hideMark/>
          </w:tcPr>
          <w:p w14:paraId="347030B5" w14:textId="2BDB8121"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14" w:type="pct"/>
            <w:tcBorders>
              <w:top w:val="nil"/>
              <w:left w:val="nil"/>
              <w:bottom w:val="nil"/>
              <w:right w:val="nil"/>
            </w:tcBorders>
            <w:shd w:val="clear" w:color="auto" w:fill="auto"/>
            <w:vAlign w:val="center"/>
            <w:hideMark/>
          </w:tcPr>
          <w:p w14:paraId="4F09640C" w14:textId="01D1B5E1"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1,551</w:t>
            </w:r>
          </w:p>
        </w:tc>
        <w:tc>
          <w:tcPr>
            <w:tcW w:w="393" w:type="pct"/>
            <w:tcBorders>
              <w:top w:val="nil"/>
              <w:left w:val="nil"/>
              <w:bottom w:val="nil"/>
              <w:right w:val="nil"/>
            </w:tcBorders>
            <w:shd w:val="clear" w:color="auto" w:fill="auto"/>
            <w:vAlign w:val="center"/>
            <w:hideMark/>
          </w:tcPr>
          <w:p w14:paraId="36500776" w14:textId="26FCEF9C"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37</w:t>
            </w:r>
          </w:p>
        </w:tc>
        <w:tc>
          <w:tcPr>
            <w:tcW w:w="79" w:type="pct"/>
            <w:tcBorders>
              <w:top w:val="nil"/>
              <w:left w:val="nil"/>
              <w:bottom w:val="nil"/>
              <w:right w:val="nil"/>
            </w:tcBorders>
            <w:shd w:val="clear" w:color="auto" w:fill="auto"/>
            <w:vAlign w:val="center"/>
            <w:hideMark/>
          </w:tcPr>
          <w:p w14:paraId="373B114F" w14:textId="6AF05A5E"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14" w:type="pct"/>
            <w:tcBorders>
              <w:top w:val="nil"/>
              <w:left w:val="nil"/>
              <w:bottom w:val="nil"/>
              <w:right w:val="nil"/>
            </w:tcBorders>
            <w:shd w:val="clear" w:color="auto" w:fill="auto"/>
            <w:vAlign w:val="center"/>
            <w:hideMark/>
          </w:tcPr>
          <w:p w14:paraId="7013DC90" w14:textId="312FF3AE"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648</w:t>
            </w:r>
          </w:p>
        </w:tc>
        <w:tc>
          <w:tcPr>
            <w:tcW w:w="393" w:type="pct"/>
            <w:tcBorders>
              <w:top w:val="nil"/>
              <w:left w:val="nil"/>
              <w:bottom w:val="nil"/>
              <w:right w:val="nil"/>
            </w:tcBorders>
            <w:shd w:val="clear" w:color="auto" w:fill="auto"/>
            <w:vAlign w:val="center"/>
            <w:hideMark/>
          </w:tcPr>
          <w:p w14:paraId="45016A7C" w14:textId="0DAAB3B9"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29</w:t>
            </w:r>
          </w:p>
        </w:tc>
        <w:tc>
          <w:tcPr>
            <w:tcW w:w="78" w:type="pct"/>
            <w:tcBorders>
              <w:top w:val="nil"/>
              <w:left w:val="nil"/>
              <w:bottom w:val="nil"/>
              <w:right w:val="nil"/>
            </w:tcBorders>
            <w:shd w:val="clear" w:color="auto" w:fill="auto"/>
            <w:vAlign w:val="center"/>
            <w:hideMark/>
          </w:tcPr>
          <w:p w14:paraId="625EFFB8" w14:textId="5F1583DB"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266" w:type="pct"/>
            <w:tcBorders>
              <w:top w:val="nil"/>
              <w:left w:val="nil"/>
              <w:bottom w:val="nil"/>
              <w:right w:val="nil"/>
            </w:tcBorders>
            <w:shd w:val="clear" w:color="auto" w:fill="auto"/>
            <w:vAlign w:val="center"/>
            <w:hideMark/>
          </w:tcPr>
          <w:p w14:paraId="71852C87" w14:textId="16C0D77B"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3,934</w:t>
            </w:r>
          </w:p>
        </w:tc>
        <w:tc>
          <w:tcPr>
            <w:tcW w:w="336" w:type="pct"/>
            <w:tcBorders>
              <w:top w:val="nil"/>
              <w:left w:val="nil"/>
              <w:bottom w:val="nil"/>
              <w:right w:val="nil"/>
            </w:tcBorders>
            <w:shd w:val="clear" w:color="auto" w:fill="auto"/>
            <w:vAlign w:val="center"/>
            <w:hideMark/>
          </w:tcPr>
          <w:p w14:paraId="1D0A2C75" w14:textId="3AD6F0F4"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84</w:t>
            </w:r>
          </w:p>
        </w:tc>
      </w:tr>
      <w:tr w:rsidR="005E43D6" w:rsidRPr="00A44B8F" w14:paraId="01CD52F5" w14:textId="77777777" w:rsidTr="000D75B4">
        <w:trPr>
          <w:trHeight w:val="227"/>
        </w:trPr>
        <w:tc>
          <w:tcPr>
            <w:tcW w:w="2040" w:type="pct"/>
            <w:tcBorders>
              <w:top w:val="nil"/>
              <w:left w:val="nil"/>
              <w:bottom w:val="nil"/>
              <w:right w:val="nil"/>
            </w:tcBorders>
            <w:shd w:val="clear" w:color="auto" w:fill="auto"/>
            <w:noWrap/>
            <w:vAlign w:val="center"/>
            <w:hideMark/>
          </w:tcPr>
          <w:p w14:paraId="190BBFF5" w14:textId="77777777" w:rsidR="005E43D6" w:rsidRPr="00A44B8F" w:rsidRDefault="005E43D6" w:rsidP="005E43D6">
            <w:pPr>
              <w:spacing w:after="0" w:line="276" w:lineRule="auto"/>
              <w:rPr>
                <w:rFonts w:ascii="Arial" w:eastAsia="Times New Roman" w:hAnsi="Arial" w:cs="Arial"/>
                <w:color w:val="000000"/>
                <w:sz w:val="16"/>
                <w:szCs w:val="16"/>
                <w:lang w:eastAsia="en-AU"/>
              </w:rPr>
            </w:pPr>
            <w:r w:rsidRPr="00A44B8F">
              <w:rPr>
                <w:rFonts w:ascii="Arial" w:eastAsia="Times New Roman" w:hAnsi="Arial" w:cs="Arial"/>
                <w:color w:val="000000"/>
                <w:sz w:val="16"/>
                <w:szCs w:val="16"/>
                <w:lang w:eastAsia="en-AU"/>
              </w:rPr>
              <w:t>Clinical pregnancies</w:t>
            </w:r>
          </w:p>
        </w:tc>
        <w:tc>
          <w:tcPr>
            <w:tcW w:w="395" w:type="pct"/>
            <w:tcBorders>
              <w:top w:val="nil"/>
              <w:left w:val="nil"/>
              <w:bottom w:val="nil"/>
              <w:right w:val="nil"/>
            </w:tcBorders>
            <w:shd w:val="clear" w:color="auto" w:fill="auto"/>
            <w:noWrap/>
            <w:vAlign w:val="bottom"/>
            <w:hideMark/>
          </w:tcPr>
          <w:p w14:paraId="72CFD485" w14:textId="24B3ECEE" w:rsidR="005E43D6" w:rsidRPr="005458F3"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862</w:t>
            </w:r>
          </w:p>
        </w:tc>
        <w:tc>
          <w:tcPr>
            <w:tcW w:w="314" w:type="pct"/>
            <w:tcBorders>
              <w:top w:val="nil"/>
              <w:left w:val="nil"/>
              <w:bottom w:val="nil"/>
              <w:right w:val="nil"/>
            </w:tcBorders>
            <w:shd w:val="clear" w:color="auto" w:fill="auto"/>
            <w:noWrap/>
            <w:vAlign w:val="bottom"/>
            <w:hideMark/>
          </w:tcPr>
          <w:p w14:paraId="2A18ED33" w14:textId="64D45510"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7</w:t>
            </w:r>
          </w:p>
        </w:tc>
        <w:tc>
          <w:tcPr>
            <w:tcW w:w="78" w:type="pct"/>
            <w:tcBorders>
              <w:top w:val="nil"/>
              <w:left w:val="nil"/>
              <w:bottom w:val="nil"/>
              <w:right w:val="nil"/>
            </w:tcBorders>
            <w:shd w:val="clear" w:color="auto" w:fill="auto"/>
            <w:noWrap/>
            <w:vAlign w:val="bottom"/>
            <w:hideMark/>
          </w:tcPr>
          <w:p w14:paraId="1950932C" w14:textId="5FF41CA2"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14" w:type="pct"/>
            <w:tcBorders>
              <w:top w:val="nil"/>
              <w:left w:val="nil"/>
              <w:bottom w:val="nil"/>
              <w:right w:val="nil"/>
            </w:tcBorders>
            <w:shd w:val="clear" w:color="auto" w:fill="auto"/>
            <w:noWrap/>
            <w:vAlign w:val="bottom"/>
            <w:hideMark/>
          </w:tcPr>
          <w:p w14:paraId="432ACA10" w14:textId="7EC87099"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660</w:t>
            </w:r>
          </w:p>
        </w:tc>
        <w:tc>
          <w:tcPr>
            <w:tcW w:w="393" w:type="pct"/>
            <w:tcBorders>
              <w:top w:val="nil"/>
              <w:left w:val="nil"/>
              <w:bottom w:val="nil"/>
              <w:right w:val="nil"/>
            </w:tcBorders>
            <w:shd w:val="clear" w:color="auto" w:fill="auto"/>
            <w:noWrap/>
            <w:vAlign w:val="bottom"/>
            <w:hideMark/>
          </w:tcPr>
          <w:p w14:paraId="5B96A1CD" w14:textId="6375CE2E"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13</w:t>
            </w:r>
          </w:p>
        </w:tc>
        <w:tc>
          <w:tcPr>
            <w:tcW w:w="79" w:type="pct"/>
            <w:tcBorders>
              <w:top w:val="nil"/>
              <w:left w:val="nil"/>
              <w:bottom w:val="nil"/>
              <w:right w:val="nil"/>
            </w:tcBorders>
            <w:shd w:val="clear" w:color="auto" w:fill="auto"/>
            <w:noWrap/>
            <w:vAlign w:val="bottom"/>
            <w:hideMark/>
          </w:tcPr>
          <w:p w14:paraId="3CCA1515" w14:textId="22202B53"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14" w:type="pct"/>
            <w:tcBorders>
              <w:top w:val="nil"/>
              <w:left w:val="nil"/>
              <w:bottom w:val="nil"/>
              <w:right w:val="nil"/>
            </w:tcBorders>
            <w:shd w:val="clear" w:color="auto" w:fill="auto"/>
            <w:noWrap/>
            <w:vAlign w:val="bottom"/>
            <w:hideMark/>
          </w:tcPr>
          <w:p w14:paraId="2F9797C7" w14:textId="46E673ED"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219</w:t>
            </w:r>
          </w:p>
        </w:tc>
        <w:tc>
          <w:tcPr>
            <w:tcW w:w="393" w:type="pct"/>
            <w:tcBorders>
              <w:top w:val="nil"/>
              <w:left w:val="nil"/>
              <w:bottom w:val="nil"/>
              <w:right w:val="nil"/>
            </w:tcBorders>
            <w:shd w:val="clear" w:color="auto" w:fill="auto"/>
            <w:noWrap/>
            <w:vAlign w:val="bottom"/>
            <w:hideMark/>
          </w:tcPr>
          <w:p w14:paraId="65A67C44" w14:textId="469E2362"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10</w:t>
            </w:r>
          </w:p>
        </w:tc>
        <w:tc>
          <w:tcPr>
            <w:tcW w:w="78" w:type="pct"/>
            <w:tcBorders>
              <w:top w:val="nil"/>
              <w:left w:val="nil"/>
              <w:bottom w:val="nil"/>
              <w:right w:val="nil"/>
            </w:tcBorders>
            <w:shd w:val="clear" w:color="auto" w:fill="auto"/>
            <w:noWrap/>
            <w:vAlign w:val="bottom"/>
            <w:hideMark/>
          </w:tcPr>
          <w:p w14:paraId="3EFA27C7" w14:textId="23F09C56"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266" w:type="pct"/>
            <w:tcBorders>
              <w:top w:val="nil"/>
              <w:left w:val="nil"/>
              <w:bottom w:val="nil"/>
              <w:right w:val="nil"/>
            </w:tcBorders>
            <w:shd w:val="clear" w:color="auto" w:fill="auto"/>
            <w:noWrap/>
            <w:vAlign w:val="bottom"/>
            <w:hideMark/>
          </w:tcPr>
          <w:p w14:paraId="1DD4C66D" w14:textId="42E6BC2F"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1,741</w:t>
            </w:r>
          </w:p>
        </w:tc>
        <w:tc>
          <w:tcPr>
            <w:tcW w:w="336" w:type="pct"/>
            <w:tcBorders>
              <w:top w:val="nil"/>
              <w:left w:val="nil"/>
              <w:bottom w:val="nil"/>
              <w:right w:val="nil"/>
            </w:tcBorders>
            <w:shd w:val="clear" w:color="auto" w:fill="auto"/>
            <w:noWrap/>
            <w:vAlign w:val="bottom"/>
            <w:hideMark/>
          </w:tcPr>
          <w:p w14:paraId="06CD01DE" w14:textId="0A178899"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30</w:t>
            </w:r>
          </w:p>
        </w:tc>
      </w:tr>
      <w:tr w:rsidR="005E43D6" w:rsidRPr="00A44B8F" w14:paraId="6372DF5F" w14:textId="77777777" w:rsidTr="000D75B4">
        <w:trPr>
          <w:trHeight w:val="227"/>
        </w:trPr>
        <w:tc>
          <w:tcPr>
            <w:tcW w:w="2040" w:type="pct"/>
            <w:tcBorders>
              <w:top w:val="nil"/>
              <w:left w:val="nil"/>
              <w:bottom w:val="nil"/>
              <w:right w:val="nil"/>
            </w:tcBorders>
            <w:shd w:val="clear" w:color="auto" w:fill="auto"/>
            <w:noWrap/>
            <w:vAlign w:val="center"/>
            <w:hideMark/>
          </w:tcPr>
          <w:p w14:paraId="3CF4220C" w14:textId="1466BA4B" w:rsidR="005E43D6" w:rsidRPr="00A44B8F" w:rsidRDefault="005E43D6" w:rsidP="005E43D6">
            <w:pPr>
              <w:spacing w:after="0" w:line="276" w:lineRule="auto"/>
              <w:rPr>
                <w:rFonts w:ascii="Arial" w:eastAsia="Times New Roman" w:hAnsi="Arial" w:cs="Arial"/>
                <w:color w:val="000000"/>
                <w:sz w:val="16"/>
                <w:szCs w:val="16"/>
                <w:lang w:eastAsia="en-AU"/>
              </w:rPr>
            </w:pPr>
            <w:r w:rsidRPr="00A44B8F">
              <w:rPr>
                <w:rFonts w:ascii="Arial" w:eastAsia="Times New Roman" w:hAnsi="Arial" w:cs="Arial"/>
                <w:color w:val="000000"/>
                <w:sz w:val="16"/>
                <w:szCs w:val="16"/>
                <w:lang w:eastAsia="en-AU"/>
              </w:rPr>
              <w:t xml:space="preserve">Live </w:t>
            </w:r>
            <w:r>
              <w:rPr>
                <w:rFonts w:ascii="Arial" w:eastAsia="Times New Roman" w:hAnsi="Arial" w:cs="Arial"/>
                <w:color w:val="000000"/>
                <w:sz w:val="16"/>
                <w:szCs w:val="16"/>
                <w:lang w:eastAsia="en-AU"/>
              </w:rPr>
              <w:t>births</w:t>
            </w:r>
          </w:p>
        </w:tc>
        <w:tc>
          <w:tcPr>
            <w:tcW w:w="395" w:type="pct"/>
            <w:tcBorders>
              <w:top w:val="nil"/>
              <w:left w:val="nil"/>
              <w:bottom w:val="nil"/>
              <w:right w:val="nil"/>
            </w:tcBorders>
            <w:shd w:val="clear" w:color="auto" w:fill="auto"/>
            <w:noWrap/>
            <w:vAlign w:val="bottom"/>
            <w:hideMark/>
          </w:tcPr>
          <w:p w14:paraId="7CCB042B" w14:textId="0F6F8B14" w:rsidR="005E43D6" w:rsidRPr="005458F3"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710</w:t>
            </w:r>
          </w:p>
        </w:tc>
        <w:tc>
          <w:tcPr>
            <w:tcW w:w="314" w:type="pct"/>
            <w:tcBorders>
              <w:top w:val="nil"/>
              <w:left w:val="nil"/>
              <w:bottom w:val="nil"/>
              <w:right w:val="nil"/>
            </w:tcBorders>
            <w:shd w:val="clear" w:color="auto" w:fill="auto"/>
            <w:noWrap/>
            <w:vAlign w:val="bottom"/>
            <w:hideMark/>
          </w:tcPr>
          <w:p w14:paraId="136BE65A" w14:textId="73BAFDD4"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6</w:t>
            </w:r>
          </w:p>
        </w:tc>
        <w:tc>
          <w:tcPr>
            <w:tcW w:w="78" w:type="pct"/>
            <w:tcBorders>
              <w:top w:val="nil"/>
              <w:left w:val="nil"/>
              <w:bottom w:val="nil"/>
              <w:right w:val="nil"/>
            </w:tcBorders>
            <w:shd w:val="clear" w:color="auto" w:fill="auto"/>
            <w:noWrap/>
            <w:vAlign w:val="bottom"/>
            <w:hideMark/>
          </w:tcPr>
          <w:p w14:paraId="2D70C092" w14:textId="2D3C180E"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14" w:type="pct"/>
            <w:tcBorders>
              <w:top w:val="nil"/>
              <w:left w:val="nil"/>
              <w:bottom w:val="nil"/>
              <w:right w:val="nil"/>
            </w:tcBorders>
            <w:shd w:val="clear" w:color="auto" w:fill="auto"/>
            <w:noWrap/>
            <w:vAlign w:val="bottom"/>
            <w:hideMark/>
          </w:tcPr>
          <w:p w14:paraId="59986B84" w14:textId="248C3A93"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511</w:t>
            </w:r>
          </w:p>
        </w:tc>
        <w:tc>
          <w:tcPr>
            <w:tcW w:w="393" w:type="pct"/>
            <w:tcBorders>
              <w:top w:val="nil"/>
              <w:left w:val="nil"/>
              <w:bottom w:val="nil"/>
              <w:right w:val="nil"/>
            </w:tcBorders>
            <w:shd w:val="clear" w:color="auto" w:fill="auto"/>
            <w:noWrap/>
            <w:vAlign w:val="bottom"/>
            <w:hideMark/>
          </w:tcPr>
          <w:p w14:paraId="476195EC" w14:textId="1FFCE6C3"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11</w:t>
            </w:r>
          </w:p>
        </w:tc>
        <w:tc>
          <w:tcPr>
            <w:tcW w:w="79" w:type="pct"/>
            <w:tcBorders>
              <w:top w:val="nil"/>
              <w:left w:val="nil"/>
              <w:bottom w:val="nil"/>
              <w:right w:val="nil"/>
            </w:tcBorders>
            <w:shd w:val="clear" w:color="auto" w:fill="auto"/>
            <w:noWrap/>
            <w:vAlign w:val="bottom"/>
            <w:hideMark/>
          </w:tcPr>
          <w:p w14:paraId="05C158F4" w14:textId="464792F5"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14" w:type="pct"/>
            <w:tcBorders>
              <w:top w:val="nil"/>
              <w:left w:val="nil"/>
              <w:bottom w:val="nil"/>
              <w:right w:val="nil"/>
            </w:tcBorders>
            <w:shd w:val="clear" w:color="auto" w:fill="auto"/>
            <w:noWrap/>
            <w:vAlign w:val="bottom"/>
            <w:hideMark/>
          </w:tcPr>
          <w:p w14:paraId="657E306D" w14:textId="58752C3B"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159</w:t>
            </w:r>
          </w:p>
        </w:tc>
        <w:tc>
          <w:tcPr>
            <w:tcW w:w="393" w:type="pct"/>
            <w:tcBorders>
              <w:top w:val="nil"/>
              <w:left w:val="nil"/>
              <w:bottom w:val="nil"/>
              <w:right w:val="nil"/>
            </w:tcBorders>
            <w:shd w:val="clear" w:color="auto" w:fill="auto"/>
            <w:noWrap/>
            <w:vAlign w:val="bottom"/>
            <w:hideMark/>
          </w:tcPr>
          <w:p w14:paraId="3514B0BF" w14:textId="76E1E3C2"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6</w:t>
            </w:r>
          </w:p>
        </w:tc>
        <w:tc>
          <w:tcPr>
            <w:tcW w:w="78" w:type="pct"/>
            <w:tcBorders>
              <w:top w:val="nil"/>
              <w:left w:val="nil"/>
              <w:bottom w:val="nil"/>
              <w:right w:val="nil"/>
            </w:tcBorders>
            <w:shd w:val="clear" w:color="auto" w:fill="auto"/>
            <w:noWrap/>
            <w:vAlign w:val="bottom"/>
            <w:hideMark/>
          </w:tcPr>
          <w:p w14:paraId="75CD5F7B" w14:textId="33CBABD6"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266" w:type="pct"/>
            <w:tcBorders>
              <w:top w:val="nil"/>
              <w:left w:val="nil"/>
              <w:bottom w:val="nil"/>
              <w:right w:val="nil"/>
            </w:tcBorders>
            <w:shd w:val="clear" w:color="auto" w:fill="auto"/>
            <w:noWrap/>
            <w:vAlign w:val="bottom"/>
            <w:hideMark/>
          </w:tcPr>
          <w:p w14:paraId="62D4F88D" w14:textId="02896FFE"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1,380</w:t>
            </w:r>
          </w:p>
        </w:tc>
        <w:tc>
          <w:tcPr>
            <w:tcW w:w="336" w:type="pct"/>
            <w:tcBorders>
              <w:top w:val="nil"/>
              <w:left w:val="nil"/>
              <w:bottom w:val="nil"/>
              <w:right w:val="nil"/>
            </w:tcBorders>
            <w:shd w:val="clear" w:color="auto" w:fill="auto"/>
            <w:noWrap/>
            <w:vAlign w:val="bottom"/>
            <w:hideMark/>
          </w:tcPr>
          <w:p w14:paraId="1F5037A1" w14:textId="485F7858"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23</w:t>
            </w:r>
          </w:p>
        </w:tc>
      </w:tr>
      <w:tr w:rsidR="005E43D6" w:rsidRPr="00A44B8F" w14:paraId="66B2980A" w14:textId="77777777" w:rsidTr="000D75B4">
        <w:trPr>
          <w:trHeight w:val="227"/>
        </w:trPr>
        <w:tc>
          <w:tcPr>
            <w:tcW w:w="2040" w:type="pct"/>
            <w:tcBorders>
              <w:top w:val="nil"/>
              <w:left w:val="nil"/>
              <w:right w:val="nil"/>
            </w:tcBorders>
            <w:shd w:val="clear" w:color="auto" w:fill="auto"/>
            <w:noWrap/>
            <w:vAlign w:val="center"/>
            <w:hideMark/>
          </w:tcPr>
          <w:p w14:paraId="48F02F14" w14:textId="77777777" w:rsidR="005E43D6" w:rsidRPr="00A44B8F" w:rsidRDefault="005E43D6" w:rsidP="005E43D6">
            <w:pPr>
              <w:spacing w:after="0" w:line="276" w:lineRule="auto"/>
              <w:rPr>
                <w:rFonts w:ascii="Arial" w:eastAsia="Times New Roman" w:hAnsi="Arial" w:cs="Arial"/>
                <w:i/>
                <w:iCs/>
                <w:color w:val="000000"/>
                <w:sz w:val="16"/>
                <w:szCs w:val="16"/>
                <w:lang w:eastAsia="en-AU"/>
              </w:rPr>
            </w:pPr>
            <w:r w:rsidRPr="00A44B8F">
              <w:rPr>
                <w:rFonts w:ascii="Arial" w:eastAsia="Times New Roman" w:hAnsi="Arial" w:cs="Arial"/>
                <w:i/>
                <w:iCs/>
                <w:color w:val="000000"/>
                <w:sz w:val="16"/>
                <w:szCs w:val="16"/>
                <w:lang w:eastAsia="en-AU"/>
              </w:rPr>
              <w:t>Clinical pregnancies per embryo transfer cycle (%)</w:t>
            </w:r>
          </w:p>
        </w:tc>
        <w:tc>
          <w:tcPr>
            <w:tcW w:w="395" w:type="pct"/>
            <w:tcBorders>
              <w:top w:val="nil"/>
              <w:left w:val="nil"/>
              <w:right w:val="nil"/>
            </w:tcBorders>
            <w:shd w:val="clear" w:color="auto" w:fill="auto"/>
            <w:noWrap/>
            <w:vAlign w:val="bottom"/>
            <w:hideMark/>
          </w:tcPr>
          <w:p w14:paraId="414AFDDD" w14:textId="4A564CF0" w:rsidR="005E43D6" w:rsidRPr="005458F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49.7</w:t>
            </w:r>
          </w:p>
        </w:tc>
        <w:tc>
          <w:tcPr>
            <w:tcW w:w="314" w:type="pct"/>
            <w:tcBorders>
              <w:top w:val="nil"/>
              <w:left w:val="nil"/>
              <w:right w:val="nil"/>
            </w:tcBorders>
            <w:shd w:val="clear" w:color="auto" w:fill="auto"/>
            <w:noWrap/>
            <w:vAlign w:val="bottom"/>
            <w:hideMark/>
          </w:tcPr>
          <w:p w14:paraId="74F9DAD4" w14:textId="054B3916" w:rsidR="005E43D6" w:rsidRPr="009F3F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38.9</w:t>
            </w:r>
          </w:p>
        </w:tc>
        <w:tc>
          <w:tcPr>
            <w:tcW w:w="78" w:type="pct"/>
            <w:tcBorders>
              <w:top w:val="nil"/>
              <w:left w:val="nil"/>
              <w:right w:val="nil"/>
            </w:tcBorders>
            <w:shd w:val="clear" w:color="auto" w:fill="auto"/>
            <w:noWrap/>
            <w:vAlign w:val="bottom"/>
            <w:hideMark/>
          </w:tcPr>
          <w:p w14:paraId="304CE529" w14:textId="72158915"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14" w:type="pct"/>
            <w:tcBorders>
              <w:top w:val="nil"/>
              <w:left w:val="nil"/>
              <w:right w:val="nil"/>
            </w:tcBorders>
            <w:shd w:val="clear" w:color="auto" w:fill="auto"/>
            <w:noWrap/>
            <w:vAlign w:val="bottom"/>
            <w:hideMark/>
          </w:tcPr>
          <w:p w14:paraId="11003056" w14:textId="22C5440D" w:rsidR="005E43D6" w:rsidRPr="009F3F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42.6</w:t>
            </w:r>
          </w:p>
        </w:tc>
        <w:tc>
          <w:tcPr>
            <w:tcW w:w="393" w:type="pct"/>
            <w:tcBorders>
              <w:top w:val="nil"/>
              <w:left w:val="nil"/>
              <w:right w:val="nil"/>
            </w:tcBorders>
            <w:shd w:val="clear" w:color="auto" w:fill="auto"/>
            <w:noWrap/>
            <w:vAlign w:val="bottom"/>
            <w:hideMark/>
          </w:tcPr>
          <w:p w14:paraId="4F4B0FEF" w14:textId="4D2BCE22" w:rsidR="005E43D6" w:rsidRPr="009F3F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35.1</w:t>
            </w:r>
          </w:p>
        </w:tc>
        <w:tc>
          <w:tcPr>
            <w:tcW w:w="79" w:type="pct"/>
            <w:tcBorders>
              <w:top w:val="nil"/>
              <w:left w:val="nil"/>
              <w:right w:val="nil"/>
            </w:tcBorders>
            <w:shd w:val="clear" w:color="auto" w:fill="auto"/>
            <w:noWrap/>
            <w:vAlign w:val="bottom"/>
            <w:hideMark/>
          </w:tcPr>
          <w:p w14:paraId="0DAF229D" w14:textId="06C47FAC"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14" w:type="pct"/>
            <w:tcBorders>
              <w:top w:val="nil"/>
              <w:left w:val="nil"/>
              <w:right w:val="nil"/>
            </w:tcBorders>
            <w:shd w:val="clear" w:color="auto" w:fill="auto"/>
            <w:noWrap/>
            <w:vAlign w:val="bottom"/>
            <w:hideMark/>
          </w:tcPr>
          <w:p w14:paraId="12CF8BE6" w14:textId="2FEB5719"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33.8</w:t>
            </w:r>
          </w:p>
        </w:tc>
        <w:tc>
          <w:tcPr>
            <w:tcW w:w="393" w:type="pct"/>
            <w:tcBorders>
              <w:top w:val="nil"/>
              <w:left w:val="nil"/>
              <w:right w:val="nil"/>
            </w:tcBorders>
            <w:shd w:val="clear" w:color="auto" w:fill="auto"/>
            <w:noWrap/>
            <w:vAlign w:val="bottom"/>
            <w:hideMark/>
          </w:tcPr>
          <w:p w14:paraId="3F36A622" w14:textId="2A320B4D"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34.5</w:t>
            </w:r>
          </w:p>
        </w:tc>
        <w:tc>
          <w:tcPr>
            <w:tcW w:w="78" w:type="pct"/>
            <w:tcBorders>
              <w:top w:val="nil"/>
              <w:left w:val="nil"/>
              <w:right w:val="nil"/>
            </w:tcBorders>
            <w:shd w:val="clear" w:color="auto" w:fill="auto"/>
            <w:noWrap/>
            <w:vAlign w:val="bottom"/>
            <w:hideMark/>
          </w:tcPr>
          <w:p w14:paraId="2E904D4E" w14:textId="79A85524"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266" w:type="pct"/>
            <w:tcBorders>
              <w:top w:val="nil"/>
              <w:left w:val="nil"/>
              <w:right w:val="nil"/>
            </w:tcBorders>
            <w:shd w:val="clear" w:color="auto" w:fill="auto"/>
            <w:noWrap/>
            <w:vAlign w:val="bottom"/>
            <w:hideMark/>
          </w:tcPr>
          <w:p w14:paraId="70F272D7" w14:textId="252E6EC6"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44.3</w:t>
            </w:r>
          </w:p>
        </w:tc>
        <w:tc>
          <w:tcPr>
            <w:tcW w:w="336" w:type="pct"/>
            <w:tcBorders>
              <w:top w:val="nil"/>
              <w:left w:val="nil"/>
              <w:right w:val="nil"/>
            </w:tcBorders>
            <w:shd w:val="clear" w:color="auto" w:fill="auto"/>
            <w:noWrap/>
            <w:vAlign w:val="bottom"/>
            <w:hideMark/>
          </w:tcPr>
          <w:p w14:paraId="202C8337" w14:textId="502DF278"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35.7</w:t>
            </w:r>
          </w:p>
        </w:tc>
      </w:tr>
      <w:tr w:rsidR="005E43D6" w:rsidRPr="0025595F" w14:paraId="19FA013A" w14:textId="77777777" w:rsidTr="000D75B4">
        <w:trPr>
          <w:trHeight w:val="227"/>
        </w:trPr>
        <w:tc>
          <w:tcPr>
            <w:tcW w:w="2040" w:type="pct"/>
            <w:tcBorders>
              <w:top w:val="nil"/>
              <w:left w:val="nil"/>
              <w:bottom w:val="single" w:sz="12" w:space="0" w:color="auto"/>
              <w:right w:val="nil"/>
            </w:tcBorders>
            <w:shd w:val="clear" w:color="auto" w:fill="auto"/>
            <w:noWrap/>
            <w:vAlign w:val="center"/>
            <w:hideMark/>
          </w:tcPr>
          <w:p w14:paraId="6C7FA746" w14:textId="24660E82" w:rsidR="005E43D6" w:rsidRPr="00A44B8F" w:rsidRDefault="005E43D6" w:rsidP="005E43D6">
            <w:pPr>
              <w:spacing w:after="0" w:line="276" w:lineRule="auto"/>
              <w:rPr>
                <w:rFonts w:ascii="Arial" w:eastAsia="Times New Roman" w:hAnsi="Arial" w:cs="Arial"/>
                <w:i/>
                <w:iCs/>
                <w:sz w:val="16"/>
                <w:szCs w:val="16"/>
                <w:lang w:eastAsia="en-AU"/>
              </w:rPr>
            </w:pPr>
            <w:r w:rsidRPr="00A44B8F">
              <w:rPr>
                <w:rFonts w:ascii="Arial" w:eastAsia="Times New Roman" w:hAnsi="Arial" w:cs="Arial"/>
                <w:i/>
                <w:iCs/>
                <w:sz w:val="16"/>
                <w:szCs w:val="16"/>
                <w:lang w:eastAsia="en-AU"/>
              </w:rPr>
              <w:t xml:space="preserve">Live </w:t>
            </w:r>
            <w:r>
              <w:rPr>
                <w:rFonts w:ascii="Arial" w:eastAsia="Times New Roman" w:hAnsi="Arial" w:cs="Arial"/>
                <w:i/>
                <w:iCs/>
                <w:sz w:val="16"/>
                <w:szCs w:val="16"/>
                <w:lang w:eastAsia="en-AU"/>
              </w:rPr>
              <w:t>births</w:t>
            </w:r>
            <w:r w:rsidRPr="00A44B8F">
              <w:rPr>
                <w:rFonts w:ascii="Arial" w:eastAsia="Times New Roman" w:hAnsi="Arial" w:cs="Arial"/>
                <w:i/>
                <w:iCs/>
                <w:sz w:val="16"/>
                <w:szCs w:val="16"/>
                <w:lang w:eastAsia="en-AU"/>
              </w:rPr>
              <w:t xml:space="preserve"> per embryo transfer cycle (%)</w:t>
            </w:r>
          </w:p>
        </w:tc>
        <w:tc>
          <w:tcPr>
            <w:tcW w:w="395" w:type="pct"/>
            <w:tcBorders>
              <w:top w:val="nil"/>
              <w:left w:val="nil"/>
              <w:bottom w:val="single" w:sz="12" w:space="0" w:color="auto"/>
              <w:right w:val="nil"/>
            </w:tcBorders>
            <w:shd w:val="clear" w:color="auto" w:fill="auto"/>
            <w:noWrap/>
            <w:vAlign w:val="bottom"/>
            <w:hideMark/>
          </w:tcPr>
          <w:p w14:paraId="78411AFE" w14:textId="07B3B3DB" w:rsidR="005E43D6" w:rsidRPr="005458F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40.9</w:t>
            </w:r>
          </w:p>
        </w:tc>
        <w:tc>
          <w:tcPr>
            <w:tcW w:w="314" w:type="pct"/>
            <w:tcBorders>
              <w:top w:val="nil"/>
              <w:left w:val="nil"/>
              <w:bottom w:val="single" w:sz="12" w:space="0" w:color="auto"/>
              <w:right w:val="nil"/>
            </w:tcBorders>
            <w:shd w:val="clear" w:color="auto" w:fill="auto"/>
            <w:noWrap/>
            <w:vAlign w:val="bottom"/>
            <w:hideMark/>
          </w:tcPr>
          <w:p w14:paraId="74B57822" w14:textId="015D3DE5" w:rsidR="005E43D6" w:rsidRPr="009F3F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33.3</w:t>
            </w:r>
          </w:p>
        </w:tc>
        <w:tc>
          <w:tcPr>
            <w:tcW w:w="78" w:type="pct"/>
            <w:tcBorders>
              <w:top w:val="nil"/>
              <w:left w:val="nil"/>
              <w:bottom w:val="single" w:sz="12" w:space="0" w:color="auto"/>
              <w:right w:val="nil"/>
            </w:tcBorders>
            <w:shd w:val="clear" w:color="auto" w:fill="auto"/>
            <w:noWrap/>
            <w:vAlign w:val="bottom"/>
            <w:hideMark/>
          </w:tcPr>
          <w:p w14:paraId="70CEA5E9" w14:textId="002ABDA2"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14" w:type="pct"/>
            <w:tcBorders>
              <w:top w:val="nil"/>
              <w:left w:val="nil"/>
              <w:bottom w:val="single" w:sz="12" w:space="0" w:color="auto"/>
              <w:right w:val="nil"/>
            </w:tcBorders>
            <w:shd w:val="clear" w:color="auto" w:fill="auto"/>
            <w:noWrap/>
            <w:vAlign w:val="bottom"/>
            <w:hideMark/>
          </w:tcPr>
          <w:p w14:paraId="42BFDBB2" w14:textId="399881A4" w:rsidR="005E43D6" w:rsidRPr="009F3F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32.9</w:t>
            </w:r>
          </w:p>
        </w:tc>
        <w:tc>
          <w:tcPr>
            <w:tcW w:w="393" w:type="pct"/>
            <w:tcBorders>
              <w:top w:val="nil"/>
              <w:left w:val="nil"/>
              <w:bottom w:val="single" w:sz="12" w:space="0" w:color="auto"/>
              <w:right w:val="nil"/>
            </w:tcBorders>
            <w:shd w:val="clear" w:color="auto" w:fill="auto"/>
            <w:noWrap/>
            <w:vAlign w:val="bottom"/>
            <w:hideMark/>
          </w:tcPr>
          <w:p w14:paraId="555C25D6" w14:textId="11824337" w:rsidR="005E43D6" w:rsidRPr="009F3FF2"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29.7</w:t>
            </w:r>
          </w:p>
        </w:tc>
        <w:tc>
          <w:tcPr>
            <w:tcW w:w="79" w:type="pct"/>
            <w:tcBorders>
              <w:top w:val="nil"/>
              <w:left w:val="nil"/>
              <w:bottom w:val="single" w:sz="12" w:space="0" w:color="auto"/>
              <w:right w:val="nil"/>
            </w:tcBorders>
            <w:shd w:val="clear" w:color="auto" w:fill="auto"/>
            <w:noWrap/>
            <w:vAlign w:val="bottom"/>
            <w:hideMark/>
          </w:tcPr>
          <w:p w14:paraId="4B246B57" w14:textId="452615A0" w:rsidR="005E43D6" w:rsidRPr="009F3FF2"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14" w:type="pct"/>
            <w:tcBorders>
              <w:top w:val="nil"/>
              <w:left w:val="nil"/>
              <w:bottom w:val="single" w:sz="12" w:space="0" w:color="auto"/>
              <w:right w:val="nil"/>
            </w:tcBorders>
            <w:shd w:val="clear" w:color="auto" w:fill="auto"/>
            <w:noWrap/>
            <w:vAlign w:val="bottom"/>
            <w:hideMark/>
          </w:tcPr>
          <w:p w14:paraId="4F36D853" w14:textId="59B65C26"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24.5</w:t>
            </w:r>
          </w:p>
        </w:tc>
        <w:tc>
          <w:tcPr>
            <w:tcW w:w="393" w:type="pct"/>
            <w:tcBorders>
              <w:top w:val="nil"/>
              <w:left w:val="nil"/>
              <w:bottom w:val="single" w:sz="12" w:space="0" w:color="auto"/>
              <w:right w:val="nil"/>
            </w:tcBorders>
            <w:shd w:val="clear" w:color="auto" w:fill="auto"/>
            <w:noWrap/>
            <w:vAlign w:val="bottom"/>
            <w:hideMark/>
          </w:tcPr>
          <w:p w14:paraId="0615BB54" w14:textId="6805C1F5"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20.7</w:t>
            </w:r>
          </w:p>
        </w:tc>
        <w:tc>
          <w:tcPr>
            <w:tcW w:w="78" w:type="pct"/>
            <w:tcBorders>
              <w:top w:val="nil"/>
              <w:left w:val="nil"/>
              <w:bottom w:val="single" w:sz="12" w:space="0" w:color="auto"/>
              <w:right w:val="nil"/>
            </w:tcBorders>
            <w:shd w:val="clear" w:color="auto" w:fill="auto"/>
            <w:noWrap/>
            <w:vAlign w:val="bottom"/>
            <w:hideMark/>
          </w:tcPr>
          <w:p w14:paraId="0AC02A75" w14:textId="6CD3A08F"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266" w:type="pct"/>
            <w:tcBorders>
              <w:top w:val="nil"/>
              <w:left w:val="nil"/>
              <w:bottom w:val="single" w:sz="12" w:space="0" w:color="auto"/>
              <w:right w:val="nil"/>
            </w:tcBorders>
            <w:shd w:val="clear" w:color="auto" w:fill="auto"/>
            <w:noWrap/>
            <w:vAlign w:val="bottom"/>
            <w:hideMark/>
          </w:tcPr>
          <w:p w14:paraId="0929930A" w14:textId="75197490"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35.1</w:t>
            </w:r>
          </w:p>
        </w:tc>
        <w:tc>
          <w:tcPr>
            <w:tcW w:w="336" w:type="pct"/>
            <w:tcBorders>
              <w:top w:val="nil"/>
              <w:left w:val="nil"/>
              <w:bottom w:val="single" w:sz="12" w:space="0" w:color="auto"/>
              <w:right w:val="nil"/>
            </w:tcBorders>
            <w:shd w:val="clear" w:color="auto" w:fill="auto"/>
            <w:noWrap/>
            <w:vAlign w:val="bottom"/>
            <w:hideMark/>
          </w:tcPr>
          <w:p w14:paraId="1AFA9384" w14:textId="5F3D1DCD"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27.4</w:t>
            </w:r>
          </w:p>
        </w:tc>
      </w:tr>
    </w:tbl>
    <w:p w14:paraId="5510F9B5" w14:textId="77777777" w:rsidR="009303CD" w:rsidRPr="00617599" w:rsidRDefault="009303CD" w:rsidP="00814AD1">
      <w:pPr>
        <w:pStyle w:val="TableSourcefootnotes"/>
        <w:numPr>
          <w:ilvl w:val="0"/>
          <w:numId w:val="9"/>
        </w:numPr>
        <w:spacing w:before="0" w:after="0" w:line="240" w:lineRule="auto"/>
        <w:ind w:left="391" w:hanging="391"/>
        <w:rPr>
          <w:rFonts w:cs="Arial"/>
        </w:rPr>
      </w:pPr>
      <w:r w:rsidRPr="00617599">
        <w:rPr>
          <w:rFonts w:cs="Arial"/>
        </w:rPr>
        <w:t>Age at start of a treatment cycle.</w:t>
      </w:r>
    </w:p>
    <w:p w14:paraId="074880F4" w14:textId="77777777" w:rsidR="009303CD" w:rsidRPr="00617599" w:rsidRDefault="009303CD" w:rsidP="00814AD1">
      <w:pPr>
        <w:pStyle w:val="TableSourcefootnotes"/>
        <w:numPr>
          <w:ilvl w:val="0"/>
          <w:numId w:val="9"/>
        </w:numPr>
        <w:spacing w:before="0" w:after="0" w:line="240" w:lineRule="auto"/>
        <w:ind w:left="391" w:hanging="391"/>
        <w:rPr>
          <w:rFonts w:cs="Arial"/>
        </w:rPr>
      </w:pPr>
      <w:r w:rsidRPr="00617599">
        <w:rPr>
          <w:rFonts w:cs="Arial"/>
        </w:rPr>
        <w:t>SET: single embryo transfer.</w:t>
      </w:r>
    </w:p>
    <w:p w14:paraId="0387CF36" w14:textId="77777777" w:rsidR="009303CD" w:rsidRDefault="009303CD" w:rsidP="00814AD1">
      <w:pPr>
        <w:pStyle w:val="TableSourcefootnotes"/>
        <w:numPr>
          <w:ilvl w:val="0"/>
          <w:numId w:val="9"/>
        </w:numPr>
        <w:spacing w:before="0" w:after="0" w:line="240" w:lineRule="auto"/>
        <w:ind w:left="391" w:hanging="391"/>
        <w:rPr>
          <w:rFonts w:cs="Arial"/>
        </w:rPr>
      </w:pPr>
      <w:r w:rsidRPr="00617599">
        <w:rPr>
          <w:rFonts w:cs="Arial"/>
        </w:rPr>
        <w:t>DET: double embryo transfer.</w:t>
      </w:r>
    </w:p>
    <w:p w14:paraId="01F0B99F" w14:textId="77777777" w:rsidR="00445A30" w:rsidRDefault="00445A30">
      <w:pPr>
        <w:spacing w:after="160" w:line="259" w:lineRule="auto"/>
        <w:rPr>
          <w:rFonts w:ascii="Arial" w:eastAsia="Times New Roman" w:hAnsi="Arial" w:cs="Arial"/>
          <w:b/>
          <w:bCs/>
          <w:sz w:val="28"/>
        </w:rPr>
      </w:pPr>
      <w:bookmarkStart w:id="291" w:name="_Toc453061472"/>
      <w:bookmarkStart w:id="292" w:name="_Toc453059069"/>
      <w:bookmarkStart w:id="293" w:name="_Toc453057399"/>
      <w:bookmarkStart w:id="294" w:name="_Toc453055614"/>
      <w:bookmarkStart w:id="295" w:name="_Toc453054840"/>
      <w:r>
        <w:rPr>
          <w:rFonts w:eastAsia="Times New Roman" w:cs="Arial"/>
        </w:rPr>
        <w:br w:type="page"/>
      </w:r>
    </w:p>
    <w:p w14:paraId="0C24F16F" w14:textId="1D76844B" w:rsidR="009303CD" w:rsidRPr="00617599" w:rsidRDefault="009303CD" w:rsidP="009303CD">
      <w:pPr>
        <w:pStyle w:val="Heading3"/>
        <w:rPr>
          <w:rFonts w:eastAsia="Times New Roman" w:cs="Arial"/>
        </w:rPr>
      </w:pPr>
      <w:r w:rsidRPr="00617599">
        <w:rPr>
          <w:rFonts w:eastAsia="Times New Roman" w:cs="Arial"/>
        </w:rPr>
        <w:lastRenderedPageBreak/>
        <w:t xml:space="preserve">Clinical pregnancies and live </w:t>
      </w:r>
      <w:r w:rsidR="00C736CE">
        <w:rPr>
          <w:rFonts w:eastAsia="Times New Roman" w:cs="Arial"/>
        </w:rPr>
        <w:t>births</w:t>
      </w:r>
      <w:r w:rsidRPr="00617599">
        <w:rPr>
          <w:rFonts w:eastAsia="Times New Roman" w:cs="Arial"/>
        </w:rPr>
        <w:t xml:space="preserve"> by stage of embryo development from autologous thaw cycles</w:t>
      </w:r>
      <w:bookmarkEnd w:id="291"/>
      <w:bookmarkEnd w:id="292"/>
      <w:bookmarkEnd w:id="293"/>
      <w:bookmarkEnd w:id="294"/>
      <w:bookmarkEnd w:id="295"/>
    </w:p>
    <w:p w14:paraId="004EE640" w14:textId="38B94468" w:rsidR="009303CD" w:rsidRDefault="00312B35" w:rsidP="009303CD">
      <w:pPr>
        <w:pStyle w:val="NPESUbodytext"/>
        <w:rPr>
          <w:rFonts w:cs="Arial"/>
          <w:lang w:eastAsia="en-AU"/>
        </w:rPr>
      </w:pPr>
      <w:r>
        <w:rPr>
          <w:rFonts w:cs="Arial"/>
          <w:lang w:eastAsia="en-AU"/>
        </w:rPr>
        <w:t xml:space="preserve">The </w:t>
      </w:r>
      <w:r w:rsidR="009303CD" w:rsidRPr="00617599">
        <w:rPr>
          <w:rFonts w:cs="Arial"/>
          <w:lang w:eastAsia="en-AU"/>
        </w:rPr>
        <w:t xml:space="preserve">live </w:t>
      </w:r>
      <w:r w:rsidR="00EC42AE">
        <w:rPr>
          <w:rFonts w:cs="Arial"/>
          <w:lang w:eastAsia="en-AU"/>
        </w:rPr>
        <w:t>birth</w:t>
      </w:r>
      <w:r w:rsidR="009303CD" w:rsidRPr="00617599">
        <w:rPr>
          <w:rFonts w:cs="Arial"/>
          <w:lang w:eastAsia="en-AU"/>
        </w:rPr>
        <w:t xml:space="preserve"> </w:t>
      </w:r>
      <w:r>
        <w:rPr>
          <w:rFonts w:cs="Arial"/>
          <w:lang w:eastAsia="en-AU"/>
        </w:rPr>
        <w:t xml:space="preserve">rate </w:t>
      </w:r>
      <w:r w:rsidR="009303CD" w:rsidRPr="00617599">
        <w:rPr>
          <w:rFonts w:cs="Arial"/>
          <w:lang w:eastAsia="en-AU"/>
        </w:rPr>
        <w:t>w</w:t>
      </w:r>
      <w:r>
        <w:rPr>
          <w:rFonts w:cs="Arial"/>
          <w:lang w:eastAsia="en-AU"/>
        </w:rPr>
        <w:t>as</w:t>
      </w:r>
      <w:r w:rsidR="009303CD" w:rsidRPr="00617599">
        <w:rPr>
          <w:rFonts w:cs="Arial"/>
          <w:lang w:eastAsia="en-AU"/>
        </w:rPr>
        <w:t xml:space="preserve"> higher for blastocyst transfer cycles than for cleavage stage embryo transfer cycles </w:t>
      </w:r>
      <w:r w:rsidR="00F226A8">
        <w:rPr>
          <w:rFonts w:cs="Arial"/>
          <w:lang w:eastAsia="en-AU"/>
        </w:rPr>
        <w:t>regardless of a woman’s age</w:t>
      </w:r>
      <w:r w:rsidR="009303CD" w:rsidRPr="00617599">
        <w:rPr>
          <w:rFonts w:cs="Arial"/>
          <w:lang w:eastAsia="en-AU"/>
        </w:rPr>
        <w:t xml:space="preserve">. </w:t>
      </w:r>
      <w:r w:rsidR="004315CE">
        <w:rPr>
          <w:rFonts w:cs="Arial"/>
          <w:lang w:eastAsia="en-AU"/>
        </w:rPr>
        <w:t>Overall, t</w:t>
      </w:r>
      <w:r w:rsidR="009303CD" w:rsidRPr="00BC1AEB">
        <w:rPr>
          <w:rFonts w:cs="Arial"/>
          <w:lang w:eastAsia="en-AU"/>
        </w:rPr>
        <w:t xml:space="preserve">he rate of live </w:t>
      </w:r>
      <w:r w:rsidR="00EC42AE">
        <w:rPr>
          <w:rFonts w:cs="Arial"/>
          <w:lang w:eastAsia="en-AU"/>
        </w:rPr>
        <w:t>birth</w:t>
      </w:r>
      <w:r w:rsidR="009303CD" w:rsidRPr="00BC1AEB">
        <w:rPr>
          <w:rFonts w:cs="Arial"/>
          <w:lang w:eastAsia="en-AU"/>
        </w:rPr>
        <w:t xml:space="preserve"> for blastocyst transfer cycles</w:t>
      </w:r>
      <w:r w:rsidR="006F1DA9">
        <w:rPr>
          <w:rFonts w:cs="Arial"/>
          <w:lang w:eastAsia="en-AU"/>
        </w:rPr>
        <w:t xml:space="preserve"> (</w:t>
      </w:r>
      <w:r w:rsidR="00A1240A">
        <w:rPr>
          <w:rFonts w:cs="Arial"/>
          <w:lang w:eastAsia="en-AU"/>
        </w:rPr>
        <w:t>35.</w:t>
      </w:r>
      <w:r w:rsidR="00F226A8">
        <w:rPr>
          <w:rFonts w:cs="Arial"/>
          <w:lang w:eastAsia="en-AU"/>
        </w:rPr>
        <w:t>1</w:t>
      </w:r>
      <w:r w:rsidR="006F1DA9">
        <w:rPr>
          <w:rFonts w:cs="Arial"/>
          <w:lang w:eastAsia="en-AU"/>
        </w:rPr>
        <w:t>%)</w:t>
      </w:r>
      <w:r w:rsidR="009303CD" w:rsidRPr="00BC1AEB">
        <w:rPr>
          <w:rFonts w:cs="Arial"/>
          <w:lang w:eastAsia="en-AU"/>
        </w:rPr>
        <w:t xml:space="preserve"> was </w:t>
      </w:r>
      <w:r w:rsidR="00F226A8">
        <w:rPr>
          <w:rFonts w:cs="Arial"/>
          <w:lang w:eastAsia="en-AU"/>
        </w:rPr>
        <w:t>25</w:t>
      </w:r>
      <w:r w:rsidR="003D264A" w:rsidRPr="00BC1AEB">
        <w:rPr>
          <w:rFonts w:cs="Arial"/>
          <w:lang w:eastAsia="en-AU"/>
        </w:rPr>
        <w:t xml:space="preserve"> </w:t>
      </w:r>
      <w:r w:rsidR="009303CD" w:rsidRPr="00BC1AEB">
        <w:rPr>
          <w:rFonts w:cs="Arial"/>
          <w:lang w:eastAsia="en-AU"/>
        </w:rPr>
        <w:t>percentage points higher than for cleavage stage embryo transfer cycles</w:t>
      </w:r>
      <w:r w:rsidR="006F1DA9">
        <w:rPr>
          <w:rFonts w:cs="Arial"/>
          <w:lang w:eastAsia="en-AU"/>
        </w:rPr>
        <w:t xml:space="preserve"> (</w:t>
      </w:r>
      <w:r w:rsidR="00F226A8">
        <w:rPr>
          <w:rFonts w:cs="Arial"/>
          <w:lang w:eastAsia="en-AU"/>
        </w:rPr>
        <w:t>10</w:t>
      </w:r>
      <w:r w:rsidR="006F1DA9">
        <w:rPr>
          <w:rFonts w:cs="Arial"/>
          <w:lang w:eastAsia="en-AU"/>
        </w:rPr>
        <w:t>%)</w:t>
      </w:r>
      <w:r w:rsidR="009303CD" w:rsidRPr="00BC1AEB">
        <w:rPr>
          <w:rFonts w:cs="Arial"/>
          <w:lang w:eastAsia="en-AU"/>
        </w:rPr>
        <w:t xml:space="preserve"> (Table 1</w:t>
      </w:r>
      <w:r w:rsidR="00F24826">
        <w:rPr>
          <w:rFonts w:cs="Arial"/>
          <w:lang w:eastAsia="en-AU"/>
        </w:rPr>
        <w:t>6</w:t>
      </w:r>
      <w:r w:rsidR="009303CD" w:rsidRPr="00BC1AEB">
        <w:rPr>
          <w:rFonts w:cs="Arial"/>
          <w:lang w:eastAsia="en-AU"/>
        </w:rPr>
        <w:t>).</w:t>
      </w:r>
    </w:p>
    <w:tbl>
      <w:tblPr>
        <w:tblW w:w="5022" w:type="pct"/>
        <w:tblCellMar>
          <w:top w:w="15" w:type="dxa"/>
          <w:left w:w="15" w:type="dxa"/>
          <w:bottom w:w="15" w:type="dxa"/>
          <w:right w:w="15" w:type="dxa"/>
        </w:tblCellMar>
        <w:tblLook w:val="04A0" w:firstRow="1" w:lastRow="0" w:firstColumn="1" w:lastColumn="0" w:noHBand="0" w:noVBand="1"/>
      </w:tblPr>
      <w:tblGrid>
        <w:gridCol w:w="3850"/>
        <w:gridCol w:w="619"/>
        <w:gridCol w:w="634"/>
        <w:gridCol w:w="84"/>
        <w:gridCol w:w="616"/>
        <w:gridCol w:w="618"/>
        <w:gridCol w:w="83"/>
        <w:gridCol w:w="616"/>
        <w:gridCol w:w="618"/>
        <w:gridCol w:w="83"/>
        <w:gridCol w:w="616"/>
        <w:gridCol w:w="629"/>
      </w:tblGrid>
      <w:tr w:rsidR="00E071E4" w:rsidRPr="00A44B8F" w14:paraId="373A8CAA" w14:textId="77777777" w:rsidTr="00E071E4">
        <w:trPr>
          <w:tblHeader/>
        </w:trPr>
        <w:tc>
          <w:tcPr>
            <w:tcW w:w="5000" w:type="pct"/>
            <w:gridSpan w:val="12"/>
            <w:tcBorders>
              <w:bottom w:val="single" w:sz="12" w:space="0" w:color="auto"/>
            </w:tcBorders>
            <w:shd w:val="clear" w:color="auto" w:fill="auto"/>
            <w:tcMar>
              <w:top w:w="0" w:type="dxa"/>
              <w:left w:w="0" w:type="dxa"/>
              <w:bottom w:w="0" w:type="dxa"/>
              <w:right w:w="0" w:type="dxa"/>
            </w:tcMar>
            <w:vAlign w:val="center"/>
            <w:hideMark/>
          </w:tcPr>
          <w:p w14:paraId="1BAC2CAC" w14:textId="7BF786F8" w:rsidR="00E071E4" w:rsidRPr="00E071E4" w:rsidRDefault="00E071E4" w:rsidP="00CC6C74">
            <w:pPr>
              <w:pStyle w:val="Caption"/>
              <w:rPr>
                <w:rFonts w:eastAsia="Times New Roman"/>
                <w:lang w:eastAsia="en-AU"/>
              </w:rPr>
            </w:pPr>
            <w:bookmarkStart w:id="296" w:name="_Toc158026565"/>
            <w:r w:rsidRPr="00CC6C74">
              <w:rPr>
                <w:rFonts w:eastAsia="Times New Roman"/>
                <w:lang w:eastAsia="en-AU"/>
              </w:rPr>
              <w:t>Table 1</w:t>
            </w:r>
            <w:r w:rsidR="00F400A5">
              <w:rPr>
                <w:rFonts w:eastAsia="Times New Roman"/>
                <w:lang w:eastAsia="en-AU"/>
              </w:rPr>
              <w:t>6</w:t>
            </w:r>
            <w:r w:rsidRPr="00CC6C74">
              <w:rPr>
                <w:rFonts w:eastAsia="Times New Roman"/>
                <w:lang w:eastAsia="en-AU"/>
              </w:rPr>
              <w:t xml:space="preserve">: Outcomes of autologous thaw embryo transfer cycles by women’s age and stage of embryo development, </w:t>
            </w:r>
            <w:r w:rsidR="00A501CE">
              <w:rPr>
                <w:rFonts w:eastAsia="Times New Roman"/>
                <w:lang w:eastAsia="en-AU"/>
              </w:rPr>
              <w:t>New Zealand, 20</w:t>
            </w:r>
            <w:r w:rsidR="00A1240A">
              <w:rPr>
                <w:rFonts w:eastAsia="Times New Roman"/>
                <w:lang w:eastAsia="en-AU"/>
              </w:rPr>
              <w:t>2</w:t>
            </w:r>
            <w:r w:rsidR="005E43D6">
              <w:rPr>
                <w:rFonts w:eastAsia="Times New Roman"/>
                <w:lang w:eastAsia="en-AU"/>
              </w:rPr>
              <w:t>1</w:t>
            </w:r>
            <w:bookmarkEnd w:id="296"/>
            <w:r w:rsidR="00A501CE">
              <w:rPr>
                <w:rFonts w:eastAsia="Times New Roman"/>
                <w:lang w:eastAsia="en-AU"/>
              </w:rPr>
              <w:t xml:space="preserve"> </w:t>
            </w:r>
          </w:p>
        </w:tc>
      </w:tr>
      <w:tr w:rsidR="00E071E4" w:rsidRPr="00A44B8F" w14:paraId="3F8EA6D8" w14:textId="77777777" w:rsidTr="005458F3">
        <w:tblPrEx>
          <w:tblCellMar>
            <w:left w:w="17" w:type="dxa"/>
            <w:right w:w="17" w:type="dxa"/>
          </w:tblCellMar>
        </w:tblPrEx>
        <w:trPr>
          <w:trHeight w:val="227"/>
        </w:trPr>
        <w:tc>
          <w:tcPr>
            <w:tcW w:w="2123" w:type="pct"/>
            <w:tcBorders>
              <w:top w:val="nil"/>
              <w:left w:val="nil"/>
              <w:bottom w:val="nil"/>
              <w:right w:val="nil"/>
            </w:tcBorders>
            <w:shd w:val="clear" w:color="auto" w:fill="auto"/>
            <w:noWrap/>
            <w:vAlign w:val="center"/>
            <w:hideMark/>
          </w:tcPr>
          <w:p w14:paraId="5C3328DA" w14:textId="77777777" w:rsidR="00E071E4" w:rsidRPr="00A44B8F" w:rsidRDefault="00E071E4" w:rsidP="00360E75">
            <w:pPr>
              <w:spacing w:after="0" w:line="276" w:lineRule="auto"/>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2877" w:type="pct"/>
            <w:gridSpan w:val="11"/>
            <w:tcBorders>
              <w:top w:val="single" w:sz="8" w:space="0" w:color="auto"/>
              <w:left w:val="nil"/>
              <w:bottom w:val="single" w:sz="4" w:space="0" w:color="auto"/>
              <w:right w:val="nil"/>
            </w:tcBorders>
            <w:shd w:val="clear" w:color="auto" w:fill="auto"/>
            <w:noWrap/>
            <w:vAlign w:val="center"/>
            <w:hideMark/>
          </w:tcPr>
          <w:p w14:paraId="31B31DE5" w14:textId="77777777" w:rsidR="00E071E4" w:rsidRPr="00A44B8F" w:rsidRDefault="00E071E4"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Age group (years)</w:t>
            </w:r>
            <w:r w:rsidRPr="00617599">
              <w:rPr>
                <w:rFonts w:ascii="Arial" w:eastAsia="Times New Roman" w:hAnsi="Arial" w:cs="Arial"/>
                <w:b/>
                <w:bCs/>
                <w:sz w:val="16"/>
                <w:szCs w:val="16"/>
                <w:vertAlign w:val="superscript"/>
                <w:lang w:eastAsia="en-AU"/>
              </w:rPr>
              <w:t xml:space="preserve"> (a)</w:t>
            </w:r>
          </w:p>
        </w:tc>
      </w:tr>
      <w:tr w:rsidR="00E071E4" w:rsidRPr="00A44B8F" w14:paraId="54EC68E9" w14:textId="77777777" w:rsidTr="005E43D6">
        <w:tblPrEx>
          <w:tblCellMar>
            <w:left w:w="17" w:type="dxa"/>
            <w:right w:w="17" w:type="dxa"/>
          </w:tblCellMar>
        </w:tblPrEx>
        <w:trPr>
          <w:trHeight w:val="227"/>
        </w:trPr>
        <w:tc>
          <w:tcPr>
            <w:tcW w:w="2123" w:type="pct"/>
            <w:tcBorders>
              <w:top w:val="nil"/>
              <w:left w:val="nil"/>
              <w:bottom w:val="nil"/>
              <w:right w:val="nil"/>
            </w:tcBorders>
            <w:shd w:val="clear" w:color="auto" w:fill="auto"/>
            <w:noWrap/>
            <w:vAlign w:val="center"/>
            <w:hideMark/>
          </w:tcPr>
          <w:p w14:paraId="5EA37F57" w14:textId="77777777" w:rsidR="00E071E4" w:rsidRPr="00A44B8F" w:rsidRDefault="00E071E4" w:rsidP="00360E75">
            <w:pPr>
              <w:spacing w:after="0" w:line="276" w:lineRule="auto"/>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690" w:type="pct"/>
            <w:gridSpan w:val="2"/>
            <w:tcBorders>
              <w:top w:val="single" w:sz="4" w:space="0" w:color="auto"/>
              <w:left w:val="nil"/>
              <w:bottom w:val="single" w:sz="4" w:space="0" w:color="auto"/>
              <w:right w:val="nil"/>
            </w:tcBorders>
            <w:shd w:val="clear" w:color="auto" w:fill="auto"/>
            <w:noWrap/>
            <w:vAlign w:val="center"/>
            <w:hideMark/>
          </w:tcPr>
          <w:p w14:paraId="41590266" w14:textId="77777777" w:rsidR="00E071E4" w:rsidRPr="00A44B8F" w:rsidRDefault="00E071E4"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&lt;35</w:t>
            </w:r>
          </w:p>
        </w:tc>
        <w:tc>
          <w:tcPr>
            <w:tcW w:w="46" w:type="pct"/>
            <w:tcBorders>
              <w:top w:val="nil"/>
              <w:left w:val="nil"/>
              <w:bottom w:val="nil"/>
              <w:right w:val="nil"/>
            </w:tcBorders>
            <w:shd w:val="clear" w:color="auto" w:fill="auto"/>
            <w:noWrap/>
            <w:vAlign w:val="center"/>
            <w:hideMark/>
          </w:tcPr>
          <w:p w14:paraId="0EBDDC13" w14:textId="77777777" w:rsidR="00E071E4" w:rsidRPr="00A44B8F" w:rsidRDefault="00E071E4"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681" w:type="pct"/>
            <w:gridSpan w:val="2"/>
            <w:tcBorders>
              <w:top w:val="single" w:sz="4" w:space="0" w:color="auto"/>
              <w:left w:val="nil"/>
              <w:bottom w:val="single" w:sz="4" w:space="0" w:color="auto"/>
              <w:right w:val="nil"/>
            </w:tcBorders>
            <w:shd w:val="clear" w:color="auto" w:fill="auto"/>
            <w:vAlign w:val="center"/>
            <w:hideMark/>
          </w:tcPr>
          <w:p w14:paraId="24B0704A" w14:textId="77777777" w:rsidR="00E071E4" w:rsidRPr="00A44B8F" w:rsidRDefault="00E071E4"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35-39</w:t>
            </w:r>
          </w:p>
        </w:tc>
        <w:tc>
          <w:tcPr>
            <w:tcW w:w="46" w:type="pct"/>
            <w:tcBorders>
              <w:top w:val="nil"/>
              <w:left w:val="nil"/>
              <w:bottom w:val="nil"/>
              <w:right w:val="nil"/>
            </w:tcBorders>
            <w:shd w:val="clear" w:color="auto" w:fill="auto"/>
            <w:noWrap/>
            <w:vAlign w:val="center"/>
            <w:hideMark/>
          </w:tcPr>
          <w:p w14:paraId="1FD080E1" w14:textId="77777777" w:rsidR="00E071E4" w:rsidRPr="00A44B8F" w:rsidRDefault="00E071E4"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681" w:type="pct"/>
            <w:gridSpan w:val="2"/>
            <w:tcBorders>
              <w:top w:val="single" w:sz="4" w:space="0" w:color="auto"/>
              <w:left w:val="nil"/>
              <w:bottom w:val="single" w:sz="4" w:space="0" w:color="auto"/>
              <w:right w:val="nil"/>
            </w:tcBorders>
            <w:shd w:val="clear" w:color="auto" w:fill="auto"/>
            <w:noWrap/>
            <w:vAlign w:val="center"/>
            <w:hideMark/>
          </w:tcPr>
          <w:p w14:paraId="1CED01D8" w14:textId="0F275950" w:rsidR="00E071E4" w:rsidRPr="00A44B8F" w:rsidRDefault="00E071E4"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w:t>
            </w:r>
            <w:r w:rsidR="009F3A27">
              <w:rPr>
                <w:rFonts w:ascii="Arial" w:eastAsia="Times New Roman" w:hAnsi="Arial" w:cs="Arial"/>
                <w:b/>
                <w:bCs/>
                <w:color w:val="000000"/>
                <w:sz w:val="16"/>
                <w:szCs w:val="16"/>
                <w:lang w:eastAsia="en-AU"/>
              </w:rPr>
              <w:t xml:space="preserve"> </w:t>
            </w:r>
            <w:r w:rsidRPr="00A44B8F">
              <w:rPr>
                <w:rFonts w:ascii="Arial" w:eastAsia="Times New Roman" w:hAnsi="Arial" w:cs="Arial"/>
                <w:b/>
                <w:bCs/>
                <w:color w:val="000000"/>
                <w:sz w:val="16"/>
                <w:szCs w:val="16"/>
                <w:lang w:eastAsia="en-AU"/>
              </w:rPr>
              <w:t>40</w:t>
            </w:r>
          </w:p>
        </w:tc>
        <w:tc>
          <w:tcPr>
            <w:tcW w:w="46" w:type="pct"/>
            <w:tcBorders>
              <w:top w:val="nil"/>
              <w:left w:val="nil"/>
              <w:bottom w:val="nil"/>
              <w:right w:val="nil"/>
            </w:tcBorders>
            <w:shd w:val="clear" w:color="auto" w:fill="auto"/>
            <w:noWrap/>
            <w:vAlign w:val="center"/>
            <w:hideMark/>
          </w:tcPr>
          <w:p w14:paraId="4B6C8798" w14:textId="77777777" w:rsidR="00E071E4" w:rsidRPr="00A44B8F" w:rsidRDefault="00E071E4"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688" w:type="pct"/>
            <w:gridSpan w:val="2"/>
            <w:tcBorders>
              <w:top w:val="single" w:sz="4" w:space="0" w:color="auto"/>
              <w:left w:val="nil"/>
              <w:bottom w:val="single" w:sz="4" w:space="0" w:color="auto"/>
              <w:right w:val="nil"/>
            </w:tcBorders>
            <w:shd w:val="clear" w:color="auto" w:fill="auto"/>
            <w:vAlign w:val="center"/>
            <w:hideMark/>
          </w:tcPr>
          <w:p w14:paraId="1D9AC10A" w14:textId="77777777" w:rsidR="00E071E4" w:rsidRPr="00A44B8F" w:rsidRDefault="00E071E4" w:rsidP="00360E75">
            <w:pPr>
              <w:spacing w:after="0" w:line="276" w:lineRule="auto"/>
              <w:jc w:val="center"/>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All</w:t>
            </w:r>
          </w:p>
        </w:tc>
      </w:tr>
      <w:tr w:rsidR="00E071E4" w:rsidRPr="00A44B8F" w14:paraId="230BC6CB" w14:textId="77777777" w:rsidTr="005E43D6">
        <w:tblPrEx>
          <w:tblCellMar>
            <w:left w:w="17" w:type="dxa"/>
            <w:right w:w="17" w:type="dxa"/>
          </w:tblCellMar>
        </w:tblPrEx>
        <w:trPr>
          <w:trHeight w:val="227"/>
        </w:trPr>
        <w:tc>
          <w:tcPr>
            <w:tcW w:w="2123" w:type="pct"/>
            <w:tcBorders>
              <w:top w:val="nil"/>
              <w:left w:val="nil"/>
              <w:bottom w:val="single" w:sz="4" w:space="0" w:color="auto"/>
              <w:right w:val="nil"/>
            </w:tcBorders>
            <w:shd w:val="clear" w:color="auto" w:fill="auto"/>
            <w:noWrap/>
            <w:vAlign w:val="center"/>
            <w:hideMark/>
          </w:tcPr>
          <w:p w14:paraId="0C81890A" w14:textId="77777777" w:rsidR="00E071E4" w:rsidRPr="00A44B8F" w:rsidRDefault="00E071E4" w:rsidP="00360E75">
            <w:pPr>
              <w:spacing w:after="0" w:line="276" w:lineRule="auto"/>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Stage/outcome of treatment</w:t>
            </w:r>
          </w:p>
        </w:tc>
        <w:tc>
          <w:tcPr>
            <w:tcW w:w="341" w:type="pct"/>
            <w:tcBorders>
              <w:top w:val="nil"/>
              <w:left w:val="nil"/>
              <w:bottom w:val="single" w:sz="4" w:space="0" w:color="auto"/>
              <w:right w:val="nil"/>
            </w:tcBorders>
            <w:shd w:val="clear" w:color="auto" w:fill="auto"/>
            <w:vAlign w:val="center"/>
            <w:hideMark/>
          </w:tcPr>
          <w:p w14:paraId="607308AB" w14:textId="2DFA599C" w:rsidR="00E071E4" w:rsidRPr="00A44B8F" w:rsidRDefault="00E071E4"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CL</w:t>
            </w:r>
            <w:r w:rsidRPr="00617599">
              <w:rPr>
                <w:rFonts w:ascii="Arial" w:hAnsi="Arial" w:cs="Arial"/>
                <w:b/>
                <w:bCs/>
                <w:sz w:val="16"/>
                <w:szCs w:val="16"/>
                <w:vertAlign w:val="superscript"/>
              </w:rPr>
              <w:t>(b)</w:t>
            </w:r>
          </w:p>
        </w:tc>
        <w:tc>
          <w:tcPr>
            <w:tcW w:w="349" w:type="pct"/>
            <w:tcBorders>
              <w:top w:val="nil"/>
              <w:left w:val="nil"/>
              <w:bottom w:val="single" w:sz="4" w:space="0" w:color="auto"/>
              <w:right w:val="nil"/>
            </w:tcBorders>
            <w:shd w:val="clear" w:color="auto" w:fill="auto"/>
            <w:vAlign w:val="center"/>
            <w:hideMark/>
          </w:tcPr>
          <w:p w14:paraId="38205F43" w14:textId="01B2DE11" w:rsidR="00E071E4" w:rsidRPr="00A44B8F" w:rsidRDefault="00E071E4"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BL</w:t>
            </w:r>
            <w:r w:rsidRPr="00617599">
              <w:rPr>
                <w:rFonts w:ascii="Arial" w:hAnsi="Arial" w:cs="Arial"/>
                <w:b/>
                <w:bCs/>
                <w:sz w:val="16"/>
                <w:szCs w:val="16"/>
                <w:vertAlign w:val="superscript"/>
              </w:rPr>
              <w:t>(c)</w:t>
            </w:r>
          </w:p>
        </w:tc>
        <w:tc>
          <w:tcPr>
            <w:tcW w:w="46" w:type="pct"/>
            <w:tcBorders>
              <w:top w:val="nil"/>
              <w:left w:val="nil"/>
              <w:bottom w:val="single" w:sz="4" w:space="0" w:color="auto"/>
              <w:right w:val="nil"/>
            </w:tcBorders>
            <w:shd w:val="clear" w:color="auto" w:fill="auto"/>
            <w:vAlign w:val="center"/>
            <w:hideMark/>
          </w:tcPr>
          <w:p w14:paraId="4CF370B2" w14:textId="77777777" w:rsidR="00E071E4" w:rsidRPr="00A44B8F" w:rsidRDefault="00E071E4" w:rsidP="00360E75">
            <w:pPr>
              <w:spacing w:after="0" w:line="276" w:lineRule="auto"/>
              <w:jc w:val="right"/>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340" w:type="pct"/>
            <w:tcBorders>
              <w:top w:val="nil"/>
              <w:left w:val="nil"/>
              <w:bottom w:val="single" w:sz="4" w:space="0" w:color="auto"/>
              <w:right w:val="nil"/>
            </w:tcBorders>
            <w:shd w:val="clear" w:color="auto" w:fill="auto"/>
            <w:vAlign w:val="center"/>
            <w:hideMark/>
          </w:tcPr>
          <w:p w14:paraId="323730F6" w14:textId="7C190D52" w:rsidR="00E071E4" w:rsidRPr="00A44B8F" w:rsidRDefault="00E071E4"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CL</w:t>
            </w:r>
            <w:r w:rsidRPr="00617599">
              <w:rPr>
                <w:rFonts w:ascii="Arial" w:hAnsi="Arial" w:cs="Arial"/>
                <w:b/>
                <w:bCs/>
                <w:sz w:val="16"/>
                <w:szCs w:val="16"/>
                <w:vertAlign w:val="superscript"/>
              </w:rPr>
              <w:t>(b)</w:t>
            </w:r>
          </w:p>
        </w:tc>
        <w:tc>
          <w:tcPr>
            <w:tcW w:w="341" w:type="pct"/>
            <w:tcBorders>
              <w:top w:val="nil"/>
              <w:left w:val="nil"/>
              <w:bottom w:val="single" w:sz="4" w:space="0" w:color="auto"/>
              <w:right w:val="nil"/>
            </w:tcBorders>
            <w:shd w:val="clear" w:color="auto" w:fill="auto"/>
            <w:vAlign w:val="center"/>
            <w:hideMark/>
          </w:tcPr>
          <w:p w14:paraId="0A5E0E1C" w14:textId="4C09B5A1" w:rsidR="00E071E4" w:rsidRPr="00A44B8F" w:rsidRDefault="00E071E4"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BL</w:t>
            </w:r>
            <w:r w:rsidRPr="00617599">
              <w:rPr>
                <w:rFonts w:ascii="Arial" w:hAnsi="Arial" w:cs="Arial"/>
                <w:b/>
                <w:bCs/>
                <w:sz w:val="16"/>
                <w:szCs w:val="16"/>
                <w:vertAlign w:val="superscript"/>
              </w:rPr>
              <w:t>(c)</w:t>
            </w:r>
          </w:p>
        </w:tc>
        <w:tc>
          <w:tcPr>
            <w:tcW w:w="46" w:type="pct"/>
            <w:tcBorders>
              <w:top w:val="nil"/>
              <w:left w:val="nil"/>
              <w:bottom w:val="single" w:sz="4" w:space="0" w:color="auto"/>
              <w:right w:val="nil"/>
            </w:tcBorders>
            <w:shd w:val="clear" w:color="auto" w:fill="auto"/>
            <w:vAlign w:val="center"/>
            <w:hideMark/>
          </w:tcPr>
          <w:p w14:paraId="554FF940" w14:textId="77777777" w:rsidR="00E071E4" w:rsidRPr="00A44B8F" w:rsidRDefault="00E071E4" w:rsidP="00360E75">
            <w:pPr>
              <w:spacing w:after="0" w:line="276" w:lineRule="auto"/>
              <w:jc w:val="right"/>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340" w:type="pct"/>
            <w:tcBorders>
              <w:top w:val="nil"/>
              <w:left w:val="nil"/>
              <w:bottom w:val="single" w:sz="4" w:space="0" w:color="auto"/>
              <w:right w:val="nil"/>
            </w:tcBorders>
            <w:shd w:val="clear" w:color="auto" w:fill="auto"/>
            <w:vAlign w:val="center"/>
            <w:hideMark/>
          </w:tcPr>
          <w:p w14:paraId="7819E51D" w14:textId="193E624C" w:rsidR="00E071E4" w:rsidRPr="00A44B8F" w:rsidRDefault="00E071E4"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CL</w:t>
            </w:r>
            <w:r w:rsidRPr="00617599">
              <w:rPr>
                <w:rFonts w:ascii="Arial" w:hAnsi="Arial" w:cs="Arial"/>
                <w:b/>
                <w:bCs/>
                <w:sz w:val="16"/>
                <w:szCs w:val="16"/>
                <w:vertAlign w:val="superscript"/>
              </w:rPr>
              <w:t>(b)</w:t>
            </w:r>
          </w:p>
        </w:tc>
        <w:tc>
          <w:tcPr>
            <w:tcW w:w="341" w:type="pct"/>
            <w:tcBorders>
              <w:top w:val="nil"/>
              <w:left w:val="nil"/>
              <w:bottom w:val="single" w:sz="4" w:space="0" w:color="auto"/>
              <w:right w:val="nil"/>
            </w:tcBorders>
            <w:shd w:val="clear" w:color="auto" w:fill="auto"/>
            <w:vAlign w:val="center"/>
            <w:hideMark/>
          </w:tcPr>
          <w:p w14:paraId="147773B6" w14:textId="1E19D9B9" w:rsidR="00E071E4" w:rsidRPr="00A44B8F" w:rsidRDefault="00E071E4"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BL</w:t>
            </w:r>
            <w:r w:rsidRPr="00617599">
              <w:rPr>
                <w:rFonts w:ascii="Arial" w:hAnsi="Arial" w:cs="Arial"/>
                <w:b/>
                <w:bCs/>
                <w:sz w:val="16"/>
                <w:szCs w:val="16"/>
                <w:vertAlign w:val="superscript"/>
              </w:rPr>
              <w:t>(c)</w:t>
            </w:r>
          </w:p>
        </w:tc>
        <w:tc>
          <w:tcPr>
            <w:tcW w:w="46" w:type="pct"/>
            <w:tcBorders>
              <w:top w:val="nil"/>
              <w:left w:val="nil"/>
              <w:bottom w:val="single" w:sz="4" w:space="0" w:color="auto"/>
              <w:right w:val="nil"/>
            </w:tcBorders>
            <w:shd w:val="clear" w:color="auto" w:fill="auto"/>
            <w:vAlign w:val="center"/>
            <w:hideMark/>
          </w:tcPr>
          <w:p w14:paraId="459ECF6E" w14:textId="77777777" w:rsidR="00E071E4" w:rsidRPr="00A44B8F" w:rsidRDefault="00E071E4" w:rsidP="00360E75">
            <w:pPr>
              <w:spacing w:after="0" w:line="276" w:lineRule="auto"/>
              <w:jc w:val="right"/>
              <w:rPr>
                <w:rFonts w:ascii="Arial" w:eastAsia="Times New Roman" w:hAnsi="Arial" w:cs="Arial"/>
                <w:b/>
                <w:bCs/>
                <w:color w:val="000000"/>
                <w:sz w:val="16"/>
                <w:szCs w:val="16"/>
                <w:lang w:eastAsia="en-AU"/>
              </w:rPr>
            </w:pPr>
            <w:r w:rsidRPr="00A44B8F">
              <w:rPr>
                <w:rFonts w:ascii="Arial" w:eastAsia="Times New Roman" w:hAnsi="Arial" w:cs="Arial"/>
                <w:b/>
                <w:bCs/>
                <w:color w:val="000000"/>
                <w:sz w:val="16"/>
                <w:szCs w:val="16"/>
                <w:lang w:eastAsia="en-AU"/>
              </w:rPr>
              <w:t> </w:t>
            </w:r>
          </w:p>
        </w:tc>
        <w:tc>
          <w:tcPr>
            <w:tcW w:w="340" w:type="pct"/>
            <w:tcBorders>
              <w:top w:val="nil"/>
              <w:left w:val="nil"/>
              <w:bottom w:val="single" w:sz="4" w:space="0" w:color="auto"/>
              <w:right w:val="nil"/>
            </w:tcBorders>
            <w:shd w:val="clear" w:color="auto" w:fill="auto"/>
            <w:vAlign w:val="center"/>
            <w:hideMark/>
          </w:tcPr>
          <w:p w14:paraId="78887F48" w14:textId="03EAD28E" w:rsidR="00E071E4" w:rsidRPr="00A44B8F" w:rsidRDefault="00E071E4"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CL</w:t>
            </w:r>
            <w:r w:rsidRPr="00617599">
              <w:rPr>
                <w:rFonts w:ascii="Arial" w:hAnsi="Arial" w:cs="Arial"/>
                <w:b/>
                <w:bCs/>
                <w:sz w:val="16"/>
                <w:szCs w:val="16"/>
                <w:vertAlign w:val="superscript"/>
              </w:rPr>
              <w:t>(b)</w:t>
            </w:r>
          </w:p>
        </w:tc>
        <w:tc>
          <w:tcPr>
            <w:tcW w:w="348" w:type="pct"/>
            <w:tcBorders>
              <w:top w:val="nil"/>
              <w:left w:val="nil"/>
              <w:bottom w:val="single" w:sz="4" w:space="0" w:color="auto"/>
              <w:right w:val="nil"/>
            </w:tcBorders>
            <w:shd w:val="clear" w:color="auto" w:fill="auto"/>
            <w:vAlign w:val="center"/>
            <w:hideMark/>
          </w:tcPr>
          <w:p w14:paraId="2787E292" w14:textId="105E4D2B" w:rsidR="00E071E4" w:rsidRPr="00A44B8F" w:rsidRDefault="00E071E4" w:rsidP="00360E75">
            <w:pPr>
              <w:spacing w:after="0" w:line="276" w:lineRule="auto"/>
              <w:jc w:val="right"/>
              <w:rPr>
                <w:rFonts w:ascii="Arial" w:eastAsia="Times New Roman" w:hAnsi="Arial" w:cs="Arial"/>
                <w:b/>
                <w:bCs/>
                <w:color w:val="000000"/>
                <w:sz w:val="16"/>
                <w:szCs w:val="16"/>
                <w:lang w:eastAsia="en-AU"/>
              </w:rPr>
            </w:pPr>
            <w:r w:rsidRPr="00617599">
              <w:rPr>
                <w:rFonts w:ascii="Arial" w:hAnsi="Arial" w:cs="Arial"/>
                <w:b/>
                <w:bCs/>
                <w:sz w:val="16"/>
                <w:szCs w:val="16"/>
              </w:rPr>
              <w:t>BL</w:t>
            </w:r>
            <w:r w:rsidRPr="00617599">
              <w:rPr>
                <w:rFonts w:ascii="Arial" w:hAnsi="Arial" w:cs="Arial"/>
                <w:b/>
                <w:bCs/>
                <w:sz w:val="16"/>
                <w:szCs w:val="16"/>
                <w:vertAlign w:val="superscript"/>
              </w:rPr>
              <w:t>(c)</w:t>
            </w:r>
          </w:p>
        </w:tc>
      </w:tr>
      <w:tr w:rsidR="005E43D6" w:rsidRPr="00A44B8F" w14:paraId="16B4E8E9" w14:textId="77777777" w:rsidTr="005E43D6">
        <w:tblPrEx>
          <w:tblCellMar>
            <w:left w:w="17" w:type="dxa"/>
            <w:right w:w="17" w:type="dxa"/>
          </w:tblCellMar>
        </w:tblPrEx>
        <w:trPr>
          <w:trHeight w:val="227"/>
        </w:trPr>
        <w:tc>
          <w:tcPr>
            <w:tcW w:w="2123" w:type="pct"/>
            <w:tcBorders>
              <w:top w:val="nil"/>
              <w:left w:val="nil"/>
              <w:bottom w:val="nil"/>
              <w:right w:val="nil"/>
            </w:tcBorders>
            <w:shd w:val="clear" w:color="auto" w:fill="auto"/>
            <w:noWrap/>
            <w:vAlign w:val="center"/>
            <w:hideMark/>
          </w:tcPr>
          <w:p w14:paraId="15D625BA" w14:textId="77777777" w:rsidR="005E43D6" w:rsidRPr="00A44B8F" w:rsidRDefault="005E43D6" w:rsidP="005E43D6">
            <w:pPr>
              <w:spacing w:after="0" w:line="276" w:lineRule="auto"/>
              <w:rPr>
                <w:rFonts w:ascii="Arial" w:eastAsia="Times New Roman" w:hAnsi="Arial" w:cs="Arial"/>
                <w:color w:val="000000"/>
                <w:sz w:val="16"/>
                <w:szCs w:val="16"/>
                <w:lang w:eastAsia="en-AU"/>
              </w:rPr>
            </w:pPr>
            <w:r w:rsidRPr="00A44B8F">
              <w:rPr>
                <w:rFonts w:ascii="Arial" w:eastAsia="Times New Roman" w:hAnsi="Arial" w:cs="Arial"/>
                <w:color w:val="000000"/>
                <w:sz w:val="16"/>
                <w:szCs w:val="16"/>
                <w:lang w:eastAsia="en-AU"/>
              </w:rPr>
              <w:t>Embryo transfer cycles</w:t>
            </w:r>
          </w:p>
        </w:tc>
        <w:tc>
          <w:tcPr>
            <w:tcW w:w="341" w:type="pct"/>
            <w:tcBorders>
              <w:top w:val="nil"/>
              <w:left w:val="nil"/>
              <w:bottom w:val="nil"/>
              <w:right w:val="nil"/>
            </w:tcBorders>
            <w:shd w:val="clear" w:color="auto" w:fill="auto"/>
            <w:vAlign w:val="center"/>
          </w:tcPr>
          <w:p w14:paraId="53720B17" w14:textId="035630AB"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11</w:t>
            </w:r>
          </w:p>
        </w:tc>
        <w:tc>
          <w:tcPr>
            <w:tcW w:w="349" w:type="pct"/>
            <w:tcBorders>
              <w:top w:val="nil"/>
              <w:left w:val="nil"/>
              <w:bottom w:val="nil"/>
              <w:right w:val="nil"/>
            </w:tcBorders>
            <w:shd w:val="clear" w:color="auto" w:fill="auto"/>
            <w:vAlign w:val="center"/>
          </w:tcPr>
          <w:p w14:paraId="592045E0" w14:textId="36B76AB0"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1,742</w:t>
            </w:r>
          </w:p>
        </w:tc>
        <w:tc>
          <w:tcPr>
            <w:tcW w:w="46" w:type="pct"/>
            <w:tcBorders>
              <w:top w:val="nil"/>
              <w:left w:val="nil"/>
              <w:bottom w:val="nil"/>
              <w:right w:val="nil"/>
            </w:tcBorders>
            <w:shd w:val="clear" w:color="auto" w:fill="auto"/>
            <w:vAlign w:val="center"/>
          </w:tcPr>
          <w:p w14:paraId="46257805" w14:textId="47341DCB"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 </w:t>
            </w:r>
          </w:p>
        </w:tc>
        <w:tc>
          <w:tcPr>
            <w:tcW w:w="340" w:type="pct"/>
            <w:tcBorders>
              <w:top w:val="nil"/>
              <w:left w:val="nil"/>
              <w:bottom w:val="nil"/>
              <w:right w:val="nil"/>
            </w:tcBorders>
            <w:shd w:val="clear" w:color="auto" w:fill="auto"/>
            <w:vAlign w:val="center"/>
          </w:tcPr>
          <w:p w14:paraId="267A22E5" w14:textId="2EC78EF3"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12</w:t>
            </w:r>
          </w:p>
        </w:tc>
        <w:tc>
          <w:tcPr>
            <w:tcW w:w="341" w:type="pct"/>
            <w:tcBorders>
              <w:top w:val="nil"/>
              <w:left w:val="nil"/>
              <w:bottom w:val="nil"/>
              <w:right w:val="nil"/>
            </w:tcBorders>
            <w:shd w:val="clear" w:color="auto" w:fill="auto"/>
            <w:vAlign w:val="center"/>
          </w:tcPr>
          <w:p w14:paraId="3699852E" w14:textId="4BD8AAFA"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1,576</w:t>
            </w:r>
          </w:p>
        </w:tc>
        <w:tc>
          <w:tcPr>
            <w:tcW w:w="46" w:type="pct"/>
            <w:tcBorders>
              <w:top w:val="nil"/>
              <w:left w:val="nil"/>
              <w:bottom w:val="nil"/>
              <w:right w:val="nil"/>
            </w:tcBorders>
            <w:shd w:val="clear" w:color="auto" w:fill="auto"/>
            <w:vAlign w:val="center"/>
          </w:tcPr>
          <w:p w14:paraId="3A971552" w14:textId="480E2E4C"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 </w:t>
            </w:r>
          </w:p>
        </w:tc>
        <w:tc>
          <w:tcPr>
            <w:tcW w:w="340" w:type="pct"/>
            <w:tcBorders>
              <w:top w:val="nil"/>
              <w:left w:val="nil"/>
              <w:bottom w:val="nil"/>
              <w:right w:val="nil"/>
            </w:tcBorders>
            <w:shd w:val="clear" w:color="auto" w:fill="auto"/>
            <w:vAlign w:val="center"/>
          </w:tcPr>
          <w:p w14:paraId="5119BBF0" w14:textId="5367D6EC"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7</w:t>
            </w:r>
          </w:p>
        </w:tc>
        <w:tc>
          <w:tcPr>
            <w:tcW w:w="341" w:type="pct"/>
            <w:tcBorders>
              <w:top w:val="nil"/>
              <w:left w:val="nil"/>
              <w:bottom w:val="nil"/>
              <w:right w:val="nil"/>
            </w:tcBorders>
            <w:shd w:val="clear" w:color="auto" w:fill="auto"/>
            <w:vAlign w:val="center"/>
          </w:tcPr>
          <w:p w14:paraId="634BB529" w14:textId="745B6E4D"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670</w:t>
            </w:r>
          </w:p>
        </w:tc>
        <w:tc>
          <w:tcPr>
            <w:tcW w:w="46" w:type="pct"/>
            <w:tcBorders>
              <w:top w:val="nil"/>
              <w:left w:val="nil"/>
              <w:bottom w:val="nil"/>
              <w:right w:val="nil"/>
            </w:tcBorders>
            <w:shd w:val="clear" w:color="auto" w:fill="auto"/>
            <w:vAlign w:val="center"/>
          </w:tcPr>
          <w:p w14:paraId="6A71D0F7" w14:textId="0EF22E1C"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 </w:t>
            </w:r>
          </w:p>
        </w:tc>
        <w:tc>
          <w:tcPr>
            <w:tcW w:w="340" w:type="pct"/>
            <w:tcBorders>
              <w:top w:val="nil"/>
              <w:left w:val="nil"/>
              <w:bottom w:val="nil"/>
              <w:right w:val="nil"/>
            </w:tcBorders>
            <w:shd w:val="clear" w:color="auto" w:fill="auto"/>
            <w:vAlign w:val="center"/>
          </w:tcPr>
          <w:p w14:paraId="2B6A833A" w14:textId="3591D2FE"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30</w:t>
            </w:r>
          </w:p>
        </w:tc>
        <w:tc>
          <w:tcPr>
            <w:tcW w:w="348" w:type="pct"/>
            <w:tcBorders>
              <w:top w:val="nil"/>
              <w:left w:val="nil"/>
              <w:bottom w:val="nil"/>
              <w:right w:val="nil"/>
            </w:tcBorders>
            <w:shd w:val="clear" w:color="auto" w:fill="auto"/>
            <w:vAlign w:val="center"/>
          </w:tcPr>
          <w:p w14:paraId="30390656" w14:textId="6ED1855B"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3,988</w:t>
            </w:r>
          </w:p>
        </w:tc>
      </w:tr>
      <w:tr w:rsidR="005E43D6" w:rsidRPr="00A44B8F" w14:paraId="07C64F94" w14:textId="77777777" w:rsidTr="005E43D6">
        <w:tblPrEx>
          <w:tblCellMar>
            <w:left w:w="17" w:type="dxa"/>
            <w:right w:w="17" w:type="dxa"/>
          </w:tblCellMar>
        </w:tblPrEx>
        <w:trPr>
          <w:trHeight w:val="227"/>
        </w:trPr>
        <w:tc>
          <w:tcPr>
            <w:tcW w:w="2123" w:type="pct"/>
            <w:tcBorders>
              <w:top w:val="nil"/>
              <w:left w:val="nil"/>
              <w:bottom w:val="nil"/>
              <w:right w:val="nil"/>
            </w:tcBorders>
            <w:shd w:val="clear" w:color="auto" w:fill="auto"/>
            <w:noWrap/>
            <w:vAlign w:val="center"/>
            <w:hideMark/>
          </w:tcPr>
          <w:p w14:paraId="3557FA0D" w14:textId="77777777" w:rsidR="005E43D6" w:rsidRPr="00A44B8F" w:rsidRDefault="005E43D6" w:rsidP="005E43D6">
            <w:pPr>
              <w:spacing w:after="0" w:line="276" w:lineRule="auto"/>
              <w:rPr>
                <w:rFonts w:ascii="Arial" w:eastAsia="Times New Roman" w:hAnsi="Arial" w:cs="Arial"/>
                <w:color w:val="000000"/>
                <w:sz w:val="16"/>
                <w:szCs w:val="16"/>
                <w:lang w:eastAsia="en-AU"/>
              </w:rPr>
            </w:pPr>
            <w:r w:rsidRPr="00A44B8F">
              <w:rPr>
                <w:rFonts w:ascii="Arial" w:eastAsia="Times New Roman" w:hAnsi="Arial" w:cs="Arial"/>
                <w:color w:val="000000"/>
                <w:sz w:val="16"/>
                <w:szCs w:val="16"/>
                <w:lang w:eastAsia="en-AU"/>
              </w:rPr>
              <w:t>Clinical pregnancies</w:t>
            </w:r>
          </w:p>
        </w:tc>
        <w:tc>
          <w:tcPr>
            <w:tcW w:w="341" w:type="pct"/>
            <w:tcBorders>
              <w:top w:val="nil"/>
              <w:left w:val="nil"/>
              <w:bottom w:val="nil"/>
              <w:right w:val="nil"/>
            </w:tcBorders>
            <w:shd w:val="clear" w:color="auto" w:fill="auto"/>
            <w:noWrap/>
            <w:vAlign w:val="bottom"/>
          </w:tcPr>
          <w:p w14:paraId="0B20A289" w14:textId="3FEB158D"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3</w:t>
            </w:r>
          </w:p>
        </w:tc>
        <w:tc>
          <w:tcPr>
            <w:tcW w:w="349" w:type="pct"/>
            <w:tcBorders>
              <w:top w:val="nil"/>
              <w:left w:val="nil"/>
              <w:bottom w:val="nil"/>
              <w:right w:val="nil"/>
            </w:tcBorders>
            <w:shd w:val="clear" w:color="auto" w:fill="auto"/>
            <w:noWrap/>
            <w:vAlign w:val="bottom"/>
          </w:tcPr>
          <w:p w14:paraId="7E082520" w14:textId="6B871A6E"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866</w:t>
            </w:r>
          </w:p>
        </w:tc>
        <w:tc>
          <w:tcPr>
            <w:tcW w:w="46" w:type="pct"/>
            <w:tcBorders>
              <w:top w:val="nil"/>
              <w:left w:val="nil"/>
              <w:bottom w:val="nil"/>
              <w:right w:val="nil"/>
            </w:tcBorders>
            <w:shd w:val="clear" w:color="auto" w:fill="auto"/>
            <w:noWrap/>
            <w:vAlign w:val="center"/>
          </w:tcPr>
          <w:p w14:paraId="19854825" w14:textId="1C1BF694"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40" w:type="pct"/>
            <w:tcBorders>
              <w:top w:val="nil"/>
              <w:left w:val="nil"/>
              <w:bottom w:val="nil"/>
              <w:right w:val="nil"/>
            </w:tcBorders>
            <w:shd w:val="clear" w:color="auto" w:fill="auto"/>
            <w:noWrap/>
            <w:vAlign w:val="bottom"/>
          </w:tcPr>
          <w:p w14:paraId="292D6F50" w14:textId="4CC19101"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2</w:t>
            </w:r>
          </w:p>
        </w:tc>
        <w:tc>
          <w:tcPr>
            <w:tcW w:w="341" w:type="pct"/>
            <w:tcBorders>
              <w:top w:val="nil"/>
              <w:left w:val="nil"/>
              <w:bottom w:val="nil"/>
              <w:right w:val="nil"/>
            </w:tcBorders>
            <w:shd w:val="clear" w:color="auto" w:fill="auto"/>
            <w:noWrap/>
            <w:vAlign w:val="bottom"/>
          </w:tcPr>
          <w:p w14:paraId="4F14088F" w14:textId="3B47EDDC"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671</w:t>
            </w:r>
          </w:p>
        </w:tc>
        <w:tc>
          <w:tcPr>
            <w:tcW w:w="46" w:type="pct"/>
            <w:tcBorders>
              <w:top w:val="nil"/>
              <w:left w:val="nil"/>
              <w:bottom w:val="nil"/>
              <w:right w:val="nil"/>
            </w:tcBorders>
            <w:shd w:val="clear" w:color="auto" w:fill="auto"/>
            <w:noWrap/>
            <w:vAlign w:val="center"/>
          </w:tcPr>
          <w:p w14:paraId="4E992E24" w14:textId="4FCB4D28"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40" w:type="pct"/>
            <w:tcBorders>
              <w:top w:val="nil"/>
              <w:left w:val="nil"/>
              <w:bottom w:val="nil"/>
              <w:right w:val="nil"/>
            </w:tcBorders>
            <w:shd w:val="clear" w:color="auto" w:fill="auto"/>
            <w:noWrap/>
            <w:vAlign w:val="bottom"/>
          </w:tcPr>
          <w:p w14:paraId="658BECE6" w14:textId="06B261ED"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0</w:t>
            </w:r>
          </w:p>
        </w:tc>
        <w:tc>
          <w:tcPr>
            <w:tcW w:w="341" w:type="pct"/>
            <w:tcBorders>
              <w:top w:val="nil"/>
              <w:left w:val="nil"/>
              <w:bottom w:val="nil"/>
              <w:right w:val="nil"/>
            </w:tcBorders>
            <w:shd w:val="clear" w:color="auto" w:fill="auto"/>
            <w:noWrap/>
            <w:vAlign w:val="bottom"/>
          </w:tcPr>
          <w:p w14:paraId="440C1AE2" w14:textId="7819EA73"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229</w:t>
            </w:r>
          </w:p>
        </w:tc>
        <w:tc>
          <w:tcPr>
            <w:tcW w:w="46" w:type="pct"/>
            <w:tcBorders>
              <w:top w:val="nil"/>
              <w:left w:val="nil"/>
              <w:bottom w:val="nil"/>
              <w:right w:val="nil"/>
            </w:tcBorders>
            <w:shd w:val="clear" w:color="auto" w:fill="auto"/>
            <w:noWrap/>
            <w:vAlign w:val="center"/>
          </w:tcPr>
          <w:p w14:paraId="1F701616" w14:textId="504FB2D5"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40" w:type="pct"/>
            <w:tcBorders>
              <w:top w:val="nil"/>
              <w:left w:val="nil"/>
              <w:bottom w:val="nil"/>
              <w:right w:val="nil"/>
            </w:tcBorders>
            <w:shd w:val="clear" w:color="auto" w:fill="auto"/>
            <w:noWrap/>
            <w:vAlign w:val="bottom"/>
          </w:tcPr>
          <w:p w14:paraId="2A0C167F" w14:textId="5027D405"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5</w:t>
            </w:r>
          </w:p>
        </w:tc>
        <w:tc>
          <w:tcPr>
            <w:tcW w:w="348" w:type="pct"/>
            <w:tcBorders>
              <w:top w:val="nil"/>
              <w:left w:val="nil"/>
              <w:bottom w:val="nil"/>
              <w:right w:val="nil"/>
            </w:tcBorders>
            <w:shd w:val="clear" w:color="auto" w:fill="auto"/>
            <w:noWrap/>
            <w:vAlign w:val="bottom"/>
          </w:tcPr>
          <w:p w14:paraId="2CC7CB12" w14:textId="790E6B40"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1,766</w:t>
            </w:r>
          </w:p>
        </w:tc>
      </w:tr>
      <w:tr w:rsidR="005E43D6" w:rsidRPr="00A44B8F" w14:paraId="6C4B1F39" w14:textId="77777777" w:rsidTr="005E43D6">
        <w:tblPrEx>
          <w:tblCellMar>
            <w:left w:w="17" w:type="dxa"/>
            <w:right w:w="17" w:type="dxa"/>
          </w:tblCellMar>
        </w:tblPrEx>
        <w:trPr>
          <w:trHeight w:val="227"/>
        </w:trPr>
        <w:tc>
          <w:tcPr>
            <w:tcW w:w="2123" w:type="pct"/>
            <w:tcBorders>
              <w:top w:val="nil"/>
              <w:left w:val="nil"/>
              <w:bottom w:val="nil"/>
              <w:right w:val="nil"/>
            </w:tcBorders>
            <w:shd w:val="clear" w:color="auto" w:fill="auto"/>
            <w:noWrap/>
            <w:vAlign w:val="center"/>
            <w:hideMark/>
          </w:tcPr>
          <w:p w14:paraId="5DE792AB" w14:textId="2251ECF6" w:rsidR="005E43D6" w:rsidRPr="00A44B8F" w:rsidRDefault="005E43D6" w:rsidP="005E43D6">
            <w:pPr>
              <w:spacing w:after="0" w:line="276" w:lineRule="auto"/>
              <w:rPr>
                <w:rFonts w:ascii="Arial" w:eastAsia="Times New Roman" w:hAnsi="Arial" w:cs="Arial"/>
                <w:color w:val="000000"/>
                <w:sz w:val="16"/>
                <w:szCs w:val="16"/>
                <w:lang w:eastAsia="en-AU"/>
              </w:rPr>
            </w:pPr>
            <w:r w:rsidRPr="00A44B8F">
              <w:rPr>
                <w:rFonts w:ascii="Arial" w:eastAsia="Times New Roman" w:hAnsi="Arial" w:cs="Arial"/>
                <w:color w:val="000000"/>
                <w:sz w:val="16"/>
                <w:szCs w:val="16"/>
                <w:lang w:eastAsia="en-AU"/>
              </w:rPr>
              <w:t xml:space="preserve">Live </w:t>
            </w:r>
            <w:r>
              <w:rPr>
                <w:rFonts w:ascii="Arial" w:eastAsia="Times New Roman" w:hAnsi="Arial" w:cs="Arial"/>
                <w:color w:val="000000"/>
                <w:sz w:val="16"/>
                <w:szCs w:val="16"/>
                <w:lang w:eastAsia="en-AU"/>
              </w:rPr>
              <w:t>births</w:t>
            </w:r>
          </w:p>
        </w:tc>
        <w:tc>
          <w:tcPr>
            <w:tcW w:w="341" w:type="pct"/>
            <w:tcBorders>
              <w:top w:val="nil"/>
              <w:left w:val="nil"/>
              <w:bottom w:val="nil"/>
              <w:right w:val="nil"/>
            </w:tcBorders>
            <w:shd w:val="clear" w:color="auto" w:fill="auto"/>
            <w:noWrap/>
            <w:vAlign w:val="bottom"/>
          </w:tcPr>
          <w:p w14:paraId="17F282EA" w14:textId="6368B62E"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2</w:t>
            </w:r>
          </w:p>
        </w:tc>
        <w:tc>
          <w:tcPr>
            <w:tcW w:w="349" w:type="pct"/>
            <w:tcBorders>
              <w:top w:val="nil"/>
              <w:left w:val="nil"/>
              <w:bottom w:val="nil"/>
              <w:right w:val="nil"/>
            </w:tcBorders>
            <w:shd w:val="clear" w:color="auto" w:fill="auto"/>
            <w:noWrap/>
            <w:vAlign w:val="bottom"/>
          </w:tcPr>
          <w:p w14:paraId="4D9507D9" w14:textId="0752E52A"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714</w:t>
            </w:r>
          </w:p>
        </w:tc>
        <w:tc>
          <w:tcPr>
            <w:tcW w:w="46" w:type="pct"/>
            <w:tcBorders>
              <w:top w:val="nil"/>
              <w:left w:val="nil"/>
              <w:bottom w:val="nil"/>
              <w:right w:val="nil"/>
            </w:tcBorders>
            <w:shd w:val="clear" w:color="auto" w:fill="auto"/>
            <w:noWrap/>
            <w:vAlign w:val="center"/>
          </w:tcPr>
          <w:p w14:paraId="695AFC8D" w14:textId="78417E47"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40" w:type="pct"/>
            <w:tcBorders>
              <w:top w:val="nil"/>
              <w:left w:val="nil"/>
              <w:bottom w:val="nil"/>
              <w:right w:val="nil"/>
            </w:tcBorders>
            <w:shd w:val="clear" w:color="auto" w:fill="auto"/>
            <w:noWrap/>
            <w:vAlign w:val="bottom"/>
          </w:tcPr>
          <w:p w14:paraId="62979C90" w14:textId="40556BDE"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1</w:t>
            </w:r>
          </w:p>
        </w:tc>
        <w:tc>
          <w:tcPr>
            <w:tcW w:w="341" w:type="pct"/>
            <w:tcBorders>
              <w:top w:val="nil"/>
              <w:left w:val="nil"/>
              <w:bottom w:val="nil"/>
              <w:right w:val="nil"/>
            </w:tcBorders>
            <w:shd w:val="clear" w:color="auto" w:fill="auto"/>
            <w:noWrap/>
            <w:vAlign w:val="bottom"/>
          </w:tcPr>
          <w:p w14:paraId="6D5E3D5E" w14:textId="383CBA6C"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521</w:t>
            </w:r>
          </w:p>
        </w:tc>
        <w:tc>
          <w:tcPr>
            <w:tcW w:w="46" w:type="pct"/>
            <w:tcBorders>
              <w:top w:val="nil"/>
              <w:left w:val="nil"/>
              <w:bottom w:val="nil"/>
              <w:right w:val="nil"/>
            </w:tcBorders>
            <w:shd w:val="clear" w:color="auto" w:fill="auto"/>
            <w:noWrap/>
            <w:vAlign w:val="center"/>
          </w:tcPr>
          <w:p w14:paraId="53651F0E" w14:textId="62FC0FD0"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40" w:type="pct"/>
            <w:tcBorders>
              <w:top w:val="nil"/>
              <w:left w:val="nil"/>
              <w:bottom w:val="nil"/>
              <w:right w:val="nil"/>
            </w:tcBorders>
            <w:shd w:val="clear" w:color="auto" w:fill="auto"/>
            <w:noWrap/>
            <w:vAlign w:val="bottom"/>
          </w:tcPr>
          <w:p w14:paraId="6965491B" w14:textId="734777BE"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0</w:t>
            </w:r>
          </w:p>
        </w:tc>
        <w:tc>
          <w:tcPr>
            <w:tcW w:w="341" w:type="pct"/>
            <w:tcBorders>
              <w:top w:val="nil"/>
              <w:left w:val="nil"/>
              <w:bottom w:val="nil"/>
              <w:right w:val="nil"/>
            </w:tcBorders>
            <w:shd w:val="clear" w:color="auto" w:fill="auto"/>
            <w:noWrap/>
            <w:vAlign w:val="bottom"/>
          </w:tcPr>
          <w:p w14:paraId="6DB275A9" w14:textId="2DC0E184"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165</w:t>
            </w:r>
          </w:p>
        </w:tc>
        <w:tc>
          <w:tcPr>
            <w:tcW w:w="46" w:type="pct"/>
            <w:tcBorders>
              <w:top w:val="nil"/>
              <w:left w:val="nil"/>
              <w:bottom w:val="nil"/>
              <w:right w:val="nil"/>
            </w:tcBorders>
            <w:shd w:val="clear" w:color="auto" w:fill="auto"/>
            <w:noWrap/>
            <w:vAlign w:val="center"/>
          </w:tcPr>
          <w:p w14:paraId="7258C0F6" w14:textId="716EAEA8"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40" w:type="pct"/>
            <w:tcBorders>
              <w:top w:val="nil"/>
              <w:left w:val="nil"/>
              <w:bottom w:val="nil"/>
              <w:right w:val="nil"/>
            </w:tcBorders>
            <w:shd w:val="clear" w:color="auto" w:fill="auto"/>
            <w:noWrap/>
            <w:vAlign w:val="bottom"/>
          </w:tcPr>
          <w:p w14:paraId="51EFA536" w14:textId="4F597C90"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3</w:t>
            </w:r>
          </w:p>
        </w:tc>
        <w:tc>
          <w:tcPr>
            <w:tcW w:w="348" w:type="pct"/>
            <w:tcBorders>
              <w:top w:val="nil"/>
              <w:left w:val="nil"/>
              <w:bottom w:val="nil"/>
              <w:right w:val="nil"/>
            </w:tcBorders>
            <w:shd w:val="clear" w:color="auto" w:fill="auto"/>
            <w:noWrap/>
            <w:vAlign w:val="bottom"/>
          </w:tcPr>
          <w:p w14:paraId="71A1EE98" w14:textId="784632D7" w:rsidR="005E43D6" w:rsidRPr="00A44B8F" w:rsidRDefault="005E43D6" w:rsidP="005E43D6">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1,400</w:t>
            </w:r>
          </w:p>
        </w:tc>
      </w:tr>
      <w:tr w:rsidR="005E43D6" w:rsidRPr="00A44B8F" w14:paraId="1C4C3EC3" w14:textId="77777777" w:rsidTr="005E43D6">
        <w:tblPrEx>
          <w:tblCellMar>
            <w:left w:w="17" w:type="dxa"/>
            <w:right w:w="17" w:type="dxa"/>
          </w:tblCellMar>
        </w:tblPrEx>
        <w:trPr>
          <w:trHeight w:val="227"/>
        </w:trPr>
        <w:tc>
          <w:tcPr>
            <w:tcW w:w="2123" w:type="pct"/>
            <w:tcBorders>
              <w:top w:val="nil"/>
              <w:left w:val="nil"/>
              <w:right w:val="nil"/>
            </w:tcBorders>
            <w:shd w:val="clear" w:color="auto" w:fill="auto"/>
            <w:noWrap/>
            <w:vAlign w:val="center"/>
            <w:hideMark/>
          </w:tcPr>
          <w:p w14:paraId="18F9BE07" w14:textId="77777777" w:rsidR="005E43D6" w:rsidRPr="00A44B8F" w:rsidRDefault="005E43D6" w:rsidP="005E43D6">
            <w:pPr>
              <w:spacing w:after="0" w:line="276" w:lineRule="auto"/>
              <w:rPr>
                <w:rFonts w:ascii="Arial" w:eastAsia="Times New Roman" w:hAnsi="Arial" w:cs="Arial"/>
                <w:i/>
                <w:iCs/>
                <w:color w:val="000000"/>
                <w:sz w:val="16"/>
                <w:szCs w:val="16"/>
                <w:lang w:eastAsia="en-AU"/>
              </w:rPr>
            </w:pPr>
            <w:r w:rsidRPr="00A44B8F">
              <w:rPr>
                <w:rFonts w:ascii="Arial" w:eastAsia="Times New Roman" w:hAnsi="Arial" w:cs="Arial"/>
                <w:i/>
                <w:iCs/>
                <w:color w:val="000000"/>
                <w:sz w:val="16"/>
                <w:szCs w:val="16"/>
                <w:lang w:eastAsia="en-AU"/>
              </w:rPr>
              <w:t>Clinical pregnancies per embryo transfer cycle (%)</w:t>
            </w:r>
          </w:p>
        </w:tc>
        <w:tc>
          <w:tcPr>
            <w:tcW w:w="341" w:type="pct"/>
            <w:tcBorders>
              <w:top w:val="nil"/>
              <w:left w:val="nil"/>
              <w:right w:val="nil"/>
            </w:tcBorders>
            <w:shd w:val="clear" w:color="auto" w:fill="auto"/>
            <w:noWrap/>
            <w:vAlign w:val="bottom"/>
          </w:tcPr>
          <w:p w14:paraId="3FFBD0CF" w14:textId="0EAE0AB5" w:rsidR="005E43D6" w:rsidRPr="00A44B8F"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27.3</w:t>
            </w:r>
          </w:p>
        </w:tc>
        <w:tc>
          <w:tcPr>
            <w:tcW w:w="349" w:type="pct"/>
            <w:tcBorders>
              <w:top w:val="nil"/>
              <w:left w:val="nil"/>
              <w:right w:val="nil"/>
            </w:tcBorders>
            <w:shd w:val="clear" w:color="auto" w:fill="auto"/>
            <w:noWrap/>
            <w:vAlign w:val="bottom"/>
          </w:tcPr>
          <w:p w14:paraId="3A866CDE" w14:textId="5E00B1EC" w:rsidR="005E43D6" w:rsidRPr="00A44B8F"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49.7</w:t>
            </w:r>
          </w:p>
        </w:tc>
        <w:tc>
          <w:tcPr>
            <w:tcW w:w="46" w:type="pct"/>
            <w:tcBorders>
              <w:top w:val="nil"/>
              <w:left w:val="nil"/>
              <w:right w:val="nil"/>
            </w:tcBorders>
            <w:shd w:val="clear" w:color="auto" w:fill="auto"/>
            <w:noWrap/>
            <w:vAlign w:val="center"/>
          </w:tcPr>
          <w:p w14:paraId="520B480E" w14:textId="41DBE9BA"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40" w:type="pct"/>
            <w:tcBorders>
              <w:top w:val="nil"/>
              <w:left w:val="nil"/>
              <w:right w:val="nil"/>
            </w:tcBorders>
            <w:shd w:val="clear" w:color="auto" w:fill="auto"/>
            <w:noWrap/>
            <w:vAlign w:val="bottom"/>
          </w:tcPr>
          <w:p w14:paraId="15D81EE6" w14:textId="07F1CE11" w:rsidR="005E43D6" w:rsidRPr="0095217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16.7</w:t>
            </w:r>
          </w:p>
        </w:tc>
        <w:tc>
          <w:tcPr>
            <w:tcW w:w="341" w:type="pct"/>
            <w:tcBorders>
              <w:top w:val="nil"/>
              <w:left w:val="nil"/>
              <w:right w:val="nil"/>
            </w:tcBorders>
            <w:shd w:val="clear" w:color="auto" w:fill="auto"/>
            <w:noWrap/>
            <w:vAlign w:val="bottom"/>
          </w:tcPr>
          <w:p w14:paraId="1F2620EB" w14:textId="296FFD05" w:rsidR="005E43D6" w:rsidRPr="00A44B8F"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42.6</w:t>
            </w:r>
          </w:p>
        </w:tc>
        <w:tc>
          <w:tcPr>
            <w:tcW w:w="46" w:type="pct"/>
            <w:tcBorders>
              <w:top w:val="nil"/>
              <w:left w:val="nil"/>
              <w:right w:val="nil"/>
            </w:tcBorders>
            <w:shd w:val="clear" w:color="auto" w:fill="auto"/>
            <w:noWrap/>
            <w:vAlign w:val="center"/>
          </w:tcPr>
          <w:p w14:paraId="14C9962A" w14:textId="36432DA2"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40" w:type="pct"/>
            <w:tcBorders>
              <w:top w:val="nil"/>
              <w:left w:val="nil"/>
              <w:right w:val="nil"/>
            </w:tcBorders>
            <w:shd w:val="clear" w:color="auto" w:fill="auto"/>
            <w:noWrap/>
            <w:vAlign w:val="bottom"/>
          </w:tcPr>
          <w:p w14:paraId="149284FB" w14:textId="7B0436C2" w:rsidR="005E43D6" w:rsidRPr="0025595F" w:rsidRDefault="005E43D6" w:rsidP="005E43D6">
            <w:pPr>
              <w:spacing w:after="0" w:line="276" w:lineRule="auto"/>
              <w:jc w:val="right"/>
              <w:rPr>
                <w:rFonts w:ascii="Arial" w:eastAsia="Times New Roman" w:hAnsi="Arial" w:cs="Arial"/>
                <w:i/>
                <w:iCs/>
                <w:sz w:val="16"/>
                <w:szCs w:val="16"/>
                <w:highlight w:val="yellow"/>
                <w:lang w:eastAsia="en-AU"/>
              </w:rPr>
            </w:pPr>
            <w:r>
              <w:rPr>
                <w:rFonts w:ascii="Arial" w:hAnsi="Arial" w:cs="Arial"/>
                <w:i/>
                <w:iCs/>
                <w:sz w:val="16"/>
                <w:szCs w:val="16"/>
              </w:rPr>
              <w:t>0.0</w:t>
            </w:r>
          </w:p>
        </w:tc>
        <w:tc>
          <w:tcPr>
            <w:tcW w:w="341" w:type="pct"/>
            <w:tcBorders>
              <w:top w:val="nil"/>
              <w:left w:val="nil"/>
              <w:right w:val="nil"/>
            </w:tcBorders>
            <w:shd w:val="clear" w:color="auto" w:fill="auto"/>
            <w:noWrap/>
            <w:vAlign w:val="bottom"/>
          </w:tcPr>
          <w:p w14:paraId="54043BBE" w14:textId="322E4D11" w:rsidR="005E43D6" w:rsidRPr="005458F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34.2</w:t>
            </w:r>
          </w:p>
        </w:tc>
        <w:tc>
          <w:tcPr>
            <w:tcW w:w="46" w:type="pct"/>
            <w:tcBorders>
              <w:top w:val="nil"/>
              <w:left w:val="nil"/>
              <w:right w:val="nil"/>
            </w:tcBorders>
            <w:shd w:val="clear" w:color="auto" w:fill="auto"/>
            <w:noWrap/>
            <w:vAlign w:val="center"/>
          </w:tcPr>
          <w:p w14:paraId="4174C875" w14:textId="7DFD333F"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40" w:type="pct"/>
            <w:tcBorders>
              <w:top w:val="nil"/>
              <w:left w:val="nil"/>
              <w:right w:val="nil"/>
            </w:tcBorders>
            <w:shd w:val="clear" w:color="auto" w:fill="auto"/>
            <w:noWrap/>
            <w:vAlign w:val="bottom"/>
          </w:tcPr>
          <w:p w14:paraId="383B0194" w14:textId="407E66CA" w:rsidR="005E43D6" w:rsidRPr="00A44B8F"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16.7</w:t>
            </w:r>
          </w:p>
        </w:tc>
        <w:tc>
          <w:tcPr>
            <w:tcW w:w="348" w:type="pct"/>
            <w:tcBorders>
              <w:top w:val="nil"/>
              <w:left w:val="nil"/>
              <w:right w:val="nil"/>
            </w:tcBorders>
            <w:shd w:val="clear" w:color="auto" w:fill="auto"/>
            <w:noWrap/>
            <w:vAlign w:val="bottom"/>
          </w:tcPr>
          <w:p w14:paraId="4AB852C5" w14:textId="6E4D5C3B" w:rsidR="005E43D6" w:rsidRPr="00A44B8F"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44.3</w:t>
            </w:r>
          </w:p>
        </w:tc>
      </w:tr>
      <w:tr w:rsidR="005E43D6" w:rsidRPr="00A44B8F" w14:paraId="18D71698" w14:textId="77777777" w:rsidTr="005E43D6">
        <w:tblPrEx>
          <w:tblCellMar>
            <w:left w:w="17" w:type="dxa"/>
            <w:right w:w="17" w:type="dxa"/>
          </w:tblCellMar>
        </w:tblPrEx>
        <w:trPr>
          <w:trHeight w:val="227"/>
        </w:trPr>
        <w:tc>
          <w:tcPr>
            <w:tcW w:w="2123" w:type="pct"/>
            <w:tcBorders>
              <w:top w:val="nil"/>
              <w:left w:val="nil"/>
              <w:bottom w:val="single" w:sz="12" w:space="0" w:color="auto"/>
              <w:right w:val="nil"/>
            </w:tcBorders>
            <w:shd w:val="clear" w:color="auto" w:fill="auto"/>
            <w:noWrap/>
            <w:vAlign w:val="center"/>
            <w:hideMark/>
          </w:tcPr>
          <w:p w14:paraId="34108799" w14:textId="5C1F297B" w:rsidR="005E43D6" w:rsidRPr="00A44B8F" w:rsidRDefault="005E43D6" w:rsidP="005E43D6">
            <w:pPr>
              <w:spacing w:after="0" w:line="276" w:lineRule="auto"/>
              <w:rPr>
                <w:rFonts w:ascii="Arial" w:eastAsia="Times New Roman" w:hAnsi="Arial" w:cs="Arial"/>
                <w:i/>
                <w:iCs/>
                <w:sz w:val="16"/>
                <w:szCs w:val="16"/>
                <w:lang w:eastAsia="en-AU"/>
              </w:rPr>
            </w:pPr>
            <w:r w:rsidRPr="00A44B8F">
              <w:rPr>
                <w:rFonts w:ascii="Arial" w:eastAsia="Times New Roman" w:hAnsi="Arial" w:cs="Arial"/>
                <w:i/>
                <w:iCs/>
                <w:sz w:val="16"/>
                <w:szCs w:val="16"/>
                <w:lang w:eastAsia="en-AU"/>
              </w:rPr>
              <w:t xml:space="preserve">Live </w:t>
            </w:r>
            <w:r>
              <w:rPr>
                <w:rFonts w:ascii="Arial" w:eastAsia="Times New Roman" w:hAnsi="Arial" w:cs="Arial"/>
                <w:i/>
                <w:iCs/>
                <w:sz w:val="16"/>
                <w:szCs w:val="16"/>
                <w:lang w:eastAsia="en-AU"/>
              </w:rPr>
              <w:t>births</w:t>
            </w:r>
            <w:r w:rsidRPr="00A44B8F">
              <w:rPr>
                <w:rFonts w:ascii="Arial" w:eastAsia="Times New Roman" w:hAnsi="Arial" w:cs="Arial"/>
                <w:i/>
                <w:iCs/>
                <w:sz w:val="16"/>
                <w:szCs w:val="16"/>
                <w:lang w:eastAsia="en-AU"/>
              </w:rPr>
              <w:t xml:space="preserve"> per embryo transfer cycle (%)</w:t>
            </w:r>
          </w:p>
        </w:tc>
        <w:tc>
          <w:tcPr>
            <w:tcW w:w="341" w:type="pct"/>
            <w:tcBorders>
              <w:top w:val="nil"/>
              <w:left w:val="nil"/>
              <w:bottom w:val="single" w:sz="12" w:space="0" w:color="auto"/>
              <w:right w:val="nil"/>
            </w:tcBorders>
            <w:shd w:val="clear" w:color="auto" w:fill="auto"/>
            <w:noWrap/>
            <w:vAlign w:val="bottom"/>
          </w:tcPr>
          <w:p w14:paraId="792EBA5E" w14:textId="037633AC" w:rsidR="005E43D6" w:rsidRPr="00A44B8F"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18.2</w:t>
            </w:r>
          </w:p>
        </w:tc>
        <w:tc>
          <w:tcPr>
            <w:tcW w:w="349" w:type="pct"/>
            <w:tcBorders>
              <w:top w:val="nil"/>
              <w:left w:val="nil"/>
              <w:bottom w:val="single" w:sz="12" w:space="0" w:color="auto"/>
              <w:right w:val="nil"/>
            </w:tcBorders>
            <w:shd w:val="clear" w:color="auto" w:fill="auto"/>
            <w:noWrap/>
            <w:vAlign w:val="bottom"/>
          </w:tcPr>
          <w:p w14:paraId="10B0946C" w14:textId="3945B022" w:rsidR="005E43D6" w:rsidRPr="00A44B8F"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41.0</w:t>
            </w:r>
          </w:p>
        </w:tc>
        <w:tc>
          <w:tcPr>
            <w:tcW w:w="46" w:type="pct"/>
            <w:tcBorders>
              <w:top w:val="nil"/>
              <w:left w:val="nil"/>
              <w:bottom w:val="single" w:sz="12" w:space="0" w:color="auto"/>
              <w:right w:val="nil"/>
            </w:tcBorders>
            <w:shd w:val="clear" w:color="auto" w:fill="auto"/>
            <w:noWrap/>
            <w:vAlign w:val="center"/>
          </w:tcPr>
          <w:p w14:paraId="613AB8D7" w14:textId="6B64BAD5"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40" w:type="pct"/>
            <w:tcBorders>
              <w:top w:val="nil"/>
              <w:left w:val="nil"/>
              <w:bottom w:val="single" w:sz="12" w:space="0" w:color="auto"/>
              <w:right w:val="nil"/>
            </w:tcBorders>
            <w:shd w:val="clear" w:color="auto" w:fill="auto"/>
            <w:noWrap/>
            <w:vAlign w:val="bottom"/>
          </w:tcPr>
          <w:p w14:paraId="24D2067F" w14:textId="6A6CBC44" w:rsidR="005E43D6" w:rsidRPr="0095217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8.3</w:t>
            </w:r>
          </w:p>
        </w:tc>
        <w:tc>
          <w:tcPr>
            <w:tcW w:w="341" w:type="pct"/>
            <w:tcBorders>
              <w:top w:val="nil"/>
              <w:left w:val="nil"/>
              <w:bottom w:val="single" w:sz="12" w:space="0" w:color="auto"/>
              <w:right w:val="nil"/>
            </w:tcBorders>
            <w:shd w:val="clear" w:color="auto" w:fill="auto"/>
            <w:noWrap/>
            <w:vAlign w:val="bottom"/>
          </w:tcPr>
          <w:p w14:paraId="284FE951" w14:textId="7B32E11E" w:rsidR="005E43D6" w:rsidRPr="00A44B8F"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33.1</w:t>
            </w:r>
          </w:p>
        </w:tc>
        <w:tc>
          <w:tcPr>
            <w:tcW w:w="46" w:type="pct"/>
            <w:tcBorders>
              <w:top w:val="nil"/>
              <w:left w:val="nil"/>
              <w:bottom w:val="single" w:sz="12" w:space="0" w:color="auto"/>
              <w:right w:val="nil"/>
            </w:tcBorders>
            <w:shd w:val="clear" w:color="auto" w:fill="auto"/>
            <w:noWrap/>
            <w:vAlign w:val="center"/>
          </w:tcPr>
          <w:p w14:paraId="1CB67E3A" w14:textId="2B8A141F"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40" w:type="pct"/>
            <w:tcBorders>
              <w:top w:val="nil"/>
              <w:left w:val="nil"/>
              <w:bottom w:val="single" w:sz="12" w:space="0" w:color="auto"/>
              <w:right w:val="nil"/>
            </w:tcBorders>
            <w:shd w:val="clear" w:color="auto" w:fill="auto"/>
            <w:noWrap/>
            <w:vAlign w:val="bottom"/>
          </w:tcPr>
          <w:p w14:paraId="20153A95" w14:textId="416FE8F4" w:rsidR="005E43D6" w:rsidRPr="00A44B8F"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0.0</w:t>
            </w:r>
          </w:p>
        </w:tc>
        <w:tc>
          <w:tcPr>
            <w:tcW w:w="341" w:type="pct"/>
            <w:tcBorders>
              <w:top w:val="nil"/>
              <w:left w:val="nil"/>
              <w:bottom w:val="single" w:sz="12" w:space="0" w:color="auto"/>
              <w:right w:val="nil"/>
            </w:tcBorders>
            <w:shd w:val="clear" w:color="auto" w:fill="auto"/>
            <w:noWrap/>
            <w:vAlign w:val="bottom"/>
          </w:tcPr>
          <w:p w14:paraId="697532DA" w14:textId="672DBEC9" w:rsidR="005E43D6" w:rsidRPr="00A44B8F"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24.6</w:t>
            </w:r>
          </w:p>
        </w:tc>
        <w:tc>
          <w:tcPr>
            <w:tcW w:w="46" w:type="pct"/>
            <w:tcBorders>
              <w:top w:val="nil"/>
              <w:left w:val="nil"/>
              <w:bottom w:val="single" w:sz="12" w:space="0" w:color="auto"/>
              <w:right w:val="nil"/>
            </w:tcBorders>
            <w:shd w:val="clear" w:color="auto" w:fill="auto"/>
            <w:noWrap/>
            <w:vAlign w:val="center"/>
          </w:tcPr>
          <w:p w14:paraId="502CD566" w14:textId="3279FE92" w:rsidR="005E43D6" w:rsidRPr="00A44B8F"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340" w:type="pct"/>
            <w:tcBorders>
              <w:top w:val="nil"/>
              <w:left w:val="nil"/>
              <w:bottom w:val="single" w:sz="12" w:space="0" w:color="auto"/>
              <w:right w:val="nil"/>
            </w:tcBorders>
            <w:shd w:val="clear" w:color="auto" w:fill="auto"/>
            <w:noWrap/>
            <w:vAlign w:val="bottom"/>
          </w:tcPr>
          <w:p w14:paraId="63037BBA" w14:textId="09D30AF8" w:rsidR="005E43D6" w:rsidRPr="00A44B8F"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10.0</w:t>
            </w:r>
          </w:p>
        </w:tc>
        <w:tc>
          <w:tcPr>
            <w:tcW w:w="348" w:type="pct"/>
            <w:tcBorders>
              <w:top w:val="nil"/>
              <w:left w:val="nil"/>
              <w:bottom w:val="single" w:sz="12" w:space="0" w:color="auto"/>
              <w:right w:val="nil"/>
            </w:tcBorders>
            <w:shd w:val="clear" w:color="auto" w:fill="auto"/>
            <w:noWrap/>
            <w:vAlign w:val="bottom"/>
          </w:tcPr>
          <w:p w14:paraId="17AE67F6" w14:textId="60FFD4BB" w:rsidR="005E43D6" w:rsidRPr="00A44B8F"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35.1</w:t>
            </w:r>
          </w:p>
        </w:tc>
      </w:tr>
    </w:tbl>
    <w:p w14:paraId="4874979C" w14:textId="77777777" w:rsidR="009303CD" w:rsidRPr="00617599" w:rsidRDefault="009303CD" w:rsidP="00814AD1">
      <w:pPr>
        <w:pStyle w:val="TableSourcefootnotes"/>
        <w:numPr>
          <w:ilvl w:val="0"/>
          <w:numId w:val="10"/>
        </w:numPr>
        <w:spacing w:before="0" w:after="0" w:line="240" w:lineRule="auto"/>
        <w:ind w:left="391" w:hanging="391"/>
        <w:rPr>
          <w:rFonts w:cs="Arial"/>
        </w:rPr>
      </w:pPr>
      <w:r w:rsidRPr="00617599">
        <w:rPr>
          <w:rFonts w:cs="Arial"/>
        </w:rPr>
        <w:t>Age at start of a treatment cycle.</w:t>
      </w:r>
    </w:p>
    <w:p w14:paraId="3BE915D0" w14:textId="77777777" w:rsidR="009303CD" w:rsidRPr="00617599" w:rsidRDefault="009303CD" w:rsidP="00814AD1">
      <w:pPr>
        <w:pStyle w:val="TableSourcefootnotes"/>
        <w:numPr>
          <w:ilvl w:val="0"/>
          <w:numId w:val="10"/>
        </w:numPr>
        <w:spacing w:before="0" w:after="0" w:line="240" w:lineRule="auto"/>
        <w:ind w:left="391" w:hanging="391"/>
        <w:rPr>
          <w:rFonts w:cs="Arial"/>
        </w:rPr>
      </w:pPr>
      <w:r w:rsidRPr="00617599">
        <w:rPr>
          <w:rFonts w:cs="Arial"/>
        </w:rPr>
        <w:t>CL: cleavage stage embryo.</w:t>
      </w:r>
    </w:p>
    <w:p w14:paraId="77F693BE" w14:textId="77777777" w:rsidR="009303CD" w:rsidRPr="00617599" w:rsidRDefault="009303CD" w:rsidP="00814AD1">
      <w:pPr>
        <w:pStyle w:val="TableSourcefootnotes"/>
        <w:numPr>
          <w:ilvl w:val="0"/>
          <w:numId w:val="10"/>
        </w:numPr>
        <w:spacing w:before="0" w:after="0" w:line="240" w:lineRule="auto"/>
        <w:ind w:left="391" w:hanging="391"/>
        <w:rPr>
          <w:rFonts w:cs="Arial"/>
        </w:rPr>
      </w:pPr>
      <w:r w:rsidRPr="00617599">
        <w:rPr>
          <w:rFonts w:cs="Arial"/>
        </w:rPr>
        <w:t>BL: blastocyst.</w:t>
      </w:r>
    </w:p>
    <w:p w14:paraId="498ECF4B" w14:textId="77777777" w:rsidR="009303CD" w:rsidRPr="00617599" w:rsidRDefault="009303CD" w:rsidP="009303CD">
      <w:pPr>
        <w:pStyle w:val="Heading3"/>
        <w:rPr>
          <w:rFonts w:cs="Arial"/>
        </w:rPr>
      </w:pPr>
      <w:r w:rsidRPr="00617599">
        <w:rPr>
          <w:rFonts w:cs="Arial"/>
          <w:b w:val="0"/>
          <w:bCs w:val="0"/>
          <w:highlight w:val="yellow"/>
        </w:rPr>
        <w:br w:type="page"/>
      </w:r>
      <w:bookmarkStart w:id="297" w:name="_Toc453057400"/>
      <w:bookmarkStart w:id="298" w:name="_Toc453055615"/>
      <w:bookmarkStart w:id="299" w:name="_Toc453054841"/>
    </w:p>
    <w:p w14:paraId="06B3400C" w14:textId="77777777" w:rsidR="009303CD" w:rsidRPr="00617599" w:rsidRDefault="009303CD" w:rsidP="009303CD">
      <w:pPr>
        <w:pStyle w:val="Heading2"/>
        <w:rPr>
          <w:rFonts w:cs="Arial"/>
        </w:rPr>
      </w:pPr>
      <w:bookmarkStart w:id="300" w:name="_Toc453061473"/>
      <w:r w:rsidRPr="00617599">
        <w:rPr>
          <w:rFonts w:cs="Arial"/>
        </w:rPr>
        <w:lastRenderedPageBreak/>
        <w:t>3.4 Donation and recipient cycles</w:t>
      </w:r>
      <w:bookmarkEnd w:id="300"/>
    </w:p>
    <w:p w14:paraId="25ACD0FF" w14:textId="37DBEE21" w:rsidR="009303CD" w:rsidRPr="00617599" w:rsidRDefault="009303CD" w:rsidP="009303CD">
      <w:pPr>
        <w:pStyle w:val="Heading3"/>
        <w:rPr>
          <w:rFonts w:eastAsia="Times New Roman" w:cs="Arial"/>
        </w:rPr>
      </w:pPr>
      <w:bookmarkStart w:id="301" w:name="_Toc453061474"/>
      <w:bookmarkStart w:id="302" w:name="_Toc453059071"/>
      <w:r w:rsidRPr="00617599">
        <w:rPr>
          <w:rFonts w:eastAsia="Times New Roman" w:cs="Arial"/>
        </w:rPr>
        <w:t>Oocyte</w:t>
      </w:r>
      <w:r w:rsidR="00AC35D9">
        <w:rPr>
          <w:rFonts w:eastAsia="Times New Roman" w:cs="Arial"/>
        </w:rPr>
        <w:t>/embryo</w:t>
      </w:r>
      <w:r w:rsidRPr="00617599">
        <w:rPr>
          <w:rFonts w:eastAsia="Times New Roman" w:cs="Arial"/>
        </w:rPr>
        <w:t xml:space="preserve"> donation cycles</w:t>
      </w:r>
      <w:bookmarkEnd w:id="297"/>
      <w:bookmarkEnd w:id="298"/>
      <w:bookmarkEnd w:id="299"/>
      <w:bookmarkEnd w:id="301"/>
      <w:bookmarkEnd w:id="302"/>
    </w:p>
    <w:p w14:paraId="71DA88CC" w14:textId="02C5C60C" w:rsidR="009303CD" w:rsidRPr="00E25D21" w:rsidRDefault="00BE11F3" w:rsidP="009303CD">
      <w:pPr>
        <w:pStyle w:val="NPESUbodytext"/>
        <w:rPr>
          <w:rFonts w:cs="Arial"/>
          <w:color w:val="FF0000"/>
          <w:lang w:eastAsia="en-AU"/>
        </w:rPr>
      </w:pPr>
      <w:r w:rsidRPr="00617599">
        <w:rPr>
          <w:rFonts w:cs="Arial"/>
          <w:lang w:eastAsia="en-AU"/>
        </w:rPr>
        <w:t xml:space="preserve">Of the </w:t>
      </w:r>
      <w:r w:rsidR="00427986">
        <w:rPr>
          <w:rFonts w:cs="Arial"/>
          <w:lang w:eastAsia="en-AU"/>
        </w:rPr>
        <w:t>1</w:t>
      </w:r>
      <w:r w:rsidR="00A714A3">
        <w:rPr>
          <w:rFonts w:cs="Arial"/>
          <w:lang w:eastAsia="en-AU"/>
        </w:rPr>
        <w:t>46</w:t>
      </w:r>
      <w:r w:rsidR="009303CD" w:rsidRPr="00617599">
        <w:rPr>
          <w:rFonts w:cs="Arial"/>
          <w:lang w:eastAsia="en-AU"/>
        </w:rPr>
        <w:t xml:space="preserve"> cycles where the intention was to donate oocytes</w:t>
      </w:r>
      <w:r w:rsidR="00AC35D9">
        <w:rPr>
          <w:rFonts w:cs="Arial"/>
          <w:lang w:eastAsia="en-AU"/>
        </w:rPr>
        <w:t xml:space="preserve"> or embryos</w:t>
      </w:r>
      <w:r w:rsidR="009303CD" w:rsidRPr="00617599">
        <w:rPr>
          <w:rFonts w:cs="Arial"/>
          <w:lang w:eastAsia="en-AU"/>
        </w:rPr>
        <w:t xml:space="preserve"> to a recipient</w:t>
      </w:r>
      <w:r w:rsidR="00AC35D9">
        <w:rPr>
          <w:rFonts w:cs="Arial"/>
          <w:lang w:eastAsia="en-AU"/>
        </w:rPr>
        <w:t>/intending parent(s)</w:t>
      </w:r>
      <w:r w:rsidR="009303CD" w:rsidRPr="00617599">
        <w:rPr>
          <w:rFonts w:cs="Arial"/>
          <w:lang w:eastAsia="en-AU"/>
        </w:rPr>
        <w:t xml:space="preserve">, all </w:t>
      </w:r>
      <w:r w:rsidRPr="00617599">
        <w:rPr>
          <w:rFonts w:cs="Arial"/>
          <w:lang w:eastAsia="en-AU"/>
        </w:rPr>
        <w:t xml:space="preserve">but </w:t>
      </w:r>
      <w:r w:rsidR="00A714A3">
        <w:rPr>
          <w:rFonts w:cs="Arial"/>
          <w:lang w:eastAsia="en-AU"/>
        </w:rPr>
        <w:t>two</w:t>
      </w:r>
      <w:r w:rsidR="001D3C59">
        <w:rPr>
          <w:rFonts w:cs="Arial"/>
          <w:lang w:eastAsia="en-AU"/>
        </w:rPr>
        <w:t xml:space="preserve"> </w:t>
      </w:r>
      <w:r w:rsidRPr="00617599">
        <w:rPr>
          <w:rFonts w:cs="Arial"/>
          <w:lang w:eastAsia="en-AU"/>
        </w:rPr>
        <w:t>cycle</w:t>
      </w:r>
      <w:r w:rsidR="00427986">
        <w:rPr>
          <w:rFonts w:cs="Arial"/>
          <w:lang w:eastAsia="en-AU"/>
        </w:rPr>
        <w:t>s</w:t>
      </w:r>
      <w:r w:rsidR="009303CD" w:rsidRPr="00617599">
        <w:rPr>
          <w:rFonts w:cs="Arial"/>
          <w:lang w:eastAsia="en-AU"/>
        </w:rPr>
        <w:t xml:space="preserve"> proceeded to OPU</w:t>
      </w:r>
      <w:r w:rsidR="004C4F2B">
        <w:rPr>
          <w:rFonts w:cs="Arial"/>
          <w:lang w:eastAsia="en-AU"/>
        </w:rPr>
        <w:t xml:space="preserve"> (98.</w:t>
      </w:r>
      <w:r w:rsidR="00A714A3">
        <w:rPr>
          <w:rFonts w:cs="Arial"/>
          <w:lang w:eastAsia="en-AU"/>
        </w:rPr>
        <w:t>6</w:t>
      </w:r>
      <w:r w:rsidR="004C4F2B">
        <w:rPr>
          <w:rFonts w:cs="Arial"/>
          <w:lang w:eastAsia="en-AU"/>
        </w:rPr>
        <w:t xml:space="preserve">%) and </w:t>
      </w:r>
      <w:r w:rsidR="001D3C59">
        <w:rPr>
          <w:rFonts w:cs="Arial"/>
          <w:lang w:eastAsia="en-AU"/>
        </w:rPr>
        <w:t>1</w:t>
      </w:r>
      <w:r w:rsidR="00A714A3">
        <w:rPr>
          <w:rFonts w:cs="Arial"/>
          <w:lang w:eastAsia="en-AU"/>
        </w:rPr>
        <w:t>24</w:t>
      </w:r>
      <w:r w:rsidR="001D3C59">
        <w:rPr>
          <w:rFonts w:cs="Arial"/>
          <w:lang w:eastAsia="en-AU"/>
        </w:rPr>
        <w:t xml:space="preserve"> </w:t>
      </w:r>
      <w:r w:rsidR="00FE5C74">
        <w:rPr>
          <w:rFonts w:cs="Arial"/>
          <w:lang w:eastAsia="en-AU"/>
        </w:rPr>
        <w:t>(</w:t>
      </w:r>
      <w:r w:rsidR="004C4F2B">
        <w:rPr>
          <w:rFonts w:cs="Arial"/>
          <w:lang w:eastAsia="en-AU"/>
        </w:rPr>
        <w:t>8</w:t>
      </w:r>
      <w:r w:rsidR="00A714A3">
        <w:rPr>
          <w:rFonts w:cs="Arial"/>
          <w:lang w:eastAsia="en-AU"/>
        </w:rPr>
        <w:t>4.9</w:t>
      </w:r>
      <w:r w:rsidR="00FE5C74">
        <w:rPr>
          <w:rFonts w:cs="Arial"/>
          <w:lang w:eastAsia="en-AU"/>
        </w:rPr>
        <w:t>%) of these</w:t>
      </w:r>
      <w:r w:rsidR="00C10B72">
        <w:rPr>
          <w:rFonts w:cs="Arial"/>
          <w:lang w:eastAsia="en-AU"/>
        </w:rPr>
        <w:t xml:space="preserve"> </w:t>
      </w:r>
      <w:r w:rsidR="004C4F2B">
        <w:rPr>
          <w:rFonts w:cs="Arial"/>
          <w:lang w:eastAsia="en-AU"/>
        </w:rPr>
        <w:t>resulted</w:t>
      </w:r>
      <w:r w:rsidR="009303CD" w:rsidRPr="00617599">
        <w:rPr>
          <w:rFonts w:cs="Arial"/>
          <w:lang w:eastAsia="en-AU"/>
        </w:rPr>
        <w:t xml:space="preserve"> in oocytes</w:t>
      </w:r>
      <w:r w:rsidR="00AC35D9">
        <w:rPr>
          <w:rFonts w:cs="Arial"/>
          <w:lang w:eastAsia="en-AU"/>
        </w:rPr>
        <w:t xml:space="preserve"> or embryos</w:t>
      </w:r>
      <w:r w:rsidR="009303CD" w:rsidRPr="00617599">
        <w:rPr>
          <w:rFonts w:cs="Arial"/>
          <w:lang w:eastAsia="en-AU"/>
        </w:rPr>
        <w:t xml:space="preserve"> being donated. The average age of women donating oocytes</w:t>
      </w:r>
      <w:r w:rsidR="004C4F2B">
        <w:rPr>
          <w:rFonts w:cs="Arial"/>
          <w:lang w:eastAsia="en-AU"/>
        </w:rPr>
        <w:t xml:space="preserve"> or embryos</w:t>
      </w:r>
      <w:r w:rsidR="009303CD" w:rsidRPr="00617599">
        <w:rPr>
          <w:rFonts w:cs="Arial"/>
          <w:lang w:eastAsia="en-AU"/>
        </w:rPr>
        <w:t xml:space="preserve"> was </w:t>
      </w:r>
      <w:r w:rsidR="001D3C59">
        <w:rPr>
          <w:rFonts w:cs="Arial"/>
          <w:lang w:eastAsia="en-AU"/>
        </w:rPr>
        <w:t>3</w:t>
      </w:r>
      <w:r w:rsidR="00C65840">
        <w:rPr>
          <w:rFonts w:cs="Arial"/>
          <w:lang w:eastAsia="en-AU"/>
        </w:rPr>
        <w:t>2.1</w:t>
      </w:r>
      <w:r w:rsidRPr="00952173">
        <w:rPr>
          <w:rFonts w:cs="Arial"/>
          <w:lang w:eastAsia="en-AU"/>
        </w:rPr>
        <w:t xml:space="preserve"> </w:t>
      </w:r>
      <w:r w:rsidR="009303CD" w:rsidRPr="00952173">
        <w:rPr>
          <w:rFonts w:cs="Arial"/>
          <w:lang w:eastAsia="en-AU"/>
        </w:rPr>
        <w:t xml:space="preserve">years with </w:t>
      </w:r>
      <w:r w:rsidR="001D3C59">
        <w:rPr>
          <w:rFonts w:cs="Arial"/>
          <w:lang w:eastAsia="en-AU"/>
        </w:rPr>
        <w:t>3</w:t>
      </w:r>
      <w:r w:rsidR="00A714A3">
        <w:rPr>
          <w:rFonts w:cs="Arial"/>
          <w:lang w:eastAsia="en-AU"/>
        </w:rPr>
        <w:t>1.5</w:t>
      </w:r>
      <w:r w:rsidR="009303CD" w:rsidRPr="00952173">
        <w:rPr>
          <w:rFonts w:cs="Arial"/>
          <w:lang w:eastAsia="en-AU"/>
        </w:rPr>
        <w:t>% of</w:t>
      </w:r>
      <w:r w:rsidR="00136275" w:rsidRPr="00952173">
        <w:rPr>
          <w:rFonts w:cs="Arial"/>
          <w:lang w:eastAsia="en-AU"/>
        </w:rPr>
        <w:t xml:space="preserve"> donation </w:t>
      </w:r>
      <w:r w:rsidR="009303CD" w:rsidRPr="00952173">
        <w:rPr>
          <w:rFonts w:cs="Arial"/>
          <w:lang w:eastAsia="en-AU"/>
        </w:rPr>
        <w:t xml:space="preserve">cycles </w:t>
      </w:r>
      <w:r w:rsidR="00136275" w:rsidRPr="00952173">
        <w:rPr>
          <w:rFonts w:cs="Arial"/>
          <w:lang w:eastAsia="en-AU"/>
        </w:rPr>
        <w:t>undertaken by</w:t>
      </w:r>
      <w:r w:rsidR="009303CD" w:rsidRPr="00952173">
        <w:rPr>
          <w:rFonts w:cs="Arial"/>
          <w:lang w:eastAsia="en-AU"/>
        </w:rPr>
        <w:t xml:space="preserve"> women aged 35 or older (Table 1</w:t>
      </w:r>
      <w:r w:rsidR="00F64C79">
        <w:rPr>
          <w:rFonts w:cs="Arial"/>
          <w:lang w:eastAsia="en-AU"/>
        </w:rPr>
        <w:t>7</w:t>
      </w:r>
      <w:r w:rsidR="009303CD" w:rsidRPr="00952173">
        <w:rPr>
          <w:rFonts w:cs="Arial"/>
          <w:lang w:eastAsia="en-A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503"/>
        <w:gridCol w:w="1503"/>
        <w:gridCol w:w="1506"/>
        <w:gridCol w:w="1504"/>
        <w:gridCol w:w="1504"/>
        <w:gridCol w:w="1506"/>
      </w:tblGrid>
      <w:tr w:rsidR="00A13CEC" w:rsidRPr="00617599" w14:paraId="2111E95E" w14:textId="77777777" w:rsidTr="00041835">
        <w:trPr>
          <w:tblHeader/>
        </w:trPr>
        <w:tc>
          <w:tcPr>
            <w:tcW w:w="5000" w:type="pct"/>
            <w:gridSpan w:val="6"/>
            <w:tcBorders>
              <w:bottom w:val="single" w:sz="12" w:space="0" w:color="auto"/>
            </w:tcBorders>
            <w:shd w:val="clear" w:color="auto" w:fill="FFFFFF"/>
            <w:tcMar>
              <w:top w:w="0" w:type="dxa"/>
              <w:left w:w="0" w:type="dxa"/>
              <w:bottom w:w="0" w:type="dxa"/>
              <w:right w:w="0" w:type="dxa"/>
            </w:tcMar>
            <w:vAlign w:val="center"/>
            <w:hideMark/>
          </w:tcPr>
          <w:p w14:paraId="67BEE2DB" w14:textId="41EBBB8B" w:rsidR="00A13CEC" w:rsidRPr="00617599" w:rsidRDefault="00A13CEC" w:rsidP="00360E75">
            <w:pPr>
              <w:pStyle w:val="Caption"/>
              <w:spacing w:before="60" w:line="260" w:lineRule="atLeast"/>
              <w:rPr>
                <w:rFonts w:eastAsia="Times New Roman"/>
                <w:lang w:eastAsia="en-AU"/>
              </w:rPr>
            </w:pPr>
            <w:bookmarkStart w:id="303" w:name="_Toc158026566"/>
            <w:r w:rsidRPr="00617599">
              <w:rPr>
                <w:rFonts w:eastAsia="Times New Roman"/>
                <w:lang w:eastAsia="en-AU"/>
              </w:rPr>
              <w:t xml:space="preserve">Table </w:t>
            </w:r>
            <w:r w:rsidR="00617599" w:rsidRPr="00617599">
              <w:rPr>
                <w:rFonts w:eastAsia="Times New Roman"/>
                <w:lang w:eastAsia="en-AU"/>
              </w:rPr>
              <w:t>1</w:t>
            </w:r>
            <w:r w:rsidR="00F400A5">
              <w:rPr>
                <w:rFonts w:eastAsia="Times New Roman"/>
                <w:lang w:eastAsia="en-AU"/>
              </w:rPr>
              <w:t>7</w:t>
            </w:r>
            <w:r w:rsidRPr="00617599">
              <w:rPr>
                <w:rFonts w:eastAsia="Times New Roman"/>
                <w:lang w:eastAsia="en-AU"/>
              </w:rPr>
              <w:t>: Number of oocyte</w:t>
            </w:r>
            <w:r w:rsidR="00141532">
              <w:rPr>
                <w:rFonts w:eastAsia="Times New Roman"/>
                <w:lang w:eastAsia="en-AU"/>
              </w:rPr>
              <w:t>/embryo</w:t>
            </w:r>
            <w:r w:rsidRPr="00617599">
              <w:rPr>
                <w:rFonts w:eastAsia="Times New Roman"/>
                <w:lang w:eastAsia="en-AU"/>
              </w:rPr>
              <w:t xml:space="preserve"> donation cycles by donor’s age group, </w:t>
            </w:r>
            <w:r w:rsidR="00A501CE">
              <w:rPr>
                <w:rFonts w:eastAsia="Times New Roman"/>
                <w:lang w:eastAsia="en-AU"/>
              </w:rPr>
              <w:t>New Zealand, 20</w:t>
            </w:r>
            <w:r w:rsidR="001D3C59">
              <w:rPr>
                <w:rFonts w:eastAsia="Times New Roman"/>
                <w:lang w:eastAsia="en-AU"/>
              </w:rPr>
              <w:t>2</w:t>
            </w:r>
            <w:r w:rsidR="005E43D6">
              <w:rPr>
                <w:rFonts w:eastAsia="Times New Roman"/>
                <w:lang w:eastAsia="en-AU"/>
              </w:rPr>
              <w:t>1</w:t>
            </w:r>
            <w:bookmarkEnd w:id="303"/>
            <w:r w:rsidR="00A501CE">
              <w:rPr>
                <w:rFonts w:eastAsia="Times New Roman"/>
                <w:lang w:eastAsia="en-AU"/>
              </w:rPr>
              <w:t xml:space="preserve"> </w:t>
            </w:r>
          </w:p>
        </w:tc>
      </w:tr>
      <w:tr w:rsidR="00A13CEC" w:rsidRPr="00617599" w14:paraId="52B413DD" w14:textId="77777777" w:rsidTr="00041835">
        <w:trPr>
          <w:trHeight w:val="676"/>
          <w:tblHeader/>
        </w:trPr>
        <w:tc>
          <w:tcPr>
            <w:tcW w:w="833" w:type="pct"/>
            <w:tcBorders>
              <w:top w:val="single" w:sz="12" w:space="0" w:color="auto"/>
              <w:bottom w:val="single" w:sz="6" w:space="0" w:color="808080"/>
            </w:tcBorders>
            <w:shd w:val="clear" w:color="auto" w:fill="FFFFFF"/>
            <w:tcMar>
              <w:top w:w="0" w:type="dxa"/>
              <w:left w:w="0" w:type="dxa"/>
              <w:bottom w:w="0" w:type="dxa"/>
              <w:right w:w="0" w:type="dxa"/>
            </w:tcMar>
            <w:vAlign w:val="center"/>
            <w:hideMark/>
          </w:tcPr>
          <w:p w14:paraId="47326DA6" w14:textId="77777777" w:rsidR="00A13CEC" w:rsidRPr="00617599" w:rsidRDefault="00A13CEC" w:rsidP="00360E75">
            <w:pPr>
              <w:spacing w:after="0" w:line="276" w:lineRule="auto"/>
              <w:rPr>
                <w:rFonts w:ascii="Arial" w:eastAsia="Times New Roman" w:hAnsi="Arial" w:cs="Arial"/>
                <w:b/>
                <w:bCs/>
                <w:sz w:val="16"/>
                <w:szCs w:val="16"/>
                <w:vertAlign w:val="superscript"/>
                <w:lang w:eastAsia="en-AU"/>
              </w:rPr>
            </w:pPr>
            <w:r w:rsidRPr="00617599">
              <w:rPr>
                <w:rFonts w:ascii="Arial" w:eastAsia="Times New Roman" w:hAnsi="Arial" w:cs="Arial"/>
                <w:b/>
                <w:bCs/>
                <w:sz w:val="16"/>
                <w:szCs w:val="16"/>
                <w:lang w:eastAsia="en-AU"/>
              </w:rPr>
              <w:t>Age group (years)</w:t>
            </w:r>
            <w:r w:rsidR="00870A3B" w:rsidRPr="00617599">
              <w:rPr>
                <w:rFonts w:ascii="Arial" w:eastAsia="Times New Roman" w:hAnsi="Arial" w:cs="Arial"/>
                <w:b/>
                <w:bCs/>
                <w:sz w:val="16"/>
                <w:szCs w:val="16"/>
                <w:vertAlign w:val="superscript"/>
                <w:lang w:eastAsia="en-AU"/>
              </w:rPr>
              <w:t>(a)</w:t>
            </w:r>
          </w:p>
        </w:tc>
        <w:tc>
          <w:tcPr>
            <w:tcW w:w="833" w:type="pct"/>
            <w:tcBorders>
              <w:top w:val="single" w:sz="12" w:space="0" w:color="auto"/>
              <w:bottom w:val="single" w:sz="6" w:space="0" w:color="808080"/>
            </w:tcBorders>
            <w:shd w:val="clear" w:color="auto" w:fill="FFFFFF"/>
            <w:tcMar>
              <w:top w:w="0" w:type="dxa"/>
              <w:left w:w="0" w:type="dxa"/>
              <w:bottom w:w="0" w:type="dxa"/>
              <w:right w:w="0" w:type="dxa"/>
            </w:tcMar>
            <w:vAlign w:val="center"/>
            <w:hideMark/>
          </w:tcPr>
          <w:p w14:paraId="74A5637A" w14:textId="77777777" w:rsidR="00A13CEC" w:rsidRPr="00617599" w:rsidRDefault="00A13CEC"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Initiated cycles (number)</w:t>
            </w:r>
          </w:p>
        </w:tc>
        <w:tc>
          <w:tcPr>
            <w:tcW w:w="834" w:type="pct"/>
            <w:tcBorders>
              <w:top w:val="single" w:sz="12" w:space="0" w:color="auto"/>
              <w:bottom w:val="single" w:sz="6" w:space="0" w:color="808080"/>
            </w:tcBorders>
            <w:shd w:val="clear" w:color="auto" w:fill="FFFFFF"/>
            <w:tcMar>
              <w:top w:w="0" w:type="dxa"/>
              <w:left w:w="0" w:type="dxa"/>
              <w:bottom w:w="0" w:type="dxa"/>
              <w:right w:w="0" w:type="dxa"/>
            </w:tcMar>
            <w:vAlign w:val="center"/>
            <w:hideMark/>
          </w:tcPr>
          <w:p w14:paraId="07E627ED" w14:textId="77777777" w:rsidR="00A13CEC" w:rsidRPr="00617599" w:rsidRDefault="00A13CEC"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Cycles with OPU performed (number)</w:t>
            </w:r>
          </w:p>
        </w:tc>
        <w:tc>
          <w:tcPr>
            <w:tcW w:w="833" w:type="pct"/>
            <w:tcBorders>
              <w:top w:val="single" w:sz="12" w:space="0" w:color="auto"/>
              <w:bottom w:val="single" w:sz="6" w:space="0" w:color="808080"/>
            </w:tcBorders>
            <w:shd w:val="clear" w:color="auto" w:fill="FFFFFF"/>
            <w:tcMar>
              <w:top w:w="0" w:type="dxa"/>
              <w:left w:w="0" w:type="dxa"/>
              <w:bottom w:w="0" w:type="dxa"/>
              <w:right w:w="0" w:type="dxa"/>
            </w:tcMar>
            <w:vAlign w:val="center"/>
            <w:hideMark/>
          </w:tcPr>
          <w:p w14:paraId="23965217" w14:textId="77777777" w:rsidR="00A13CEC" w:rsidRPr="00617599" w:rsidRDefault="00A13CEC"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Cycles with OPU performed (percent)</w:t>
            </w:r>
          </w:p>
        </w:tc>
        <w:tc>
          <w:tcPr>
            <w:tcW w:w="833" w:type="pct"/>
            <w:tcBorders>
              <w:top w:val="single" w:sz="12" w:space="0" w:color="auto"/>
              <w:bottom w:val="single" w:sz="6" w:space="0" w:color="808080"/>
            </w:tcBorders>
            <w:shd w:val="clear" w:color="auto" w:fill="FFFFFF"/>
            <w:tcMar>
              <w:top w:w="0" w:type="dxa"/>
              <w:left w:w="0" w:type="dxa"/>
              <w:bottom w:w="0" w:type="dxa"/>
              <w:right w:w="0" w:type="dxa"/>
            </w:tcMar>
            <w:vAlign w:val="center"/>
            <w:hideMark/>
          </w:tcPr>
          <w:p w14:paraId="58D80F86" w14:textId="250B34E3" w:rsidR="00A13CEC" w:rsidRPr="00617599" w:rsidRDefault="00A13CEC"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Cycles with oocyte</w:t>
            </w:r>
            <w:r w:rsidR="004E56BD">
              <w:rPr>
                <w:rFonts w:ascii="Arial" w:eastAsia="Times New Roman" w:hAnsi="Arial" w:cs="Arial"/>
                <w:b/>
                <w:bCs/>
                <w:sz w:val="16"/>
                <w:szCs w:val="16"/>
                <w:lang w:eastAsia="en-AU"/>
              </w:rPr>
              <w:t>s</w:t>
            </w:r>
            <w:r w:rsidR="00141532">
              <w:rPr>
                <w:rFonts w:ascii="Arial" w:eastAsia="Times New Roman" w:hAnsi="Arial" w:cs="Arial"/>
                <w:b/>
                <w:bCs/>
                <w:sz w:val="16"/>
                <w:szCs w:val="16"/>
                <w:lang w:eastAsia="en-AU"/>
              </w:rPr>
              <w:t>/embryos</w:t>
            </w:r>
            <w:r w:rsidRPr="00617599">
              <w:rPr>
                <w:rFonts w:ascii="Arial" w:eastAsia="Times New Roman" w:hAnsi="Arial" w:cs="Arial"/>
                <w:b/>
                <w:bCs/>
                <w:sz w:val="16"/>
                <w:szCs w:val="16"/>
                <w:lang w:eastAsia="en-AU"/>
              </w:rPr>
              <w:t xml:space="preserve"> donated (number)</w:t>
            </w:r>
          </w:p>
        </w:tc>
        <w:tc>
          <w:tcPr>
            <w:tcW w:w="834" w:type="pct"/>
            <w:tcBorders>
              <w:top w:val="single" w:sz="12" w:space="0" w:color="auto"/>
              <w:bottom w:val="single" w:sz="6" w:space="0" w:color="808080"/>
            </w:tcBorders>
            <w:shd w:val="clear" w:color="auto" w:fill="FFFFFF"/>
            <w:tcMar>
              <w:top w:w="0" w:type="dxa"/>
              <w:left w:w="0" w:type="dxa"/>
              <w:bottom w:w="0" w:type="dxa"/>
              <w:right w:w="0" w:type="dxa"/>
            </w:tcMar>
            <w:vAlign w:val="center"/>
            <w:hideMark/>
          </w:tcPr>
          <w:p w14:paraId="73D87958" w14:textId="3BA6D9A6" w:rsidR="00A13CEC" w:rsidRPr="00617599" w:rsidRDefault="00A13CEC"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Cycles with oocyte</w:t>
            </w:r>
            <w:r w:rsidR="008774D6">
              <w:rPr>
                <w:rFonts w:ascii="Arial" w:eastAsia="Times New Roman" w:hAnsi="Arial" w:cs="Arial"/>
                <w:b/>
                <w:bCs/>
                <w:sz w:val="16"/>
                <w:szCs w:val="16"/>
                <w:lang w:eastAsia="en-AU"/>
              </w:rPr>
              <w:t>s</w:t>
            </w:r>
            <w:r w:rsidR="00141532">
              <w:rPr>
                <w:rFonts w:ascii="Arial" w:eastAsia="Times New Roman" w:hAnsi="Arial" w:cs="Arial"/>
                <w:b/>
                <w:bCs/>
                <w:sz w:val="16"/>
                <w:szCs w:val="16"/>
                <w:lang w:eastAsia="en-AU"/>
              </w:rPr>
              <w:t>/embryos</w:t>
            </w:r>
            <w:r w:rsidRPr="00617599">
              <w:rPr>
                <w:rFonts w:ascii="Arial" w:eastAsia="Times New Roman" w:hAnsi="Arial" w:cs="Arial"/>
                <w:b/>
                <w:bCs/>
                <w:sz w:val="16"/>
                <w:szCs w:val="16"/>
                <w:lang w:eastAsia="en-AU"/>
              </w:rPr>
              <w:t xml:space="preserve"> donated (percent)</w:t>
            </w:r>
          </w:p>
        </w:tc>
      </w:tr>
      <w:tr w:rsidR="005E43D6" w:rsidRPr="00617599" w14:paraId="210AD03F" w14:textId="77777777" w:rsidTr="00360E75">
        <w:trPr>
          <w:trHeight w:hRule="exact" w:val="227"/>
        </w:trPr>
        <w:tc>
          <w:tcPr>
            <w:tcW w:w="833" w:type="pct"/>
            <w:shd w:val="clear" w:color="auto" w:fill="FFFFFF"/>
            <w:tcMar>
              <w:top w:w="0" w:type="dxa"/>
              <w:left w:w="0" w:type="dxa"/>
              <w:bottom w:w="0" w:type="dxa"/>
              <w:right w:w="0" w:type="dxa"/>
            </w:tcMar>
            <w:vAlign w:val="center"/>
            <w:hideMark/>
          </w:tcPr>
          <w:p w14:paraId="616AD887" w14:textId="77777777" w:rsidR="005E43D6" w:rsidRPr="00617599" w:rsidRDefault="005E43D6" w:rsidP="005E43D6">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&lt; 30</w:t>
            </w:r>
          </w:p>
        </w:tc>
        <w:tc>
          <w:tcPr>
            <w:tcW w:w="833" w:type="pct"/>
            <w:shd w:val="clear" w:color="auto" w:fill="FFFFFF"/>
            <w:tcMar>
              <w:top w:w="0" w:type="dxa"/>
              <w:left w:w="0" w:type="dxa"/>
              <w:bottom w:w="0" w:type="dxa"/>
              <w:right w:w="0" w:type="dxa"/>
            </w:tcMar>
            <w:vAlign w:val="bottom"/>
            <w:hideMark/>
          </w:tcPr>
          <w:p w14:paraId="5B01ABAD" w14:textId="04AAB5EA" w:rsidR="005E43D6" w:rsidRPr="0042798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34</w:t>
            </w:r>
          </w:p>
        </w:tc>
        <w:tc>
          <w:tcPr>
            <w:tcW w:w="834" w:type="pct"/>
            <w:shd w:val="clear" w:color="auto" w:fill="FFFFFF"/>
            <w:tcMar>
              <w:top w:w="0" w:type="dxa"/>
              <w:left w:w="0" w:type="dxa"/>
              <w:bottom w:w="0" w:type="dxa"/>
              <w:right w:w="0" w:type="dxa"/>
            </w:tcMar>
            <w:vAlign w:val="bottom"/>
            <w:hideMark/>
          </w:tcPr>
          <w:p w14:paraId="6A23F69E" w14:textId="505A2AC9" w:rsidR="005E43D6" w:rsidRPr="0042798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34</w:t>
            </w:r>
          </w:p>
        </w:tc>
        <w:tc>
          <w:tcPr>
            <w:tcW w:w="833" w:type="pct"/>
            <w:shd w:val="clear" w:color="auto" w:fill="FFFFFF"/>
            <w:tcMar>
              <w:top w:w="0" w:type="dxa"/>
              <w:left w:w="0" w:type="dxa"/>
              <w:bottom w:w="0" w:type="dxa"/>
              <w:right w:w="0" w:type="dxa"/>
            </w:tcMar>
            <w:vAlign w:val="bottom"/>
            <w:hideMark/>
          </w:tcPr>
          <w:p w14:paraId="00B90563" w14:textId="59D10B4C" w:rsidR="005E43D6" w:rsidRPr="0042798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100.0</w:t>
            </w:r>
          </w:p>
        </w:tc>
        <w:tc>
          <w:tcPr>
            <w:tcW w:w="833" w:type="pct"/>
            <w:shd w:val="clear" w:color="auto" w:fill="FFFFFF"/>
            <w:tcMar>
              <w:top w:w="0" w:type="dxa"/>
              <w:left w:w="0" w:type="dxa"/>
              <w:bottom w:w="0" w:type="dxa"/>
              <w:right w:w="0" w:type="dxa"/>
            </w:tcMar>
            <w:vAlign w:val="bottom"/>
            <w:hideMark/>
          </w:tcPr>
          <w:p w14:paraId="55104F5A" w14:textId="1DD5BB73" w:rsidR="005E43D6" w:rsidRPr="00DA5ACA"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33</w:t>
            </w:r>
          </w:p>
        </w:tc>
        <w:tc>
          <w:tcPr>
            <w:tcW w:w="834" w:type="pct"/>
            <w:shd w:val="clear" w:color="auto" w:fill="FFFFFF"/>
            <w:tcMar>
              <w:top w:w="0" w:type="dxa"/>
              <w:left w:w="0" w:type="dxa"/>
              <w:bottom w:w="0" w:type="dxa"/>
              <w:right w:w="0" w:type="dxa"/>
            </w:tcMar>
            <w:vAlign w:val="bottom"/>
            <w:hideMark/>
          </w:tcPr>
          <w:p w14:paraId="6DC105DD" w14:textId="23B0F0E4" w:rsidR="005E43D6" w:rsidRPr="0042798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97.1</w:t>
            </w:r>
          </w:p>
        </w:tc>
      </w:tr>
      <w:tr w:rsidR="005E43D6" w:rsidRPr="00617599" w14:paraId="64DE3908" w14:textId="77777777" w:rsidTr="00360E75">
        <w:trPr>
          <w:trHeight w:hRule="exact" w:val="227"/>
        </w:trPr>
        <w:tc>
          <w:tcPr>
            <w:tcW w:w="833" w:type="pct"/>
            <w:shd w:val="clear" w:color="auto" w:fill="FFFFFF"/>
            <w:tcMar>
              <w:top w:w="0" w:type="dxa"/>
              <w:left w:w="0" w:type="dxa"/>
              <w:bottom w:w="0" w:type="dxa"/>
              <w:right w:w="0" w:type="dxa"/>
            </w:tcMar>
            <w:vAlign w:val="center"/>
            <w:hideMark/>
          </w:tcPr>
          <w:p w14:paraId="36E3B629" w14:textId="77777777" w:rsidR="005E43D6" w:rsidRPr="00617599" w:rsidRDefault="005E43D6" w:rsidP="005E43D6">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30-34</w:t>
            </w:r>
          </w:p>
        </w:tc>
        <w:tc>
          <w:tcPr>
            <w:tcW w:w="833" w:type="pct"/>
            <w:shd w:val="clear" w:color="auto" w:fill="FFFFFF"/>
            <w:tcMar>
              <w:top w:w="0" w:type="dxa"/>
              <w:left w:w="0" w:type="dxa"/>
              <w:bottom w:w="0" w:type="dxa"/>
              <w:right w:w="0" w:type="dxa"/>
            </w:tcMar>
            <w:vAlign w:val="bottom"/>
            <w:hideMark/>
          </w:tcPr>
          <w:p w14:paraId="58D0225A" w14:textId="291E01C4" w:rsidR="005E43D6" w:rsidRPr="00DA5ACA"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66</w:t>
            </w:r>
          </w:p>
        </w:tc>
        <w:tc>
          <w:tcPr>
            <w:tcW w:w="834" w:type="pct"/>
            <w:shd w:val="clear" w:color="auto" w:fill="FFFFFF"/>
            <w:tcMar>
              <w:top w:w="0" w:type="dxa"/>
              <w:left w:w="0" w:type="dxa"/>
              <w:bottom w:w="0" w:type="dxa"/>
              <w:right w:w="0" w:type="dxa"/>
            </w:tcMar>
            <w:vAlign w:val="bottom"/>
            <w:hideMark/>
          </w:tcPr>
          <w:p w14:paraId="43C2C045" w14:textId="695855FF"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65</w:t>
            </w:r>
          </w:p>
        </w:tc>
        <w:tc>
          <w:tcPr>
            <w:tcW w:w="833" w:type="pct"/>
            <w:shd w:val="clear" w:color="auto" w:fill="FFFFFF"/>
            <w:tcMar>
              <w:top w:w="0" w:type="dxa"/>
              <w:left w:w="0" w:type="dxa"/>
              <w:bottom w:w="0" w:type="dxa"/>
              <w:right w:w="0" w:type="dxa"/>
            </w:tcMar>
            <w:vAlign w:val="bottom"/>
            <w:hideMark/>
          </w:tcPr>
          <w:p w14:paraId="2156EE49" w14:textId="6E016F1F" w:rsidR="005E43D6" w:rsidRPr="00DA5ACA"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98.5</w:t>
            </w:r>
          </w:p>
        </w:tc>
        <w:tc>
          <w:tcPr>
            <w:tcW w:w="833" w:type="pct"/>
            <w:shd w:val="clear" w:color="auto" w:fill="FFFFFF"/>
            <w:tcMar>
              <w:top w:w="0" w:type="dxa"/>
              <w:left w:w="0" w:type="dxa"/>
              <w:bottom w:w="0" w:type="dxa"/>
              <w:right w:w="0" w:type="dxa"/>
            </w:tcMar>
            <w:vAlign w:val="bottom"/>
            <w:hideMark/>
          </w:tcPr>
          <w:p w14:paraId="1F002A7B" w14:textId="4BB75A65" w:rsidR="005E43D6" w:rsidRPr="00DA5ACA"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57</w:t>
            </w:r>
          </w:p>
        </w:tc>
        <w:tc>
          <w:tcPr>
            <w:tcW w:w="834" w:type="pct"/>
            <w:shd w:val="clear" w:color="auto" w:fill="FFFFFF"/>
            <w:tcMar>
              <w:top w:w="0" w:type="dxa"/>
              <w:left w:w="0" w:type="dxa"/>
              <w:bottom w:w="0" w:type="dxa"/>
              <w:right w:w="0" w:type="dxa"/>
            </w:tcMar>
            <w:vAlign w:val="bottom"/>
            <w:hideMark/>
          </w:tcPr>
          <w:p w14:paraId="646A80DB" w14:textId="11C80CD5" w:rsidR="005E43D6" w:rsidRPr="0042798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86.4</w:t>
            </w:r>
          </w:p>
        </w:tc>
      </w:tr>
      <w:tr w:rsidR="005E43D6" w:rsidRPr="00FE3DDD" w14:paraId="15B326C8" w14:textId="77777777" w:rsidTr="00360E75">
        <w:trPr>
          <w:trHeight w:hRule="exact" w:val="227"/>
        </w:trPr>
        <w:tc>
          <w:tcPr>
            <w:tcW w:w="833" w:type="pct"/>
            <w:shd w:val="clear" w:color="auto" w:fill="FFFFFF"/>
            <w:tcMar>
              <w:top w:w="0" w:type="dxa"/>
              <w:left w:w="0" w:type="dxa"/>
              <w:bottom w:w="0" w:type="dxa"/>
              <w:right w:w="0" w:type="dxa"/>
            </w:tcMar>
            <w:vAlign w:val="center"/>
            <w:hideMark/>
          </w:tcPr>
          <w:p w14:paraId="3C3EE231" w14:textId="77777777" w:rsidR="005E43D6" w:rsidRPr="00617599" w:rsidRDefault="005E43D6" w:rsidP="005E43D6">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35-39</w:t>
            </w:r>
          </w:p>
        </w:tc>
        <w:tc>
          <w:tcPr>
            <w:tcW w:w="833" w:type="pct"/>
            <w:shd w:val="clear" w:color="auto" w:fill="FFFFFF"/>
            <w:tcMar>
              <w:top w:w="0" w:type="dxa"/>
              <w:left w:w="0" w:type="dxa"/>
              <w:bottom w:w="0" w:type="dxa"/>
              <w:right w:w="0" w:type="dxa"/>
            </w:tcMar>
            <w:vAlign w:val="bottom"/>
            <w:hideMark/>
          </w:tcPr>
          <w:p w14:paraId="5378360F" w14:textId="355CCE61" w:rsidR="005E43D6" w:rsidRPr="00DA5ACA"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45</w:t>
            </w:r>
          </w:p>
        </w:tc>
        <w:tc>
          <w:tcPr>
            <w:tcW w:w="834" w:type="pct"/>
            <w:shd w:val="clear" w:color="auto" w:fill="FFFFFF"/>
            <w:tcMar>
              <w:top w:w="0" w:type="dxa"/>
              <w:left w:w="0" w:type="dxa"/>
              <w:bottom w:w="0" w:type="dxa"/>
              <w:right w:w="0" w:type="dxa"/>
            </w:tcMar>
            <w:vAlign w:val="bottom"/>
            <w:hideMark/>
          </w:tcPr>
          <w:p w14:paraId="45BEC97F" w14:textId="1C9AD4A0" w:rsidR="005E43D6" w:rsidRPr="00DA5ACA"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44</w:t>
            </w:r>
          </w:p>
        </w:tc>
        <w:tc>
          <w:tcPr>
            <w:tcW w:w="833" w:type="pct"/>
            <w:shd w:val="clear" w:color="auto" w:fill="FFFFFF"/>
            <w:tcMar>
              <w:top w:w="0" w:type="dxa"/>
              <w:left w:w="0" w:type="dxa"/>
              <w:bottom w:w="0" w:type="dxa"/>
              <w:right w:w="0" w:type="dxa"/>
            </w:tcMar>
            <w:vAlign w:val="bottom"/>
            <w:hideMark/>
          </w:tcPr>
          <w:p w14:paraId="4344E421" w14:textId="5DA2DFCA" w:rsidR="005E43D6" w:rsidRPr="00DA5ACA"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97.8</w:t>
            </w:r>
          </w:p>
        </w:tc>
        <w:tc>
          <w:tcPr>
            <w:tcW w:w="833" w:type="pct"/>
            <w:shd w:val="clear" w:color="auto" w:fill="FFFFFF"/>
            <w:tcMar>
              <w:top w:w="0" w:type="dxa"/>
              <w:left w:w="0" w:type="dxa"/>
              <w:bottom w:w="0" w:type="dxa"/>
              <w:right w:w="0" w:type="dxa"/>
            </w:tcMar>
            <w:vAlign w:val="bottom"/>
            <w:hideMark/>
          </w:tcPr>
          <w:p w14:paraId="44F09B68" w14:textId="0950032B" w:rsidR="005E43D6" w:rsidRPr="00427986"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34</w:t>
            </w:r>
          </w:p>
        </w:tc>
        <w:tc>
          <w:tcPr>
            <w:tcW w:w="834" w:type="pct"/>
            <w:shd w:val="clear" w:color="auto" w:fill="FFFFFF"/>
            <w:tcMar>
              <w:top w:w="0" w:type="dxa"/>
              <w:left w:w="0" w:type="dxa"/>
              <w:bottom w:w="0" w:type="dxa"/>
              <w:right w:w="0" w:type="dxa"/>
            </w:tcMar>
            <w:vAlign w:val="bottom"/>
            <w:hideMark/>
          </w:tcPr>
          <w:p w14:paraId="5D86C151" w14:textId="6A217F02" w:rsidR="005E43D6" w:rsidRPr="00952173" w:rsidRDefault="005E43D6" w:rsidP="005E43D6">
            <w:pPr>
              <w:spacing w:after="0" w:line="276" w:lineRule="auto"/>
              <w:jc w:val="right"/>
              <w:rPr>
                <w:rFonts w:ascii="Arial" w:eastAsia="Times New Roman" w:hAnsi="Arial" w:cs="Arial"/>
                <w:color w:val="FF0000"/>
                <w:sz w:val="16"/>
                <w:szCs w:val="16"/>
                <w:lang w:eastAsia="en-AU"/>
              </w:rPr>
            </w:pPr>
            <w:r>
              <w:rPr>
                <w:rFonts w:ascii="Arial" w:hAnsi="Arial" w:cs="Arial"/>
                <w:sz w:val="16"/>
                <w:szCs w:val="16"/>
              </w:rPr>
              <w:t>75.6</w:t>
            </w:r>
          </w:p>
        </w:tc>
      </w:tr>
      <w:tr w:rsidR="005E43D6" w:rsidRPr="0025595F" w14:paraId="67426F58" w14:textId="77777777" w:rsidTr="00360E75">
        <w:trPr>
          <w:trHeight w:hRule="exact" w:val="227"/>
        </w:trPr>
        <w:tc>
          <w:tcPr>
            <w:tcW w:w="833" w:type="pct"/>
            <w:shd w:val="clear" w:color="auto" w:fill="FFFFFF"/>
            <w:tcMar>
              <w:top w:w="0" w:type="dxa"/>
              <w:left w:w="0" w:type="dxa"/>
              <w:bottom w:w="0" w:type="dxa"/>
              <w:right w:w="0" w:type="dxa"/>
            </w:tcMar>
            <w:vAlign w:val="center"/>
            <w:hideMark/>
          </w:tcPr>
          <w:p w14:paraId="14E37EC8" w14:textId="77777777" w:rsidR="005E43D6" w:rsidRPr="00617599" w:rsidRDefault="005E43D6" w:rsidP="005E43D6">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≥40</w:t>
            </w:r>
          </w:p>
        </w:tc>
        <w:tc>
          <w:tcPr>
            <w:tcW w:w="833" w:type="pct"/>
            <w:shd w:val="clear" w:color="auto" w:fill="FFFFFF"/>
            <w:tcMar>
              <w:top w:w="0" w:type="dxa"/>
              <w:left w:w="0" w:type="dxa"/>
              <w:bottom w:w="0" w:type="dxa"/>
              <w:right w:w="0" w:type="dxa"/>
            </w:tcMar>
            <w:vAlign w:val="bottom"/>
            <w:hideMark/>
          </w:tcPr>
          <w:p w14:paraId="76837401" w14:textId="343AFEBA" w:rsidR="005E43D6" w:rsidRPr="00DA5ACA"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w:t>
            </w:r>
          </w:p>
        </w:tc>
        <w:tc>
          <w:tcPr>
            <w:tcW w:w="834" w:type="pct"/>
            <w:shd w:val="clear" w:color="auto" w:fill="FFFFFF"/>
            <w:tcMar>
              <w:top w:w="0" w:type="dxa"/>
              <w:left w:w="0" w:type="dxa"/>
              <w:bottom w:w="0" w:type="dxa"/>
              <w:right w:w="0" w:type="dxa"/>
            </w:tcMar>
            <w:vAlign w:val="bottom"/>
            <w:hideMark/>
          </w:tcPr>
          <w:p w14:paraId="2C0630CB" w14:textId="137210A2" w:rsidR="005E43D6" w:rsidRPr="00DA5ACA"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w:t>
            </w:r>
          </w:p>
        </w:tc>
        <w:tc>
          <w:tcPr>
            <w:tcW w:w="833" w:type="pct"/>
            <w:shd w:val="clear" w:color="auto" w:fill="FFFFFF"/>
            <w:tcMar>
              <w:top w:w="0" w:type="dxa"/>
              <w:left w:w="0" w:type="dxa"/>
              <w:bottom w:w="0" w:type="dxa"/>
              <w:right w:w="0" w:type="dxa"/>
            </w:tcMar>
            <w:vAlign w:val="bottom"/>
            <w:hideMark/>
          </w:tcPr>
          <w:p w14:paraId="048A9AEA" w14:textId="61642EC5" w:rsidR="005E43D6" w:rsidRPr="00DA5ACA"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100.0</w:t>
            </w:r>
          </w:p>
        </w:tc>
        <w:tc>
          <w:tcPr>
            <w:tcW w:w="833" w:type="pct"/>
            <w:shd w:val="clear" w:color="auto" w:fill="FFFFFF"/>
            <w:tcMar>
              <w:top w:w="0" w:type="dxa"/>
              <w:left w:w="0" w:type="dxa"/>
              <w:bottom w:w="0" w:type="dxa"/>
              <w:right w:w="0" w:type="dxa"/>
            </w:tcMar>
            <w:vAlign w:val="bottom"/>
            <w:hideMark/>
          </w:tcPr>
          <w:p w14:paraId="5465BB34" w14:textId="04753A3B" w:rsidR="005E43D6" w:rsidRPr="00427986"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834" w:type="pct"/>
            <w:shd w:val="clear" w:color="auto" w:fill="FFFFFF"/>
            <w:tcMar>
              <w:top w:w="0" w:type="dxa"/>
              <w:left w:w="0" w:type="dxa"/>
              <w:bottom w:w="0" w:type="dxa"/>
              <w:right w:w="0" w:type="dxa"/>
            </w:tcMar>
            <w:vAlign w:val="bottom"/>
            <w:hideMark/>
          </w:tcPr>
          <w:p w14:paraId="5DCB9C92" w14:textId="77585CEF"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0.0</w:t>
            </w:r>
          </w:p>
        </w:tc>
      </w:tr>
      <w:tr w:rsidR="005E43D6" w:rsidRPr="00617599" w14:paraId="78D1EFC7" w14:textId="77777777" w:rsidTr="00360E75">
        <w:trPr>
          <w:trHeight w:hRule="exact" w:val="227"/>
        </w:trPr>
        <w:tc>
          <w:tcPr>
            <w:tcW w:w="833" w:type="pct"/>
            <w:tcBorders>
              <w:bottom w:val="single" w:sz="12" w:space="0" w:color="auto"/>
            </w:tcBorders>
            <w:shd w:val="clear" w:color="auto" w:fill="FFFFFF"/>
            <w:tcMar>
              <w:top w:w="0" w:type="dxa"/>
              <w:left w:w="0" w:type="dxa"/>
              <w:bottom w:w="0" w:type="dxa"/>
              <w:right w:w="0" w:type="dxa"/>
            </w:tcMar>
            <w:vAlign w:val="center"/>
            <w:hideMark/>
          </w:tcPr>
          <w:p w14:paraId="7AB668CB" w14:textId="77777777" w:rsidR="005E43D6" w:rsidRPr="00617599" w:rsidRDefault="005E43D6" w:rsidP="005E43D6">
            <w:pPr>
              <w:spacing w:after="0" w:line="276" w:lineRule="auto"/>
              <w:rPr>
                <w:rFonts w:ascii="Arial" w:eastAsia="Times New Roman" w:hAnsi="Arial" w:cs="Arial"/>
                <w:b/>
                <w:sz w:val="16"/>
                <w:szCs w:val="16"/>
                <w:lang w:eastAsia="en-AU"/>
              </w:rPr>
            </w:pPr>
            <w:r w:rsidRPr="00617599">
              <w:rPr>
                <w:rFonts w:ascii="Arial" w:eastAsia="Times New Roman" w:hAnsi="Arial" w:cs="Arial"/>
                <w:b/>
                <w:sz w:val="16"/>
                <w:szCs w:val="16"/>
                <w:lang w:eastAsia="en-AU"/>
              </w:rPr>
              <w:t>Total</w:t>
            </w:r>
          </w:p>
        </w:tc>
        <w:tc>
          <w:tcPr>
            <w:tcW w:w="833" w:type="pct"/>
            <w:tcBorders>
              <w:bottom w:val="single" w:sz="12" w:space="0" w:color="auto"/>
            </w:tcBorders>
            <w:shd w:val="clear" w:color="auto" w:fill="FFFFFF"/>
            <w:tcMar>
              <w:top w:w="0" w:type="dxa"/>
              <w:left w:w="0" w:type="dxa"/>
              <w:bottom w:w="0" w:type="dxa"/>
              <w:right w:w="0" w:type="dxa"/>
            </w:tcMar>
            <w:vAlign w:val="bottom"/>
            <w:hideMark/>
          </w:tcPr>
          <w:p w14:paraId="42DF2E2E" w14:textId="4C6FE612" w:rsidR="005E43D6" w:rsidRPr="0032580D" w:rsidRDefault="005E43D6" w:rsidP="005E43D6">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146</w:t>
            </w:r>
          </w:p>
        </w:tc>
        <w:tc>
          <w:tcPr>
            <w:tcW w:w="834" w:type="pct"/>
            <w:tcBorders>
              <w:bottom w:val="single" w:sz="12" w:space="0" w:color="auto"/>
            </w:tcBorders>
            <w:shd w:val="clear" w:color="auto" w:fill="FFFFFF"/>
            <w:tcMar>
              <w:top w:w="0" w:type="dxa"/>
              <w:left w:w="0" w:type="dxa"/>
              <w:bottom w:w="0" w:type="dxa"/>
              <w:right w:w="0" w:type="dxa"/>
            </w:tcMar>
            <w:vAlign w:val="bottom"/>
            <w:hideMark/>
          </w:tcPr>
          <w:p w14:paraId="06FB6D10" w14:textId="77AEBE5E" w:rsidR="005E43D6" w:rsidRPr="0032580D" w:rsidRDefault="005E43D6" w:rsidP="005E43D6">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144</w:t>
            </w:r>
          </w:p>
        </w:tc>
        <w:tc>
          <w:tcPr>
            <w:tcW w:w="833" w:type="pct"/>
            <w:tcBorders>
              <w:bottom w:val="single" w:sz="12" w:space="0" w:color="auto"/>
            </w:tcBorders>
            <w:shd w:val="clear" w:color="auto" w:fill="FFFFFF"/>
            <w:tcMar>
              <w:top w:w="0" w:type="dxa"/>
              <w:left w:w="0" w:type="dxa"/>
              <w:bottom w:w="0" w:type="dxa"/>
              <w:right w:w="0" w:type="dxa"/>
            </w:tcMar>
            <w:vAlign w:val="bottom"/>
            <w:hideMark/>
          </w:tcPr>
          <w:p w14:paraId="7693A3D3" w14:textId="32C31C11" w:rsidR="005E43D6" w:rsidRPr="0032580D" w:rsidRDefault="005E43D6" w:rsidP="005E43D6">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98.6</w:t>
            </w:r>
          </w:p>
        </w:tc>
        <w:tc>
          <w:tcPr>
            <w:tcW w:w="833" w:type="pct"/>
            <w:tcBorders>
              <w:bottom w:val="single" w:sz="12" w:space="0" w:color="auto"/>
            </w:tcBorders>
            <w:shd w:val="clear" w:color="auto" w:fill="FFFFFF"/>
            <w:tcMar>
              <w:top w:w="0" w:type="dxa"/>
              <w:left w:w="0" w:type="dxa"/>
              <w:bottom w:w="0" w:type="dxa"/>
              <w:right w:w="0" w:type="dxa"/>
            </w:tcMar>
            <w:vAlign w:val="bottom"/>
            <w:hideMark/>
          </w:tcPr>
          <w:p w14:paraId="1900CB84" w14:textId="04390E89" w:rsidR="005E43D6" w:rsidRPr="0032580D" w:rsidRDefault="005E43D6" w:rsidP="005E43D6">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124</w:t>
            </w:r>
          </w:p>
        </w:tc>
        <w:tc>
          <w:tcPr>
            <w:tcW w:w="834" w:type="pct"/>
            <w:tcBorders>
              <w:bottom w:val="single" w:sz="12" w:space="0" w:color="auto"/>
            </w:tcBorders>
            <w:shd w:val="clear" w:color="auto" w:fill="FFFFFF"/>
            <w:tcMar>
              <w:top w:w="0" w:type="dxa"/>
              <w:left w:w="0" w:type="dxa"/>
              <w:bottom w:w="0" w:type="dxa"/>
              <w:right w:w="0" w:type="dxa"/>
            </w:tcMar>
            <w:vAlign w:val="bottom"/>
            <w:hideMark/>
          </w:tcPr>
          <w:p w14:paraId="4E8C5627" w14:textId="443B4703" w:rsidR="005E43D6" w:rsidRPr="00DA5ACA" w:rsidRDefault="005E43D6" w:rsidP="005E43D6">
            <w:pPr>
              <w:spacing w:after="0" w:line="276" w:lineRule="auto"/>
              <w:jc w:val="right"/>
              <w:rPr>
                <w:rFonts w:ascii="Arial" w:eastAsia="Times New Roman" w:hAnsi="Arial" w:cs="Arial"/>
                <w:b/>
                <w:bCs/>
                <w:sz w:val="16"/>
                <w:szCs w:val="16"/>
                <w:lang w:eastAsia="en-AU"/>
              </w:rPr>
            </w:pPr>
            <w:r>
              <w:rPr>
                <w:rFonts w:ascii="Arial" w:hAnsi="Arial" w:cs="Arial"/>
                <w:b/>
                <w:bCs/>
                <w:sz w:val="16"/>
                <w:szCs w:val="16"/>
              </w:rPr>
              <w:t>84.9</w:t>
            </w:r>
          </w:p>
        </w:tc>
      </w:tr>
    </w:tbl>
    <w:p w14:paraId="28E8AECA" w14:textId="77777777" w:rsidR="009303CD" w:rsidRPr="00617599" w:rsidRDefault="009303CD" w:rsidP="00814AD1">
      <w:pPr>
        <w:pStyle w:val="TableFigNotesnumbered"/>
        <w:numPr>
          <w:ilvl w:val="0"/>
          <w:numId w:val="11"/>
        </w:numPr>
        <w:spacing w:before="0" w:line="240" w:lineRule="auto"/>
        <w:ind w:left="284" w:hanging="284"/>
        <w:rPr>
          <w:rFonts w:cs="Arial"/>
        </w:rPr>
      </w:pPr>
      <w:r w:rsidRPr="00617599">
        <w:rPr>
          <w:rFonts w:cs="Arial"/>
        </w:rPr>
        <w:t>Age at start of a treatment cycle.</w:t>
      </w:r>
    </w:p>
    <w:p w14:paraId="01863ADA" w14:textId="080F722A" w:rsidR="009303CD" w:rsidRPr="00617599" w:rsidRDefault="009303CD" w:rsidP="009303CD">
      <w:pPr>
        <w:pStyle w:val="Heading3"/>
        <w:rPr>
          <w:rFonts w:eastAsia="Times New Roman" w:cs="Arial"/>
        </w:rPr>
      </w:pPr>
      <w:bookmarkStart w:id="304" w:name="_Toc453061475"/>
      <w:bookmarkStart w:id="305" w:name="_Toc453059072"/>
      <w:bookmarkStart w:id="306" w:name="_Toc453057401"/>
      <w:bookmarkStart w:id="307" w:name="_Toc453055616"/>
      <w:bookmarkStart w:id="308" w:name="_Toc453054842"/>
      <w:r w:rsidRPr="00617599">
        <w:rPr>
          <w:rFonts w:eastAsia="Times New Roman" w:cs="Arial"/>
        </w:rPr>
        <w:t xml:space="preserve">Clinical pregnancies and live </w:t>
      </w:r>
      <w:r w:rsidR="00C736CE">
        <w:rPr>
          <w:rFonts w:eastAsia="Times New Roman" w:cs="Arial"/>
        </w:rPr>
        <w:t>births</w:t>
      </w:r>
      <w:r w:rsidRPr="00617599">
        <w:rPr>
          <w:rFonts w:eastAsia="Times New Roman" w:cs="Arial"/>
        </w:rPr>
        <w:t xml:space="preserve"> from oocyte/embryo recipient cycles by type of recipient cycle</w:t>
      </w:r>
      <w:bookmarkEnd w:id="304"/>
      <w:bookmarkEnd w:id="305"/>
      <w:bookmarkEnd w:id="306"/>
      <w:bookmarkEnd w:id="307"/>
      <w:bookmarkEnd w:id="308"/>
    </w:p>
    <w:p w14:paraId="158C6AE8" w14:textId="38B51402" w:rsidR="009303CD" w:rsidRDefault="009303CD" w:rsidP="009303CD">
      <w:pPr>
        <w:pStyle w:val="NPESUbodytext"/>
        <w:rPr>
          <w:rFonts w:cs="Arial"/>
          <w:lang w:eastAsia="en-AU"/>
        </w:rPr>
      </w:pPr>
      <w:r w:rsidRPr="00617599">
        <w:rPr>
          <w:rFonts w:cs="Arial"/>
          <w:lang w:eastAsia="en-AU"/>
        </w:rPr>
        <w:t xml:space="preserve">There were </w:t>
      </w:r>
      <w:r w:rsidR="001D3C59">
        <w:rPr>
          <w:rFonts w:cs="Arial"/>
          <w:lang w:eastAsia="en-AU"/>
        </w:rPr>
        <w:t>3</w:t>
      </w:r>
      <w:r w:rsidR="00A714A3">
        <w:rPr>
          <w:rFonts w:cs="Arial"/>
          <w:lang w:eastAsia="en-AU"/>
        </w:rPr>
        <w:t>89</w:t>
      </w:r>
      <w:r w:rsidR="001D3C59" w:rsidRPr="00617599">
        <w:rPr>
          <w:rFonts w:cs="Arial"/>
          <w:lang w:eastAsia="en-AU"/>
        </w:rPr>
        <w:t xml:space="preserve"> </w:t>
      </w:r>
      <w:r w:rsidRPr="00617599">
        <w:rPr>
          <w:rFonts w:cs="Arial"/>
          <w:lang w:eastAsia="en-AU"/>
        </w:rPr>
        <w:t>oocyte</w:t>
      </w:r>
      <w:r w:rsidR="00103D7C">
        <w:rPr>
          <w:rFonts w:cs="Arial"/>
          <w:lang w:eastAsia="en-AU"/>
        </w:rPr>
        <w:t>/</w:t>
      </w:r>
      <w:r w:rsidRPr="00617599">
        <w:rPr>
          <w:rFonts w:cs="Arial"/>
          <w:lang w:eastAsia="en-AU"/>
        </w:rPr>
        <w:t xml:space="preserve">embryo recipient cycles in </w:t>
      </w:r>
      <w:r w:rsidR="002C669F">
        <w:rPr>
          <w:rFonts w:cs="Arial"/>
          <w:lang w:eastAsia="en-AU"/>
        </w:rPr>
        <w:t>20</w:t>
      </w:r>
      <w:r w:rsidR="001D3C59">
        <w:rPr>
          <w:rFonts w:cs="Arial"/>
          <w:lang w:eastAsia="en-AU"/>
        </w:rPr>
        <w:t>2</w:t>
      </w:r>
      <w:r w:rsidR="00A714A3">
        <w:rPr>
          <w:rFonts w:cs="Arial"/>
          <w:lang w:eastAsia="en-AU"/>
        </w:rPr>
        <w:t>1</w:t>
      </w:r>
      <w:r w:rsidR="00103D7C">
        <w:rPr>
          <w:rFonts w:cs="Arial"/>
          <w:lang w:eastAsia="en-AU"/>
        </w:rPr>
        <w:t xml:space="preserve">, </w:t>
      </w:r>
      <w:r w:rsidR="00C10B72">
        <w:rPr>
          <w:rFonts w:cs="Arial"/>
          <w:lang w:eastAsia="en-AU"/>
        </w:rPr>
        <w:t xml:space="preserve">the </w:t>
      </w:r>
      <w:r w:rsidR="00103D7C">
        <w:rPr>
          <w:rFonts w:cs="Arial"/>
          <w:lang w:eastAsia="en-AU"/>
        </w:rPr>
        <w:t>majority of which were oocyte recipient cycles (</w:t>
      </w:r>
      <w:r w:rsidR="00A714A3">
        <w:rPr>
          <w:rFonts w:cs="Arial"/>
          <w:lang w:eastAsia="en-AU"/>
        </w:rPr>
        <w:t>79.4</w:t>
      </w:r>
      <w:r w:rsidR="00103D7C">
        <w:rPr>
          <w:rFonts w:cs="Arial"/>
          <w:lang w:eastAsia="en-AU"/>
        </w:rPr>
        <w:t xml:space="preserve">%). </w:t>
      </w:r>
      <w:r w:rsidR="002332C5">
        <w:rPr>
          <w:rFonts w:cs="Arial"/>
          <w:lang w:eastAsia="en-AU"/>
        </w:rPr>
        <w:t xml:space="preserve">Of the </w:t>
      </w:r>
      <w:r w:rsidR="00A714A3">
        <w:rPr>
          <w:rFonts w:cs="Arial"/>
          <w:lang w:eastAsia="en-AU"/>
        </w:rPr>
        <w:t>309</w:t>
      </w:r>
      <w:r w:rsidR="001D3C59">
        <w:rPr>
          <w:rFonts w:cs="Arial"/>
          <w:lang w:eastAsia="en-AU"/>
        </w:rPr>
        <w:t xml:space="preserve"> </w:t>
      </w:r>
      <w:r w:rsidR="002332C5">
        <w:rPr>
          <w:rFonts w:cs="Arial"/>
          <w:lang w:eastAsia="en-AU"/>
        </w:rPr>
        <w:t xml:space="preserve">cycles </w:t>
      </w:r>
      <w:r w:rsidR="00666B04">
        <w:rPr>
          <w:rFonts w:cs="Arial"/>
          <w:lang w:eastAsia="en-AU"/>
        </w:rPr>
        <w:t>involving donated oocytes</w:t>
      </w:r>
      <w:r w:rsidR="002332C5">
        <w:rPr>
          <w:rFonts w:cs="Arial"/>
          <w:lang w:eastAsia="en-AU"/>
        </w:rPr>
        <w:t xml:space="preserve">, </w:t>
      </w:r>
      <w:r w:rsidR="00601284">
        <w:rPr>
          <w:rFonts w:cs="Arial"/>
          <w:lang w:eastAsia="en-AU"/>
        </w:rPr>
        <w:t>9</w:t>
      </w:r>
      <w:r w:rsidR="00A714A3">
        <w:rPr>
          <w:rFonts w:cs="Arial"/>
          <w:lang w:eastAsia="en-AU"/>
        </w:rPr>
        <w:t>2.6</w:t>
      </w:r>
      <w:r w:rsidR="002332C5">
        <w:rPr>
          <w:rFonts w:cs="Arial"/>
          <w:lang w:eastAsia="en-AU"/>
        </w:rPr>
        <w:t>% were thaw cycle</w:t>
      </w:r>
      <w:r w:rsidR="004365C4">
        <w:rPr>
          <w:rFonts w:cs="Arial"/>
          <w:lang w:eastAsia="en-AU"/>
        </w:rPr>
        <w:t>s</w:t>
      </w:r>
      <w:r w:rsidR="002332C5">
        <w:rPr>
          <w:rFonts w:cs="Arial"/>
          <w:lang w:eastAsia="en-AU"/>
        </w:rPr>
        <w:t xml:space="preserve"> </w:t>
      </w:r>
      <w:r w:rsidR="00BB4607" w:rsidRPr="00617599">
        <w:rPr>
          <w:rFonts w:cs="Arial"/>
          <w:lang w:eastAsia="en-AU"/>
        </w:rPr>
        <w:t>(Table 1</w:t>
      </w:r>
      <w:r w:rsidR="00F64C79">
        <w:rPr>
          <w:rFonts w:cs="Arial"/>
          <w:lang w:eastAsia="en-AU"/>
        </w:rPr>
        <w:t>8</w:t>
      </w:r>
      <w:r w:rsidR="00BB4607" w:rsidRPr="00617599">
        <w:rPr>
          <w:rFonts w:cs="Arial"/>
          <w:lang w:eastAsia="en-AU"/>
        </w:rPr>
        <w:t>).</w:t>
      </w:r>
      <w:r w:rsidR="00C10B72">
        <w:rPr>
          <w:rFonts w:cs="Arial"/>
          <w:lang w:eastAsia="en-AU"/>
        </w:rPr>
        <w:t xml:space="preserve"> </w:t>
      </w:r>
      <w:r w:rsidR="00BB4607" w:rsidRPr="00617599">
        <w:rPr>
          <w:rFonts w:cs="Arial"/>
          <w:lang w:eastAsia="en-AU"/>
        </w:rPr>
        <w:t xml:space="preserve">Of the </w:t>
      </w:r>
      <w:r w:rsidR="00B64F0A">
        <w:rPr>
          <w:rFonts w:cs="Arial"/>
          <w:lang w:eastAsia="en-AU"/>
        </w:rPr>
        <w:t>2</w:t>
      </w:r>
      <w:r w:rsidR="00A714A3">
        <w:rPr>
          <w:rFonts w:cs="Arial"/>
          <w:lang w:eastAsia="en-AU"/>
        </w:rPr>
        <w:t>8</w:t>
      </w:r>
      <w:r w:rsidR="001267A1">
        <w:rPr>
          <w:rFonts w:cs="Arial"/>
          <w:lang w:eastAsia="en-AU"/>
        </w:rPr>
        <w:t>5</w:t>
      </w:r>
      <w:r w:rsidR="003D264A" w:rsidRPr="00617599">
        <w:rPr>
          <w:rFonts w:cs="Arial"/>
          <w:lang w:eastAsia="en-AU"/>
        </w:rPr>
        <w:t xml:space="preserve"> </w:t>
      </w:r>
      <w:r w:rsidR="003D264A">
        <w:rPr>
          <w:rFonts w:cs="Arial"/>
          <w:lang w:eastAsia="en-AU"/>
        </w:rPr>
        <w:t>thaw</w:t>
      </w:r>
      <w:r w:rsidR="003D264A" w:rsidRPr="00617599">
        <w:rPr>
          <w:rFonts w:cs="Arial"/>
          <w:lang w:eastAsia="en-AU"/>
        </w:rPr>
        <w:t xml:space="preserve"> </w:t>
      </w:r>
      <w:r w:rsidRPr="00617599">
        <w:rPr>
          <w:rFonts w:cs="Arial"/>
          <w:lang w:eastAsia="en-AU"/>
        </w:rPr>
        <w:t>oocyte recipient cycles</w:t>
      </w:r>
      <w:r w:rsidR="00C10B72">
        <w:rPr>
          <w:rFonts w:cs="Arial"/>
          <w:lang w:eastAsia="en-AU"/>
        </w:rPr>
        <w:t xml:space="preserve"> that proceeded to embryo transfer</w:t>
      </w:r>
      <w:r w:rsidRPr="00617599">
        <w:rPr>
          <w:rFonts w:cs="Arial"/>
          <w:lang w:eastAsia="en-AU"/>
        </w:rPr>
        <w:t xml:space="preserve">, </w:t>
      </w:r>
      <w:r w:rsidR="00601284">
        <w:rPr>
          <w:rFonts w:cs="Arial"/>
          <w:lang w:eastAsia="en-AU"/>
        </w:rPr>
        <w:t>3</w:t>
      </w:r>
      <w:r w:rsidR="00A714A3">
        <w:rPr>
          <w:rFonts w:cs="Arial"/>
          <w:lang w:eastAsia="en-AU"/>
        </w:rPr>
        <w:t>3.</w:t>
      </w:r>
      <w:r w:rsidR="001267A1">
        <w:rPr>
          <w:rFonts w:cs="Arial"/>
          <w:lang w:eastAsia="en-AU"/>
        </w:rPr>
        <w:t>3</w:t>
      </w:r>
      <w:r w:rsidRPr="00617599">
        <w:rPr>
          <w:rFonts w:cs="Arial"/>
          <w:lang w:eastAsia="en-AU"/>
        </w:rPr>
        <w:t xml:space="preserve">% resulted in a live </w:t>
      </w:r>
      <w:r w:rsidR="00EC42AE">
        <w:rPr>
          <w:rFonts w:cs="Arial"/>
          <w:lang w:eastAsia="en-AU"/>
        </w:rPr>
        <w:t>birth</w:t>
      </w:r>
      <w:r w:rsidRPr="00617599">
        <w:rPr>
          <w:rFonts w:cs="Arial"/>
          <w:lang w:eastAsia="en-AU"/>
        </w:rPr>
        <w:t xml:space="preserve">. The live </w:t>
      </w:r>
      <w:r w:rsidR="00EC42AE">
        <w:rPr>
          <w:rFonts w:cs="Arial"/>
          <w:lang w:eastAsia="en-AU"/>
        </w:rPr>
        <w:t>birth</w:t>
      </w:r>
      <w:r w:rsidRPr="00617599">
        <w:rPr>
          <w:rFonts w:cs="Arial"/>
          <w:lang w:eastAsia="en-AU"/>
        </w:rPr>
        <w:t xml:space="preserve"> rate </w:t>
      </w:r>
      <w:r w:rsidR="003D264A">
        <w:rPr>
          <w:rFonts w:cs="Arial"/>
          <w:lang w:eastAsia="en-AU"/>
        </w:rPr>
        <w:t>per embryo transfer</w:t>
      </w:r>
      <w:r w:rsidR="00AE0E76">
        <w:rPr>
          <w:rFonts w:cs="Arial"/>
          <w:lang w:eastAsia="en-AU"/>
        </w:rPr>
        <w:t xml:space="preserve"> </w:t>
      </w:r>
      <w:r w:rsidRPr="00617599">
        <w:rPr>
          <w:rFonts w:cs="Arial"/>
          <w:lang w:eastAsia="en-AU"/>
        </w:rPr>
        <w:t xml:space="preserve">for embryo recipient cycles was </w:t>
      </w:r>
      <w:r w:rsidR="00A714A3">
        <w:rPr>
          <w:rFonts w:cs="Arial"/>
          <w:lang w:eastAsia="en-AU"/>
        </w:rPr>
        <w:t>32.5</w:t>
      </w:r>
      <w:r w:rsidRPr="00617599">
        <w:rPr>
          <w:rFonts w:cs="Arial"/>
          <w:lang w:eastAsia="en-AU"/>
        </w:rPr>
        <w:t>%.</w:t>
      </w:r>
    </w:p>
    <w:tbl>
      <w:tblPr>
        <w:tblW w:w="8780" w:type="dxa"/>
        <w:tblLook w:val="04A0" w:firstRow="1" w:lastRow="0" w:firstColumn="1" w:lastColumn="0" w:noHBand="0" w:noVBand="1"/>
      </w:tblPr>
      <w:tblGrid>
        <w:gridCol w:w="4540"/>
        <w:gridCol w:w="1060"/>
        <w:gridCol w:w="1060"/>
        <w:gridCol w:w="1060"/>
        <w:gridCol w:w="1060"/>
      </w:tblGrid>
      <w:tr w:rsidR="00A4292F" w:rsidRPr="00A4292F" w14:paraId="03B0D74F" w14:textId="77777777" w:rsidTr="00584635">
        <w:trPr>
          <w:trHeight w:val="240"/>
        </w:trPr>
        <w:tc>
          <w:tcPr>
            <w:tcW w:w="8780" w:type="dxa"/>
            <w:gridSpan w:val="5"/>
            <w:tcBorders>
              <w:top w:val="nil"/>
              <w:left w:val="nil"/>
              <w:bottom w:val="single" w:sz="12" w:space="0" w:color="auto"/>
              <w:right w:val="nil"/>
            </w:tcBorders>
            <w:shd w:val="clear" w:color="auto" w:fill="auto"/>
            <w:noWrap/>
            <w:vAlign w:val="center"/>
            <w:hideMark/>
          </w:tcPr>
          <w:p w14:paraId="13DF9702" w14:textId="3915F215" w:rsidR="00A4292F" w:rsidRPr="00A4292F" w:rsidRDefault="00A4292F" w:rsidP="00CC6C74">
            <w:pPr>
              <w:pStyle w:val="Caption"/>
              <w:rPr>
                <w:rFonts w:eastAsia="Times New Roman" w:cs="Arial"/>
                <w:color w:val="000000"/>
                <w:sz w:val="16"/>
                <w:szCs w:val="16"/>
                <w:lang w:eastAsia="en-AU"/>
              </w:rPr>
            </w:pPr>
            <w:bookmarkStart w:id="309" w:name="_Toc158026567"/>
            <w:r w:rsidRPr="00584635">
              <w:rPr>
                <w:rFonts w:eastAsia="Times New Roman"/>
                <w:lang w:eastAsia="en-AU"/>
              </w:rPr>
              <w:t>Table 1</w:t>
            </w:r>
            <w:r w:rsidR="00F400A5">
              <w:rPr>
                <w:rFonts w:eastAsia="Times New Roman"/>
                <w:lang w:eastAsia="en-AU"/>
              </w:rPr>
              <w:t>8</w:t>
            </w:r>
            <w:r w:rsidRPr="00584635">
              <w:rPr>
                <w:rFonts w:eastAsia="Times New Roman"/>
                <w:lang w:eastAsia="en-AU"/>
              </w:rPr>
              <w:t xml:space="preserve">: Outcomes of oocyte/embryo recipient cycles by treatment type, </w:t>
            </w:r>
            <w:r w:rsidR="00A501CE">
              <w:rPr>
                <w:rFonts w:eastAsia="Times New Roman"/>
                <w:lang w:eastAsia="en-AU"/>
              </w:rPr>
              <w:t>New Zealand, 20</w:t>
            </w:r>
            <w:r w:rsidR="001D3C59">
              <w:rPr>
                <w:rFonts w:eastAsia="Times New Roman"/>
                <w:lang w:eastAsia="en-AU"/>
              </w:rPr>
              <w:t>2</w:t>
            </w:r>
            <w:r w:rsidR="005E43D6">
              <w:rPr>
                <w:rFonts w:eastAsia="Times New Roman"/>
                <w:lang w:eastAsia="en-AU"/>
              </w:rPr>
              <w:t>1</w:t>
            </w:r>
            <w:bookmarkEnd w:id="309"/>
            <w:r w:rsidR="00A501CE">
              <w:rPr>
                <w:rFonts w:eastAsia="Times New Roman"/>
                <w:lang w:eastAsia="en-AU"/>
              </w:rPr>
              <w:t xml:space="preserve"> </w:t>
            </w:r>
          </w:p>
        </w:tc>
      </w:tr>
      <w:tr w:rsidR="00A4292F" w:rsidRPr="00A4292F" w14:paraId="25A37D03" w14:textId="77777777" w:rsidTr="00360E75">
        <w:trPr>
          <w:trHeight w:val="227"/>
        </w:trPr>
        <w:tc>
          <w:tcPr>
            <w:tcW w:w="4540" w:type="dxa"/>
            <w:tcBorders>
              <w:top w:val="single" w:sz="12" w:space="0" w:color="auto"/>
              <w:left w:val="nil"/>
              <w:bottom w:val="nil"/>
              <w:right w:val="nil"/>
            </w:tcBorders>
            <w:shd w:val="clear" w:color="auto" w:fill="auto"/>
            <w:noWrap/>
            <w:vAlign w:val="center"/>
            <w:hideMark/>
          </w:tcPr>
          <w:p w14:paraId="3240B24A" w14:textId="77777777" w:rsidR="00A4292F" w:rsidRPr="00A4292F" w:rsidRDefault="00A4292F" w:rsidP="00360E75">
            <w:pPr>
              <w:spacing w:after="0" w:line="276" w:lineRule="auto"/>
              <w:rPr>
                <w:rFonts w:ascii="Arial" w:eastAsia="Times New Roman" w:hAnsi="Arial" w:cs="Arial"/>
                <w:b/>
                <w:bCs/>
                <w:color w:val="000000"/>
                <w:sz w:val="16"/>
                <w:szCs w:val="16"/>
                <w:lang w:eastAsia="en-AU"/>
              </w:rPr>
            </w:pPr>
            <w:r w:rsidRPr="00A4292F">
              <w:rPr>
                <w:rFonts w:ascii="Arial" w:eastAsia="Times New Roman" w:hAnsi="Arial" w:cs="Arial"/>
                <w:b/>
                <w:bCs/>
                <w:color w:val="000000"/>
                <w:sz w:val="16"/>
                <w:szCs w:val="16"/>
                <w:lang w:eastAsia="en-AU"/>
              </w:rPr>
              <w:t> </w:t>
            </w:r>
          </w:p>
        </w:tc>
        <w:tc>
          <w:tcPr>
            <w:tcW w:w="2120" w:type="dxa"/>
            <w:gridSpan w:val="2"/>
            <w:tcBorders>
              <w:top w:val="single" w:sz="12" w:space="0" w:color="auto"/>
              <w:left w:val="nil"/>
              <w:bottom w:val="single" w:sz="4" w:space="0" w:color="auto"/>
              <w:right w:val="nil"/>
            </w:tcBorders>
            <w:shd w:val="clear" w:color="auto" w:fill="auto"/>
            <w:noWrap/>
            <w:vAlign w:val="center"/>
            <w:hideMark/>
          </w:tcPr>
          <w:p w14:paraId="77048A62" w14:textId="77777777" w:rsidR="00A4292F" w:rsidRPr="00A4292F" w:rsidRDefault="00A4292F" w:rsidP="00360E75">
            <w:pPr>
              <w:spacing w:after="0" w:line="276" w:lineRule="auto"/>
              <w:jc w:val="center"/>
              <w:rPr>
                <w:rFonts w:ascii="Arial" w:eastAsia="Times New Roman" w:hAnsi="Arial" w:cs="Arial"/>
                <w:b/>
                <w:bCs/>
                <w:color w:val="000000"/>
                <w:sz w:val="16"/>
                <w:szCs w:val="16"/>
                <w:lang w:eastAsia="en-AU"/>
              </w:rPr>
            </w:pPr>
            <w:r w:rsidRPr="00A4292F">
              <w:rPr>
                <w:rFonts w:ascii="Arial" w:eastAsia="Times New Roman" w:hAnsi="Arial" w:cs="Arial"/>
                <w:b/>
                <w:bCs/>
                <w:color w:val="000000"/>
                <w:sz w:val="16"/>
                <w:szCs w:val="16"/>
                <w:lang w:eastAsia="en-AU"/>
              </w:rPr>
              <w:t>Oocyte recipient</w:t>
            </w:r>
          </w:p>
        </w:tc>
        <w:tc>
          <w:tcPr>
            <w:tcW w:w="1060" w:type="dxa"/>
            <w:tcBorders>
              <w:top w:val="single" w:sz="12" w:space="0" w:color="auto"/>
              <w:left w:val="nil"/>
              <w:bottom w:val="nil"/>
              <w:right w:val="nil"/>
            </w:tcBorders>
            <w:shd w:val="clear" w:color="auto" w:fill="auto"/>
            <w:noWrap/>
            <w:vAlign w:val="center"/>
            <w:hideMark/>
          </w:tcPr>
          <w:p w14:paraId="043DD913" w14:textId="77777777" w:rsidR="00A4292F" w:rsidRPr="00A4292F" w:rsidRDefault="00A4292F" w:rsidP="00360E75">
            <w:pPr>
              <w:spacing w:after="0" w:line="276" w:lineRule="auto"/>
              <w:rPr>
                <w:rFonts w:ascii="Arial" w:eastAsia="Times New Roman" w:hAnsi="Arial" w:cs="Arial"/>
                <w:b/>
                <w:bCs/>
                <w:color w:val="000000"/>
                <w:sz w:val="16"/>
                <w:szCs w:val="16"/>
                <w:lang w:eastAsia="en-AU"/>
              </w:rPr>
            </w:pPr>
            <w:r w:rsidRPr="00A4292F">
              <w:rPr>
                <w:rFonts w:ascii="Arial" w:eastAsia="Times New Roman" w:hAnsi="Arial" w:cs="Arial"/>
                <w:b/>
                <w:bCs/>
                <w:color w:val="000000"/>
                <w:sz w:val="16"/>
                <w:szCs w:val="16"/>
                <w:lang w:eastAsia="en-AU"/>
              </w:rPr>
              <w:t> </w:t>
            </w:r>
          </w:p>
        </w:tc>
        <w:tc>
          <w:tcPr>
            <w:tcW w:w="1060" w:type="dxa"/>
            <w:tcBorders>
              <w:top w:val="single" w:sz="12" w:space="0" w:color="auto"/>
              <w:left w:val="nil"/>
              <w:bottom w:val="nil"/>
              <w:right w:val="nil"/>
            </w:tcBorders>
            <w:shd w:val="clear" w:color="auto" w:fill="auto"/>
            <w:noWrap/>
            <w:vAlign w:val="center"/>
            <w:hideMark/>
          </w:tcPr>
          <w:p w14:paraId="53BD70F6" w14:textId="77777777" w:rsidR="00A4292F" w:rsidRPr="00A4292F" w:rsidRDefault="00A4292F" w:rsidP="00360E75">
            <w:pPr>
              <w:spacing w:after="0" w:line="276" w:lineRule="auto"/>
              <w:rPr>
                <w:rFonts w:ascii="Arial" w:eastAsia="Times New Roman" w:hAnsi="Arial" w:cs="Arial"/>
                <w:b/>
                <w:bCs/>
                <w:color w:val="000000"/>
                <w:sz w:val="16"/>
                <w:szCs w:val="16"/>
                <w:lang w:eastAsia="en-AU"/>
              </w:rPr>
            </w:pPr>
            <w:r w:rsidRPr="00A4292F">
              <w:rPr>
                <w:rFonts w:ascii="Arial" w:eastAsia="Times New Roman" w:hAnsi="Arial" w:cs="Arial"/>
                <w:b/>
                <w:bCs/>
                <w:color w:val="000000"/>
                <w:sz w:val="16"/>
                <w:szCs w:val="16"/>
                <w:lang w:eastAsia="en-AU"/>
              </w:rPr>
              <w:t> </w:t>
            </w:r>
          </w:p>
        </w:tc>
      </w:tr>
      <w:tr w:rsidR="00A4292F" w:rsidRPr="00A4292F" w14:paraId="5FC2995E" w14:textId="77777777" w:rsidTr="00510FAA">
        <w:trPr>
          <w:trHeight w:val="227"/>
        </w:trPr>
        <w:tc>
          <w:tcPr>
            <w:tcW w:w="4540" w:type="dxa"/>
            <w:tcBorders>
              <w:top w:val="nil"/>
              <w:left w:val="nil"/>
              <w:bottom w:val="single" w:sz="4" w:space="0" w:color="auto"/>
              <w:right w:val="nil"/>
            </w:tcBorders>
            <w:shd w:val="clear" w:color="auto" w:fill="auto"/>
            <w:noWrap/>
            <w:vAlign w:val="center"/>
            <w:hideMark/>
          </w:tcPr>
          <w:p w14:paraId="0BFFA84C" w14:textId="77777777" w:rsidR="00A4292F" w:rsidRPr="00A4292F" w:rsidRDefault="00A4292F" w:rsidP="00360E75">
            <w:pPr>
              <w:spacing w:after="0" w:line="276" w:lineRule="auto"/>
              <w:rPr>
                <w:rFonts w:ascii="Arial" w:eastAsia="Times New Roman" w:hAnsi="Arial" w:cs="Arial"/>
                <w:b/>
                <w:bCs/>
                <w:color w:val="000000"/>
                <w:sz w:val="16"/>
                <w:szCs w:val="16"/>
                <w:lang w:eastAsia="en-AU"/>
              </w:rPr>
            </w:pPr>
            <w:r w:rsidRPr="00A4292F">
              <w:rPr>
                <w:rFonts w:ascii="Arial" w:eastAsia="Times New Roman" w:hAnsi="Arial" w:cs="Arial"/>
                <w:b/>
                <w:bCs/>
                <w:color w:val="000000"/>
                <w:sz w:val="16"/>
                <w:szCs w:val="16"/>
                <w:lang w:eastAsia="en-AU"/>
              </w:rPr>
              <w:t>Stage/outcome of treatment</w:t>
            </w:r>
          </w:p>
        </w:tc>
        <w:tc>
          <w:tcPr>
            <w:tcW w:w="1060" w:type="dxa"/>
            <w:tcBorders>
              <w:top w:val="nil"/>
              <w:left w:val="nil"/>
              <w:bottom w:val="single" w:sz="4" w:space="0" w:color="auto"/>
              <w:right w:val="nil"/>
            </w:tcBorders>
            <w:shd w:val="clear" w:color="auto" w:fill="auto"/>
            <w:vAlign w:val="center"/>
            <w:hideMark/>
          </w:tcPr>
          <w:p w14:paraId="69E814AB" w14:textId="77777777" w:rsidR="00A4292F" w:rsidRPr="00A4292F" w:rsidRDefault="00A4292F" w:rsidP="00510FAA">
            <w:pPr>
              <w:spacing w:after="0" w:line="276" w:lineRule="auto"/>
              <w:jc w:val="right"/>
              <w:rPr>
                <w:rFonts w:ascii="Arial" w:eastAsia="Times New Roman" w:hAnsi="Arial" w:cs="Arial"/>
                <w:b/>
                <w:bCs/>
                <w:color w:val="000000"/>
                <w:sz w:val="16"/>
                <w:szCs w:val="16"/>
                <w:lang w:eastAsia="en-AU"/>
              </w:rPr>
            </w:pPr>
            <w:r w:rsidRPr="00A4292F">
              <w:rPr>
                <w:rFonts w:ascii="Arial" w:eastAsia="Times New Roman" w:hAnsi="Arial" w:cs="Arial"/>
                <w:b/>
                <w:bCs/>
                <w:color w:val="000000"/>
                <w:sz w:val="16"/>
                <w:szCs w:val="16"/>
                <w:lang w:eastAsia="en-AU"/>
              </w:rPr>
              <w:t>Fresh</w:t>
            </w:r>
          </w:p>
        </w:tc>
        <w:tc>
          <w:tcPr>
            <w:tcW w:w="1060" w:type="dxa"/>
            <w:tcBorders>
              <w:top w:val="nil"/>
              <w:left w:val="nil"/>
              <w:bottom w:val="single" w:sz="4" w:space="0" w:color="auto"/>
              <w:right w:val="nil"/>
            </w:tcBorders>
            <w:shd w:val="clear" w:color="auto" w:fill="auto"/>
            <w:vAlign w:val="center"/>
            <w:hideMark/>
          </w:tcPr>
          <w:p w14:paraId="076DD2A5" w14:textId="77777777" w:rsidR="00A4292F" w:rsidRPr="00A4292F" w:rsidRDefault="00A4292F" w:rsidP="00510FAA">
            <w:pPr>
              <w:spacing w:after="0" w:line="276" w:lineRule="auto"/>
              <w:jc w:val="right"/>
              <w:rPr>
                <w:rFonts w:ascii="Arial" w:eastAsia="Times New Roman" w:hAnsi="Arial" w:cs="Arial"/>
                <w:b/>
                <w:bCs/>
                <w:color w:val="000000"/>
                <w:sz w:val="16"/>
                <w:szCs w:val="16"/>
                <w:lang w:eastAsia="en-AU"/>
              </w:rPr>
            </w:pPr>
            <w:r w:rsidRPr="00A4292F">
              <w:rPr>
                <w:rFonts w:ascii="Arial" w:eastAsia="Times New Roman" w:hAnsi="Arial" w:cs="Arial"/>
                <w:b/>
                <w:bCs/>
                <w:color w:val="000000"/>
                <w:sz w:val="16"/>
                <w:szCs w:val="16"/>
                <w:lang w:eastAsia="en-AU"/>
              </w:rPr>
              <w:t>Thaw</w:t>
            </w:r>
          </w:p>
        </w:tc>
        <w:tc>
          <w:tcPr>
            <w:tcW w:w="1060" w:type="dxa"/>
            <w:tcBorders>
              <w:top w:val="nil"/>
              <w:left w:val="nil"/>
              <w:bottom w:val="single" w:sz="4" w:space="0" w:color="auto"/>
              <w:right w:val="nil"/>
            </w:tcBorders>
            <w:shd w:val="clear" w:color="auto" w:fill="auto"/>
            <w:vAlign w:val="center"/>
            <w:hideMark/>
          </w:tcPr>
          <w:p w14:paraId="1B36B459" w14:textId="77777777" w:rsidR="00A4292F" w:rsidRPr="00A4292F" w:rsidRDefault="00A4292F" w:rsidP="00510FAA">
            <w:pPr>
              <w:spacing w:after="0" w:line="276" w:lineRule="auto"/>
              <w:jc w:val="right"/>
              <w:rPr>
                <w:rFonts w:ascii="Arial" w:eastAsia="Times New Roman" w:hAnsi="Arial" w:cs="Arial"/>
                <w:b/>
                <w:bCs/>
                <w:color w:val="000000"/>
                <w:sz w:val="16"/>
                <w:szCs w:val="16"/>
                <w:lang w:eastAsia="en-AU"/>
              </w:rPr>
            </w:pPr>
            <w:r w:rsidRPr="00A4292F">
              <w:rPr>
                <w:rFonts w:ascii="Arial" w:eastAsia="Times New Roman" w:hAnsi="Arial" w:cs="Arial"/>
                <w:b/>
                <w:bCs/>
                <w:color w:val="000000"/>
                <w:sz w:val="16"/>
                <w:szCs w:val="16"/>
                <w:lang w:eastAsia="en-AU"/>
              </w:rPr>
              <w:t>Embryo recipient</w:t>
            </w:r>
          </w:p>
        </w:tc>
        <w:tc>
          <w:tcPr>
            <w:tcW w:w="1060" w:type="dxa"/>
            <w:tcBorders>
              <w:top w:val="nil"/>
              <w:left w:val="nil"/>
              <w:bottom w:val="single" w:sz="4" w:space="0" w:color="auto"/>
              <w:right w:val="nil"/>
            </w:tcBorders>
            <w:shd w:val="clear" w:color="auto" w:fill="auto"/>
            <w:vAlign w:val="center"/>
            <w:hideMark/>
          </w:tcPr>
          <w:p w14:paraId="1CB17AD9" w14:textId="77777777" w:rsidR="00A4292F" w:rsidRPr="00A4292F" w:rsidRDefault="00A4292F" w:rsidP="00510FAA">
            <w:pPr>
              <w:spacing w:after="0" w:line="276" w:lineRule="auto"/>
              <w:jc w:val="right"/>
              <w:rPr>
                <w:rFonts w:ascii="Arial" w:eastAsia="Times New Roman" w:hAnsi="Arial" w:cs="Arial"/>
                <w:b/>
                <w:bCs/>
                <w:color w:val="000000"/>
                <w:sz w:val="16"/>
                <w:szCs w:val="16"/>
                <w:lang w:eastAsia="en-AU"/>
              </w:rPr>
            </w:pPr>
            <w:r w:rsidRPr="00A4292F">
              <w:rPr>
                <w:rFonts w:ascii="Arial" w:eastAsia="Times New Roman" w:hAnsi="Arial" w:cs="Arial"/>
                <w:b/>
                <w:bCs/>
                <w:color w:val="000000"/>
                <w:sz w:val="16"/>
                <w:szCs w:val="16"/>
                <w:lang w:eastAsia="en-AU"/>
              </w:rPr>
              <w:t>All</w:t>
            </w:r>
          </w:p>
        </w:tc>
      </w:tr>
      <w:tr w:rsidR="005E43D6" w:rsidRPr="00A4292F" w14:paraId="76D1E2C4" w14:textId="77777777" w:rsidTr="00AB5630">
        <w:trPr>
          <w:trHeight w:val="227"/>
        </w:trPr>
        <w:tc>
          <w:tcPr>
            <w:tcW w:w="4540" w:type="dxa"/>
            <w:tcBorders>
              <w:top w:val="nil"/>
              <w:left w:val="nil"/>
              <w:bottom w:val="nil"/>
              <w:right w:val="nil"/>
            </w:tcBorders>
            <w:shd w:val="clear" w:color="auto" w:fill="auto"/>
            <w:noWrap/>
            <w:vAlign w:val="center"/>
            <w:hideMark/>
          </w:tcPr>
          <w:p w14:paraId="47829060" w14:textId="77777777" w:rsidR="005E43D6" w:rsidRPr="00A4292F" w:rsidRDefault="005E43D6" w:rsidP="005E43D6">
            <w:pPr>
              <w:spacing w:after="0" w:line="276" w:lineRule="auto"/>
              <w:rPr>
                <w:rFonts w:ascii="Arial" w:eastAsia="Times New Roman" w:hAnsi="Arial" w:cs="Arial"/>
                <w:color w:val="000000"/>
                <w:sz w:val="16"/>
                <w:szCs w:val="16"/>
                <w:lang w:eastAsia="en-AU"/>
              </w:rPr>
            </w:pPr>
            <w:r w:rsidRPr="00A4292F">
              <w:rPr>
                <w:rFonts w:ascii="Arial" w:eastAsia="Times New Roman" w:hAnsi="Arial" w:cs="Arial"/>
                <w:color w:val="000000"/>
                <w:sz w:val="16"/>
                <w:szCs w:val="16"/>
                <w:lang w:eastAsia="en-AU"/>
              </w:rPr>
              <w:t>Initiated cycles</w:t>
            </w:r>
          </w:p>
        </w:tc>
        <w:tc>
          <w:tcPr>
            <w:tcW w:w="1060" w:type="dxa"/>
            <w:tcBorders>
              <w:top w:val="nil"/>
              <w:left w:val="nil"/>
              <w:bottom w:val="nil"/>
              <w:right w:val="nil"/>
            </w:tcBorders>
            <w:shd w:val="clear" w:color="auto" w:fill="auto"/>
            <w:vAlign w:val="center"/>
            <w:hideMark/>
          </w:tcPr>
          <w:p w14:paraId="76E99BEC" w14:textId="3A305632"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23</w:t>
            </w:r>
          </w:p>
        </w:tc>
        <w:tc>
          <w:tcPr>
            <w:tcW w:w="1060" w:type="dxa"/>
            <w:tcBorders>
              <w:top w:val="nil"/>
              <w:left w:val="nil"/>
              <w:bottom w:val="nil"/>
              <w:right w:val="nil"/>
            </w:tcBorders>
            <w:shd w:val="clear" w:color="auto" w:fill="auto"/>
            <w:vAlign w:val="center"/>
            <w:hideMark/>
          </w:tcPr>
          <w:p w14:paraId="7B0F9FE5" w14:textId="7EECE1CD"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286</w:t>
            </w:r>
          </w:p>
        </w:tc>
        <w:tc>
          <w:tcPr>
            <w:tcW w:w="1060" w:type="dxa"/>
            <w:tcBorders>
              <w:top w:val="nil"/>
              <w:left w:val="nil"/>
              <w:bottom w:val="nil"/>
              <w:right w:val="nil"/>
            </w:tcBorders>
            <w:shd w:val="clear" w:color="auto" w:fill="auto"/>
            <w:vAlign w:val="center"/>
            <w:hideMark/>
          </w:tcPr>
          <w:p w14:paraId="21761B70" w14:textId="5F194F1D"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80</w:t>
            </w:r>
          </w:p>
        </w:tc>
        <w:tc>
          <w:tcPr>
            <w:tcW w:w="1060" w:type="dxa"/>
            <w:tcBorders>
              <w:top w:val="nil"/>
              <w:left w:val="nil"/>
              <w:bottom w:val="nil"/>
              <w:right w:val="nil"/>
            </w:tcBorders>
            <w:shd w:val="clear" w:color="auto" w:fill="auto"/>
            <w:vAlign w:val="bottom"/>
            <w:hideMark/>
          </w:tcPr>
          <w:p w14:paraId="4B076C48" w14:textId="4951818A" w:rsidR="005E43D6" w:rsidRPr="009D3CA7"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389</w:t>
            </w:r>
          </w:p>
        </w:tc>
      </w:tr>
      <w:tr w:rsidR="005E43D6" w:rsidRPr="00A4292F" w14:paraId="33B90570" w14:textId="77777777" w:rsidTr="00AB5630">
        <w:trPr>
          <w:trHeight w:val="227"/>
        </w:trPr>
        <w:tc>
          <w:tcPr>
            <w:tcW w:w="4540" w:type="dxa"/>
            <w:tcBorders>
              <w:top w:val="nil"/>
              <w:left w:val="nil"/>
              <w:bottom w:val="nil"/>
              <w:right w:val="nil"/>
            </w:tcBorders>
            <w:shd w:val="clear" w:color="auto" w:fill="auto"/>
            <w:noWrap/>
            <w:vAlign w:val="bottom"/>
            <w:hideMark/>
          </w:tcPr>
          <w:p w14:paraId="6CF56685" w14:textId="77777777" w:rsidR="005E43D6" w:rsidRPr="00A4292F" w:rsidRDefault="005E43D6" w:rsidP="005E43D6">
            <w:pPr>
              <w:spacing w:after="0" w:line="276" w:lineRule="auto"/>
              <w:rPr>
                <w:rFonts w:ascii="Arial" w:eastAsia="Times New Roman" w:hAnsi="Arial" w:cs="Arial"/>
                <w:color w:val="000000"/>
                <w:sz w:val="16"/>
                <w:szCs w:val="16"/>
                <w:lang w:eastAsia="en-AU"/>
              </w:rPr>
            </w:pPr>
            <w:r w:rsidRPr="00A4292F">
              <w:rPr>
                <w:rFonts w:ascii="Arial" w:eastAsia="Times New Roman" w:hAnsi="Arial" w:cs="Arial"/>
                <w:color w:val="000000"/>
                <w:sz w:val="16"/>
                <w:szCs w:val="16"/>
                <w:lang w:eastAsia="en-AU"/>
              </w:rPr>
              <w:t>Embryo transfers</w:t>
            </w:r>
          </w:p>
        </w:tc>
        <w:tc>
          <w:tcPr>
            <w:tcW w:w="1060" w:type="dxa"/>
            <w:tcBorders>
              <w:top w:val="nil"/>
              <w:left w:val="nil"/>
              <w:bottom w:val="nil"/>
              <w:right w:val="nil"/>
            </w:tcBorders>
            <w:shd w:val="clear" w:color="auto" w:fill="auto"/>
            <w:noWrap/>
            <w:vAlign w:val="bottom"/>
            <w:hideMark/>
          </w:tcPr>
          <w:p w14:paraId="1D6AFD1F" w14:textId="6AAE6CC2"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w:t>
            </w:r>
          </w:p>
        </w:tc>
        <w:tc>
          <w:tcPr>
            <w:tcW w:w="1060" w:type="dxa"/>
            <w:tcBorders>
              <w:top w:val="nil"/>
              <w:left w:val="nil"/>
              <w:bottom w:val="nil"/>
              <w:right w:val="nil"/>
            </w:tcBorders>
            <w:shd w:val="clear" w:color="auto" w:fill="auto"/>
            <w:noWrap/>
            <w:vAlign w:val="bottom"/>
            <w:hideMark/>
          </w:tcPr>
          <w:p w14:paraId="2C7D4B08" w14:textId="5390E8FA"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285</w:t>
            </w:r>
          </w:p>
        </w:tc>
        <w:tc>
          <w:tcPr>
            <w:tcW w:w="1060" w:type="dxa"/>
            <w:tcBorders>
              <w:top w:val="nil"/>
              <w:left w:val="nil"/>
              <w:bottom w:val="nil"/>
              <w:right w:val="nil"/>
            </w:tcBorders>
            <w:shd w:val="clear" w:color="auto" w:fill="auto"/>
            <w:noWrap/>
            <w:vAlign w:val="bottom"/>
            <w:hideMark/>
          </w:tcPr>
          <w:p w14:paraId="5DB4314B" w14:textId="285D8EE6"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80</w:t>
            </w:r>
          </w:p>
        </w:tc>
        <w:tc>
          <w:tcPr>
            <w:tcW w:w="1060" w:type="dxa"/>
            <w:tcBorders>
              <w:top w:val="nil"/>
              <w:left w:val="nil"/>
              <w:bottom w:val="nil"/>
              <w:right w:val="nil"/>
            </w:tcBorders>
            <w:shd w:val="clear" w:color="auto" w:fill="auto"/>
            <w:noWrap/>
            <w:vAlign w:val="bottom"/>
            <w:hideMark/>
          </w:tcPr>
          <w:p w14:paraId="64D3FDB5" w14:textId="348BF729" w:rsidR="005E43D6" w:rsidRPr="009D3CA7"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366</w:t>
            </w:r>
          </w:p>
        </w:tc>
      </w:tr>
      <w:tr w:rsidR="005E43D6" w:rsidRPr="00A4292F" w14:paraId="5AA5B0E9" w14:textId="77777777" w:rsidTr="00AB5630">
        <w:trPr>
          <w:trHeight w:val="227"/>
        </w:trPr>
        <w:tc>
          <w:tcPr>
            <w:tcW w:w="4540" w:type="dxa"/>
            <w:tcBorders>
              <w:top w:val="nil"/>
              <w:left w:val="nil"/>
              <w:bottom w:val="nil"/>
              <w:right w:val="nil"/>
            </w:tcBorders>
            <w:shd w:val="clear" w:color="auto" w:fill="auto"/>
            <w:noWrap/>
            <w:vAlign w:val="bottom"/>
            <w:hideMark/>
          </w:tcPr>
          <w:p w14:paraId="5C1256C1" w14:textId="77777777" w:rsidR="005E43D6" w:rsidRPr="00A4292F" w:rsidRDefault="005E43D6" w:rsidP="005E43D6">
            <w:pPr>
              <w:spacing w:after="0" w:line="276" w:lineRule="auto"/>
              <w:rPr>
                <w:rFonts w:ascii="Arial" w:eastAsia="Times New Roman" w:hAnsi="Arial" w:cs="Arial"/>
                <w:color w:val="000000"/>
                <w:sz w:val="16"/>
                <w:szCs w:val="16"/>
                <w:lang w:eastAsia="en-AU"/>
              </w:rPr>
            </w:pPr>
            <w:r w:rsidRPr="00A4292F">
              <w:rPr>
                <w:rFonts w:ascii="Arial" w:eastAsia="Times New Roman" w:hAnsi="Arial" w:cs="Arial"/>
                <w:color w:val="000000"/>
                <w:sz w:val="16"/>
                <w:szCs w:val="16"/>
                <w:lang w:eastAsia="en-AU"/>
              </w:rPr>
              <w:t>Clinical pregnancies</w:t>
            </w:r>
          </w:p>
        </w:tc>
        <w:tc>
          <w:tcPr>
            <w:tcW w:w="1060" w:type="dxa"/>
            <w:tcBorders>
              <w:top w:val="nil"/>
              <w:left w:val="nil"/>
              <w:bottom w:val="nil"/>
              <w:right w:val="nil"/>
            </w:tcBorders>
            <w:shd w:val="clear" w:color="auto" w:fill="auto"/>
            <w:noWrap/>
            <w:vAlign w:val="bottom"/>
            <w:hideMark/>
          </w:tcPr>
          <w:p w14:paraId="46970560" w14:textId="21990344"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1060" w:type="dxa"/>
            <w:tcBorders>
              <w:top w:val="nil"/>
              <w:left w:val="nil"/>
              <w:bottom w:val="nil"/>
              <w:right w:val="nil"/>
            </w:tcBorders>
            <w:shd w:val="clear" w:color="auto" w:fill="auto"/>
            <w:noWrap/>
            <w:vAlign w:val="bottom"/>
            <w:hideMark/>
          </w:tcPr>
          <w:p w14:paraId="2AB616DB" w14:textId="709942B9"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124</w:t>
            </w:r>
          </w:p>
        </w:tc>
        <w:tc>
          <w:tcPr>
            <w:tcW w:w="1060" w:type="dxa"/>
            <w:tcBorders>
              <w:top w:val="nil"/>
              <w:left w:val="nil"/>
              <w:bottom w:val="nil"/>
              <w:right w:val="nil"/>
            </w:tcBorders>
            <w:shd w:val="clear" w:color="auto" w:fill="auto"/>
            <w:noWrap/>
            <w:vAlign w:val="bottom"/>
            <w:hideMark/>
          </w:tcPr>
          <w:p w14:paraId="2697A760" w14:textId="4BD209EA"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33</w:t>
            </w:r>
          </w:p>
        </w:tc>
        <w:tc>
          <w:tcPr>
            <w:tcW w:w="1060" w:type="dxa"/>
            <w:tcBorders>
              <w:top w:val="nil"/>
              <w:left w:val="nil"/>
              <w:bottom w:val="nil"/>
              <w:right w:val="nil"/>
            </w:tcBorders>
            <w:shd w:val="clear" w:color="auto" w:fill="auto"/>
            <w:noWrap/>
            <w:vAlign w:val="bottom"/>
            <w:hideMark/>
          </w:tcPr>
          <w:p w14:paraId="22FCE338" w14:textId="6918BB68" w:rsidR="005E43D6" w:rsidRPr="009D3CA7"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157</w:t>
            </w:r>
          </w:p>
        </w:tc>
      </w:tr>
      <w:tr w:rsidR="005E43D6" w:rsidRPr="00A4292F" w14:paraId="5704211B" w14:textId="77777777" w:rsidTr="00AB5630">
        <w:trPr>
          <w:trHeight w:val="227"/>
        </w:trPr>
        <w:tc>
          <w:tcPr>
            <w:tcW w:w="4540" w:type="dxa"/>
            <w:tcBorders>
              <w:top w:val="nil"/>
              <w:left w:val="nil"/>
              <w:bottom w:val="nil"/>
              <w:right w:val="nil"/>
            </w:tcBorders>
            <w:shd w:val="clear" w:color="auto" w:fill="auto"/>
            <w:noWrap/>
            <w:vAlign w:val="bottom"/>
            <w:hideMark/>
          </w:tcPr>
          <w:p w14:paraId="2180C51F" w14:textId="0C3BC3E7" w:rsidR="005E43D6" w:rsidRPr="00A4292F" w:rsidRDefault="005E43D6" w:rsidP="005E43D6">
            <w:pPr>
              <w:spacing w:after="0" w:line="276" w:lineRule="auto"/>
              <w:rPr>
                <w:rFonts w:ascii="Arial" w:eastAsia="Times New Roman" w:hAnsi="Arial" w:cs="Arial"/>
                <w:color w:val="000000"/>
                <w:sz w:val="16"/>
                <w:szCs w:val="16"/>
                <w:lang w:eastAsia="en-AU"/>
              </w:rPr>
            </w:pPr>
            <w:r w:rsidRPr="00A4292F">
              <w:rPr>
                <w:rFonts w:ascii="Arial" w:eastAsia="Times New Roman" w:hAnsi="Arial" w:cs="Arial"/>
                <w:color w:val="000000"/>
                <w:sz w:val="16"/>
                <w:szCs w:val="16"/>
                <w:lang w:eastAsia="en-AU"/>
              </w:rPr>
              <w:t xml:space="preserve">Live </w:t>
            </w:r>
            <w:r>
              <w:rPr>
                <w:rFonts w:ascii="Arial" w:eastAsia="Times New Roman" w:hAnsi="Arial" w:cs="Arial"/>
                <w:color w:val="000000"/>
                <w:sz w:val="16"/>
                <w:szCs w:val="16"/>
                <w:lang w:eastAsia="en-AU"/>
              </w:rPr>
              <w:t>births</w:t>
            </w:r>
          </w:p>
        </w:tc>
        <w:tc>
          <w:tcPr>
            <w:tcW w:w="1060" w:type="dxa"/>
            <w:tcBorders>
              <w:top w:val="nil"/>
              <w:left w:val="nil"/>
              <w:bottom w:val="nil"/>
              <w:right w:val="nil"/>
            </w:tcBorders>
            <w:shd w:val="clear" w:color="auto" w:fill="auto"/>
            <w:noWrap/>
            <w:vAlign w:val="bottom"/>
            <w:hideMark/>
          </w:tcPr>
          <w:p w14:paraId="6416EE02" w14:textId="7A07D8F0"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1060" w:type="dxa"/>
            <w:tcBorders>
              <w:top w:val="nil"/>
              <w:left w:val="nil"/>
              <w:bottom w:val="nil"/>
              <w:right w:val="nil"/>
            </w:tcBorders>
            <w:shd w:val="clear" w:color="auto" w:fill="auto"/>
            <w:noWrap/>
            <w:vAlign w:val="bottom"/>
            <w:hideMark/>
          </w:tcPr>
          <w:p w14:paraId="5EB5A1F5" w14:textId="010DF9A7"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95</w:t>
            </w:r>
          </w:p>
        </w:tc>
        <w:tc>
          <w:tcPr>
            <w:tcW w:w="1060" w:type="dxa"/>
            <w:tcBorders>
              <w:top w:val="nil"/>
              <w:left w:val="nil"/>
              <w:bottom w:val="nil"/>
              <w:right w:val="nil"/>
            </w:tcBorders>
            <w:shd w:val="clear" w:color="auto" w:fill="auto"/>
            <w:noWrap/>
            <w:vAlign w:val="bottom"/>
            <w:hideMark/>
          </w:tcPr>
          <w:p w14:paraId="79132F08" w14:textId="7AC66BEB"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26</w:t>
            </w:r>
          </w:p>
        </w:tc>
        <w:tc>
          <w:tcPr>
            <w:tcW w:w="1060" w:type="dxa"/>
            <w:tcBorders>
              <w:top w:val="nil"/>
              <w:left w:val="nil"/>
              <w:bottom w:val="nil"/>
              <w:right w:val="nil"/>
            </w:tcBorders>
            <w:shd w:val="clear" w:color="auto" w:fill="auto"/>
            <w:noWrap/>
            <w:vAlign w:val="bottom"/>
            <w:hideMark/>
          </w:tcPr>
          <w:p w14:paraId="70004FD9" w14:textId="580EEFEA" w:rsidR="005E43D6" w:rsidRPr="009D3CA7"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121</w:t>
            </w:r>
          </w:p>
        </w:tc>
      </w:tr>
      <w:tr w:rsidR="005E43D6" w:rsidRPr="00A4292F" w14:paraId="7952AE86" w14:textId="77777777" w:rsidTr="000D75B4">
        <w:trPr>
          <w:trHeight w:val="227"/>
        </w:trPr>
        <w:tc>
          <w:tcPr>
            <w:tcW w:w="4540" w:type="dxa"/>
            <w:tcBorders>
              <w:top w:val="nil"/>
              <w:left w:val="nil"/>
              <w:bottom w:val="nil"/>
              <w:right w:val="nil"/>
            </w:tcBorders>
            <w:shd w:val="clear" w:color="auto" w:fill="auto"/>
            <w:vAlign w:val="center"/>
            <w:hideMark/>
          </w:tcPr>
          <w:p w14:paraId="5476EA97" w14:textId="39C22A84" w:rsidR="005E43D6" w:rsidRPr="00A4292F" w:rsidRDefault="005E43D6" w:rsidP="005E43D6">
            <w:pPr>
              <w:spacing w:after="0" w:line="276" w:lineRule="auto"/>
              <w:ind w:firstLineChars="100" w:firstLine="160"/>
              <w:rPr>
                <w:rFonts w:ascii="Arial" w:eastAsia="Times New Roman" w:hAnsi="Arial" w:cs="Arial"/>
                <w:i/>
                <w:iCs/>
                <w:color w:val="000000"/>
                <w:sz w:val="16"/>
                <w:szCs w:val="16"/>
                <w:lang w:eastAsia="en-AU"/>
              </w:rPr>
            </w:pPr>
            <w:r w:rsidRPr="00A4292F">
              <w:rPr>
                <w:rFonts w:ascii="Arial" w:eastAsia="Times New Roman" w:hAnsi="Arial" w:cs="Arial"/>
                <w:i/>
                <w:iCs/>
                <w:color w:val="000000"/>
                <w:sz w:val="16"/>
                <w:szCs w:val="16"/>
                <w:lang w:eastAsia="en-AU"/>
              </w:rPr>
              <w:t xml:space="preserve">Live </w:t>
            </w:r>
            <w:r>
              <w:rPr>
                <w:rFonts w:ascii="Arial" w:eastAsia="Times New Roman" w:hAnsi="Arial" w:cs="Arial"/>
                <w:i/>
                <w:iCs/>
                <w:color w:val="000000"/>
                <w:sz w:val="16"/>
                <w:szCs w:val="16"/>
                <w:lang w:eastAsia="en-AU"/>
              </w:rPr>
              <w:t>births</w:t>
            </w:r>
            <w:r w:rsidRPr="00A4292F">
              <w:rPr>
                <w:rFonts w:ascii="Arial" w:eastAsia="Times New Roman" w:hAnsi="Arial" w:cs="Arial"/>
                <w:i/>
                <w:iCs/>
                <w:color w:val="000000"/>
                <w:sz w:val="16"/>
                <w:szCs w:val="16"/>
                <w:lang w:eastAsia="en-AU"/>
              </w:rPr>
              <w:t xml:space="preserve"> per initiated cycle (%)</w:t>
            </w:r>
          </w:p>
        </w:tc>
        <w:tc>
          <w:tcPr>
            <w:tcW w:w="1060" w:type="dxa"/>
            <w:tcBorders>
              <w:top w:val="nil"/>
              <w:left w:val="nil"/>
              <w:bottom w:val="nil"/>
              <w:right w:val="nil"/>
            </w:tcBorders>
            <w:shd w:val="clear" w:color="auto" w:fill="auto"/>
            <w:noWrap/>
            <w:vAlign w:val="center"/>
            <w:hideMark/>
          </w:tcPr>
          <w:p w14:paraId="71127E44" w14:textId="1352E172"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0.0</w:t>
            </w:r>
          </w:p>
        </w:tc>
        <w:tc>
          <w:tcPr>
            <w:tcW w:w="1060" w:type="dxa"/>
            <w:tcBorders>
              <w:top w:val="nil"/>
              <w:left w:val="nil"/>
              <w:bottom w:val="nil"/>
              <w:right w:val="nil"/>
            </w:tcBorders>
            <w:shd w:val="clear" w:color="auto" w:fill="auto"/>
            <w:noWrap/>
            <w:vAlign w:val="center"/>
            <w:hideMark/>
          </w:tcPr>
          <w:p w14:paraId="6D82E79E" w14:textId="1F52C5CD"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33.2</w:t>
            </w:r>
          </w:p>
        </w:tc>
        <w:tc>
          <w:tcPr>
            <w:tcW w:w="1060" w:type="dxa"/>
            <w:tcBorders>
              <w:top w:val="nil"/>
              <w:left w:val="nil"/>
              <w:bottom w:val="nil"/>
              <w:right w:val="nil"/>
            </w:tcBorders>
            <w:shd w:val="clear" w:color="auto" w:fill="auto"/>
            <w:noWrap/>
            <w:vAlign w:val="center"/>
            <w:hideMark/>
          </w:tcPr>
          <w:p w14:paraId="51FC8E69" w14:textId="1A58072D"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32.5</w:t>
            </w:r>
          </w:p>
        </w:tc>
        <w:tc>
          <w:tcPr>
            <w:tcW w:w="1060" w:type="dxa"/>
            <w:tcBorders>
              <w:top w:val="nil"/>
              <w:left w:val="nil"/>
              <w:bottom w:val="nil"/>
              <w:right w:val="nil"/>
            </w:tcBorders>
            <w:shd w:val="clear" w:color="auto" w:fill="auto"/>
            <w:noWrap/>
            <w:vAlign w:val="center"/>
            <w:hideMark/>
          </w:tcPr>
          <w:p w14:paraId="60F02F47" w14:textId="3B44E590" w:rsidR="005E43D6" w:rsidRPr="009D3CA7"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31.1</w:t>
            </w:r>
          </w:p>
        </w:tc>
      </w:tr>
      <w:tr w:rsidR="005E43D6" w:rsidRPr="00A4292F" w14:paraId="241BD729" w14:textId="77777777" w:rsidTr="00AB5630">
        <w:trPr>
          <w:trHeight w:val="227"/>
        </w:trPr>
        <w:tc>
          <w:tcPr>
            <w:tcW w:w="4540" w:type="dxa"/>
            <w:tcBorders>
              <w:top w:val="nil"/>
              <w:left w:val="nil"/>
              <w:right w:val="nil"/>
            </w:tcBorders>
            <w:shd w:val="clear" w:color="auto" w:fill="auto"/>
            <w:noWrap/>
            <w:vAlign w:val="bottom"/>
            <w:hideMark/>
          </w:tcPr>
          <w:p w14:paraId="73FE54EB" w14:textId="5752298E" w:rsidR="005E43D6" w:rsidRPr="00A4292F" w:rsidRDefault="005E43D6" w:rsidP="005E43D6">
            <w:pPr>
              <w:spacing w:after="0" w:line="276" w:lineRule="auto"/>
              <w:ind w:firstLineChars="100" w:firstLine="160"/>
              <w:rPr>
                <w:rFonts w:ascii="Arial" w:eastAsia="Times New Roman" w:hAnsi="Arial" w:cs="Arial"/>
                <w:i/>
                <w:iCs/>
                <w:color w:val="000000"/>
                <w:sz w:val="16"/>
                <w:szCs w:val="16"/>
                <w:lang w:eastAsia="en-AU"/>
              </w:rPr>
            </w:pPr>
            <w:r w:rsidRPr="00A4292F">
              <w:rPr>
                <w:rFonts w:ascii="Arial" w:eastAsia="Times New Roman" w:hAnsi="Arial" w:cs="Arial"/>
                <w:i/>
                <w:iCs/>
                <w:color w:val="000000"/>
                <w:sz w:val="16"/>
                <w:szCs w:val="16"/>
                <w:lang w:eastAsia="en-AU"/>
              </w:rPr>
              <w:t xml:space="preserve">Live </w:t>
            </w:r>
            <w:r>
              <w:rPr>
                <w:rFonts w:ascii="Arial" w:eastAsia="Times New Roman" w:hAnsi="Arial" w:cs="Arial"/>
                <w:i/>
                <w:iCs/>
                <w:color w:val="000000"/>
                <w:sz w:val="16"/>
                <w:szCs w:val="16"/>
                <w:lang w:eastAsia="en-AU"/>
              </w:rPr>
              <w:t>births</w:t>
            </w:r>
            <w:r w:rsidRPr="00A4292F">
              <w:rPr>
                <w:rFonts w:ascii="Arial" w:eastAsia="Times New Roman" w:hAnsi="Arial" w:cs="Arial"/>
                <w:i/>
                <w:iCs/>
                <w:color w:val="000000"/>
                <w:sz w:val="16"/>
                <w:szCs w:val="16"/>
                <w:lang w:eastAsia="en-AU"/>
              </w:rPr>
              <w:t xml:space="preserve"> per embryo transfer cycle (%)</w:t>
            </w:r>
          </w:p>
        </w:tc>
        <w:tc>
          <w:tcPr>
            <w:tcW w:w="1060" w:type="dxa"/>
            <w:tcBorders>
              <w:top w:val="nil"/>
              <w:left w:val="nil"/>
              <w:right w:val="nil"/>
            </w:tcBorders>
            <w:shd w:val="clear" w:color="auto" w:fill="auto"/>
            <w:noWrap/>
            <w:vAlign w:val="bottom"/>
            <w:hideMark/>
          </w:tcPr>
          <w:p w14:paraId="7F0CC084" w14:textId="548A2768" w:rsidR="005E43D6" w:rsidRPr="0095217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0.0</w:t>
            </w:r>
          </w:p>
        </w:tc>
        <w:tc>
          <w:tcPr>
            <w:tcW w:w="1060" w:type="dxa"/>
            <w:tcBorders>
              <w:top w:val="nil"/>
              <w:left w:val="nil"/>
              <w:right w:val="nil"/>
            </w:tcBorders>
            <w:shd w:val="clear" w:color="auto" w:fill="auto"/>
            <w:noWrap/>
            <w:vAlign w:val="bottom"/>
            <w:hideMark/>
          </w:tcPr>
          <w:p w14:paraId="27427F9E" w14:textId="27F3F7E1"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33.3</w:t>
            </w:r>
          </w:p>
        </w:tc>
        <w:tc>
          <w:tcPr>
            <w:tcW w:w="1060" w:type="dxa"/>
            <w:tcBorders>
              <w:top w:val="nil"/>
              <w:left w:val="nil"/>
              <w:right w:val="nil"/>
            </w:tcBorders>
            <w:shd w:val="clear" w:color="auto" w:fill="auto"/>
            <w:noWrap/>
            <w:vAlign w:val="bottom"/>
            <w:hideMark/>
          </w:tcPr>
          <w:p w14:paraId="3D268706" w14:textId="2833EA2F"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32.5</w:t>
            </w:r>
          </w:p>
        </w:tc>
        <w:tc>
          <w:tcPr>
            <w:tcW w:w="1060" w:type="dxa"/>
            <w:tcBorders>
              <w:top w:val="nil"/>
              <w:left w:val="nil"/>
              <w:right w:val="nil"/>
            </w:tcBorders>
            <w:shd w:val="clear" w:color="auto" w:fill="auto"/>
            <w:noWrap/>
            <w:vAlign w:val="bottom"/>
            <w:hideMark/>
          </w:tcPr>
          <w:p w14:paraId="0A16B49E" w14:textId="5B5FA360" w:rsidR="005E43D6" w:rsidRPr="009D3CA7"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33.1</w:t>
            </w:r>
          </w:p>
        </w:tc>
      </w:tr>
      <w:tr w:rsidR="005E43D6" w:rsidRPr="00A4292F" w14:paraId="5AA667CF" w14:textId="77777777" w:rsidTr="00AB5630">
        <w:trPr>
          <w:trHeight w:val="227"/>
        </w:trPr>
        <w:tc>
          <w:tcPr>
            <w:tcW w:w="4540" w:type="dxa"/>
            <w:tcBorders>
              <w:top w:val="nil"/>
              <w:left w:val="nil"/>
              <w:bottom w:val="single" w:sz="12" w:space="0" w:color="auto"/>
              <w:right w:val="nil"/>
            </w:tcBorders>
            <w:shd w:val="clear" w:color="auto" w:fill="auto"/>
            <w:noWrap/>
            <w:vAlign w:val="bottom"/>
            <w:hideMark/>
          </w:tcPr>
          <w:p w14:paraId="5B19F77D" w14:textId="55FC9799" w:rsidR="005E43D6" w:rsidRPr="00A4292F" w:rsidRDefault="005E43D6" w:rsidP="005E43D6">
            <w:pPr>
              <w:spacing w:after="0" w:line="276" w:lineRule="auto"/>
              <w:ind w:firstLineChars="100" w:firstLine="160"/>
              <w:rPr>
                <w:rFonts w:ascii="Arial" w:eastAsia="Times New Roman" w:hAnsi="Arial" w:cs="Arial"/>
                <w:i/>
                <w:iCs/>
                <w:color w:val="000000"/>
                <w:sz w:val="16"/>
                <w:szCs w:val="16"/>
                <w:lang w:eastAsia="en-AU"/>
              </w:rPr>
            </w:pPr>
            <w:r w:rsidRPr="00A4292F">
              <w:rPr>
                <w:rFonts w:ascii="Arial" w:eastAsia="Times New Roman" w:hAnsi="Arial" w:cs="Arial"/>
                <w:i/>
                <w:iCs/>
                <w:color w:val="000000"/>
                <w:sz w:val="16"/>
                <w:szCs w:val="16"/>
                <w:lang w:eastAsia="en-AU"/>
              </w:rPr>
              <w:t xml:space="preserve">Live </w:t>
            </w:r>
            <w:r>
              <w:rPr>
                <w:rFonts w:ascii="Arial" w:eastAsia="Times New Roman" w:hAnsi="Arial" w:cs="Arial"/>
                <w:i/>
                <w:iCs/>
                <w:color w:val="000000"/>
                <w:sz w:val="16"/>
                <w:szCs w:val="16"/>
                <w:lang w:eastAsia="en-AU"/>
              </w:rPr>
              <w:t>births</w:t>
            </w:r>
            <w:r w:rsidRPr="00A4292F">
              <w:rPr>
                <w:rFonts w:ascii="Arial" w:eastAsia="Times New Roman" w:hAnsi="Arial" w:cs="Arial"/>
                <w:i/>
                <w:iCs/>
                <w:color w:val="000000"/>
                <w:sz w:val="16"/>
                <w:szCs w:val="16"/>
                <w:lang w:eastAsia="en-AU"/>
              </w:rPr>
              <w:t xml:space="preserve"> per clinical pregnancy (%)</w:t>
            </w:r>
          </w:p>
        </w:tc>
        <w:tc>
          <w:tcPr>
            <w:tcW w:w="1060" w:type="dxa"/>
            <w:tcBorders>
              <w:top w:val="nil"/>
              <w:left w:val="nil"/>
              <w:bottom w:val="single" w:sz="12" w:space="0" w:color="auto"/>
              <w:right w:val="nil"/>
            </w:tcBorders>
            <w:shd w:val="clear" w:color="auto" w:fill="auto"/>
            <w:noWrap/>
            <w:vAlign w:val="bottom"/>
            <w:hideMark/>
          </w:tcPr>
          <w:p w14:paraId="0E386E13" w14:textId="75F2BEAF" w:rsidR="005E43D6" w:rsidRPr="0095217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w:t>
            </w:r>
          </w:p>
        </w:tc>
        <w:tc>
          <w:tcPr>
            <w:tcW w:w="1060" w:type="dxa"/>
            <w:tcBorders>
              <w:top w:val="nil"/>
              <w:left w:val="nil"/>
              <w:bottom w:val="single" w:sz="12" w:space="0" w:color="auto"/>
              <w:right w:val="nil"/>
            </w:tcBorders>
            <w:shd w:val="clear" w:color="auto" w:fill="auto"/>
            <w:noWrap/>
            <w:vAlign w:val="bottom"/>
            <w:hideMark/>
          </w:tcPr>
          <w:p w14:paraId="25E38574" w14:textId="5C8A2063"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76.6</w:t>
            </w:r>
          </w:p>
        </w:tc>
        <w:tc>
          <w:tcPr>
            <w:tcW w:w="1060" w:type="dxa"/>
            <w:tcBorders>
              <w:top w:val="nil"/>
              <w:left w:val="nil"/>
              <w:bottom w:val="single" w:sz="12" w:space="0" w:color="auto"/>
              <w:right w:val="nil"/>
            </w:tcBorders>
            <w:shd w:val="clear" w:color="auto" w:fill="auto"/>
            <w:noWrap/>
            <w:vAlign w:val="bottom"/>
            <w:hideMark/>
          </w:tcPr>
          <w:p w14:paraId="24836F9C" w14:textId="1394D482"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78.8</w:t>
            </w:r>
          </w:p>
        </w:tc>
        <w:tc>
          <w:tcPr>
            <w:tcW w:w="1060" w:type="dxa"/>
            <w:tcBorders>
              <w:top w:val="nil"/>
              <w:left w:val="nil"/>
              <w:bottom w:val="single" w:sz="12" w:space="0" w:color="auto"/>
              <w:right w:val="nil"/>
            </w:tcBorders>
            <w:shd w:val="clear" w:color="auto" w:fill="auto"/>
            <w:noWrap/>
            <w:vAlign w:val="bottom"/>
            <w:hideMark/>
          </w:tcPr>
          <w:p w14:paraId="615D7D8D" w14:textId="2C131225" w:rsidR="005E43D6" w:rsidRPr="009D3CA7"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77.1</w:t>
            </w:r>
          </w:p>
        </w:tc>
      </w:tr>
    </w:tbl>
    <w:p w14:paraId="6BAA8C99" w14:textId="7A4BF3FF" w:rsidR="00C65840" w:rsidRPr="00655FE3" w:rsidRDefault="00C65840" w:rsidP="00C65840">
      <w:pPr>
        <w:pStyle w:val="TableSourcefootnotes"/>
        <w:tabs>
          <w:tab w:val="left" w:pos="284"/>
        </w:tabs>
        <w:spacing w:before="60" w:after="0" w:line="240" w:lineRule="auto"/>
        <w:rPr>
          <w:rFonts w:cs="Arial"/>
          <w:i/>
          <w:iCs/>
        </w:rPr>
      </w:pPr>
      <w:r>
        <w:rPr>
          <w:rFonts w:cs="Arial"/>
          <w:i/>
          <w:iCs/>
        </w:rPr>
        <w:t>..</w:t>
      </w:r>
      <w:r w:rsidRPr="00655FE3">
        <w:rPr>
          <w:rFonts w:cs="Arial"/>
          <w:i/>
          <w:iCs/>
        </w:rPr>
        <w:t xml:space="preserve"> ‘not applicable’ </w:t>
      </w:r>
    </w:p>
    <w:p w14:paraId="087284F4" w14:textId="77777777" w:rsidR="00836E90" w:rsidRDefault="00836E90" w:rsidP="009303CD">
      <w:pPr>
        <w:pStyle w:val="Heading3"/>
        <w:rPr>
          <w:highlight w:val="yellow"/>
        </w:rPr>
      </w:pPr>
    </w:p>
    <w:p w14:paraId="7575482E" w14:textId="77777777" w:rsidR="00836E90" w:rsidRDefault="00836E90">
      <w:pPr>
        <w:spacing w:after="160" w:line="259" w:lineRule="auto"/>
        <w:rPr>
          <w:rFonts w:ascii="Arial" w:eastAsiaTheme="majorEastAsia" w:hAnsi="Arial" w:cstheme="majorBidi"/>
          <w:b/>
          <w:bCs/>
          <w:sz w:val="28"/>
          <w:highlight w:val="yellow"/>
        </w:rPr>
      </w:pPr>
      <w:r>
        <w:rPr>
          <w:highlight w:val="yellow"/>
        </w:rPr>
        <w:br w:type="page"/>
      </w:r>
    </w:p>
    <w:p w14:paraId="2151177F" w14:textId="6E00E014" w:rsidR="009303CD" w:rsidRPr="00617599" w:rsidRDefault="009303CD" w:rsidP="009303CD">
      <w:pPr>
        <w:pStyle w:val="Heading3"/>
        <w:rPr>
          <w:rFonts w:eastAsia="Times New Roman" w:cs="Arial"/>
        </w:rPr>
      </w:pPr>
      <w:bookmarkStart w:id="310" w:name="_Toc453061476"/>
      <w:bookmarkStart w:id="311" w:name="_Toc453059073"/>
      <w:bookmarkStart w:id="312" w:name="_Toc453057402"/>
      <w:bookmarkStart w:id="313" w:name="_Toc453055617"/>
      <w:bookmarkStart w:id="314" w:name="_Toc453054843"/>
      <w:r w:rsidRPr="00617599">
        <w:rPr>
          <w:rFonts w:eastAsia="Times New Roman" w:cs="Arial"/>
        </w:rPr>
        <w:lastRenderedPageBreak/>
        <w:t xml:space="preserve">Clinical pregnancies and live </w:t>
      </w:r>
      <w:r w:rsidR="00C736CE">
        <w:rPr>
          <w:rFonts w:eastAsia="Times New Roman" w:cs="Arial"/>
        </w:rPr>
        <w:t>births</w:t>
      </w:r>
      <w:r w:rsidRPr="00617599">
        <w:rPr>
          <w:rFonts w:eastAsia="Times New Roman" w:cs="Arial"/>
        </w:rPr>
        <w:t xml:space="preserve"> from oocyte/embryo recipient cycles by recipient’s age</w:t>
      </w:r>
      <w:bookmarkEnd w:id="310"/>
      <w:bookmarkEnd w:id="311"/>
      <w:bookmarkEnd w:id="312"/>
      <w:bookmarkEnd w:id="313"/>
      <w:bookmarkEnd w:id="314"/>
    </w:p>
    <w:p w14:paraId="3EFF399B" w14:textId="7921F481" w:rsidR="009303CD" w:rsidRPr="00A16797" w:rsidRDefault="009303CD" w:rsidP="009303CD">
      <w:pPr>
        <w:pStyle w:val="NPESUbodytext"/>
        <w:rPr>
          <w:rFonts w:cs="Arial"/>
          <w:color w:val="FF0000"/>
          <w:shd w:val="clear" w:color="auto" w:fill="FFFFFF"/>
        </w:rPr>
      </w:pPr>
      <w:r w:rsidRPr="00617599">
        <w:rPr>
          <w:rFonts w:cs="Arial"/>
          <w:lang w:eastAsia="en-AU"/>
        </w:rPr>
        <w:t xml:space="preserve">The live </w:t>
      </w:r>
      <w:r w:rsidR="00EC42AE">
        <w:rPr>
          <w:rFonts w:cs="Arial"/>
          <w:lang w:eastAsia="en-AU"/>
        </w:rPr>
        <w:t>birth</w:t>
      </w:r>
      <w:r w:rsidRPr="00617599">
        <w:rPr>
          <w:rFonts w:cs="Arial"/>
          <w:lang w:eastAsia="en-AU"/>
        </w:rPr>
        <w:t xml:space="preserve"> rates of recipient cycles varied by recipients</w:t>
      </w:r>
      <w:r w:rsidR="008C24BC">
        <w:rPr>
          <w:rFonts w:cs="Arial"/>
          <w:lang w:eastAsia="en-AU"/>
        </w:rPr>
        <w:t>’</w:t>
      </w:r>
      <w:r w:rsidRPr="00617599">
        <w:rPr>
          <w:rFonts w:cs="Arial"/>
          <w:lang w:eastAsia="en-AU"/>
        </w:rPr>
        <w:t xml:space="preserve"> age group. The overall live </w:t>
      </w:r>
      <w:r w:rsidR="00EC42AE">
        <w:rPr>
          <w:rFonts w:cs="Arial"/>
          <w:lang w:eastAsia="en-AU"/>
        </w:rPr>
        <w:t>birth</w:t>
      </w:r>
      <w:r w:rsidRPr="00617599">
        <w:rPr>
          <w:rFonts w:cs="Arial"/>
          <w:lang w:eastAsia="en-AU"/>
        </w:rPr>
        <w:t xml:space="preserve"> rate per initiated cycle was </w:t>
      </w:r>
      <w:r w:rsidR="008E0F40">
        <w:rPr>
          <w:rFonts w:cs="Arial"/>
          <w:lang w:eastAsia="en-AU"/>
        </w:rPr>
        <w:t>3</w:t>
      </w:r>
      <w:r w:rsidR="00A714A3">
        <w:rPr>
          <w:rFonts w:cs="Arial"/>
          <w:lang w:eastAsia="en-AU"/>
        </w:rPr>
        <w:t>1.1</w:t>
      </w:r>
      <w:r w:rsidRPr="00617599">
        <w:rPr>
          <w:rFonts w:cs="Arial"/>
          <w:lang w:eastAsia="en-AU"/>
        </w:rPr>
        <w:t xml:space="preserve">%. </w:t>
      </w:r>
      <w:r w:rsidR="00CB275E">
        <w:rPr>
          <w:rFonts w:cs="Arial"/>
          <w:lang w:eastAsia="en-AU"/>
        </w:rPr>
        <w:t>Across the five</w:t>
      </w:r>
      <w:r w:rsidR="00CB275E" w:rsidRPr="00617599">
        <w:rPr>
          <w:rFonts w:cs="Arial"/>
          <w:lang w:eastAsia="en-AU"/>
        </w:rPr>
        <w:t xml:space="preserve"> </w:t>
      </w:r>
      <w:r w:rsidRPr="00617599">
        <w:rPr>
          <w:rFonts w:cs="Arial"/>
          <w:lang w:eastAsia="en-AU"/>
        </w:rPr>
        <w:t xml:space="preserve">age </w:t>
      </w:r>
      <w:r w:rsidR="008C24BC">
        <w:rPr>
          <w:rFonts w:cs="Arial"/>
          <w:lang w:eastAsia="en-AU"/>
        </w:rPr>
        <w:t>groups</w:t>
      </w:r>
      <w:r w:rsidR="002F6F98">
        <w:rPr>
          <w:rFonts w:cs="Arial"/>
          <w:lang w:eastAsia="en-AU"/>
        </w:rPr>
        <w:t>,</w:t>
      </w:r>
      <w:r w:rsidRPr="00617599">
        <w:rPr>
          <w:rFonts w:cs="Arial"/>
          <w:lang w:eastAsia="en-AU"/>
        </w:rPr>
        <w:t xml:space="preserve"> live </w:t>
      </w:r>
      <w:r w:rsidR="00EC42AE">
        <w:rPr>
          <w:rFonts w:cs="Arial"/>
          <w:lang w:eastAsia="en-AU"/>
        </w:rPr>
        <w:t>birth</w:t>
      </w:r>
      <w:r w:rsidRPr="00617599">
        <w:rPr>
          <w:rFonts w:cs="Arial"/>
          <w:lang w:eastAsia="en-AU"/>
        </w:rPr>
        <w:t xml:space="preserve"> rate</w:t>
      </w:r>
      <w:r w:rsidR="00CB275E">
        <w:rPr>
          <w:rFonts w:cs="Arial"/>
          <w:lang w:eastAsia="en-AU"/>
        </w:rPr>
        <w:t>s</w:t>
      </w:r>
      <w:r w:rsidRPr="00617599">
        <w:rPr>
          <w:rFonts w:cs="Arial"/>
          <w:lang w:eastAsia="en-AU"/>
        </w:rPr>
        <w:t xml:space="preserve"> per initiated cycle ranged between </w:t>
      </w:r>
      <w:r w:rsidR="00A714A3">
        <w:rPr>
          <w:rFonts w:cs="Arial"/>
          <w:lang w:eastAsia="en-AU"/>
        </w:rPr>
        <w:t>18.8</w:t>
      </w:r>
      <w:r w:rsidRPr="00617599">
        <w:rPr>
          <w:rFonts w:cs="Arial"/>
          <w:lang w:eastAsia="en-AU"/>
        </w:rPr>
        <w:t>%</w:t>
      </w:r>
      <w:r w:rsidR="00870A3B" w:rsidRPr="00617599">
        <w:rPr>
          <w:rFonts w:cs="Arial"/>
          <w:lang w:eastAsia="en-AU"/>
        </w:rPr>
        <w:t xml:space="preserve"> and </w:t>
      </w:r>
      <w:r w:rsidR="008E0F40">
        <w:rPr>
          <w:rFonts w:cs="Arial"/>
          <w:lang w:eastAsia="en-AU"/>
        </w:rPr>
        <w:t>4</w:t>
      </w:r>
      <w:r w:rsidR="00A714A3">
        <w:rPr>
          <w:rFonts w:cs="Arial"/>
          <w:lang w:eastAsia="en-AU"/>
        </w:rPr>
        <w:t>1.4</w:t>
      </w:r>
      <w:r w:rsidR="00870A3B" w:rsidRPr="00617599">
        <w:rPr>
          <w:rFonts w:cs="Arial"/>
          <w:lang w:eastAsia="en-AU"/>
        </w:rPr>
        <w:t>%</w:t>
      </w:r>
      <w:r w:rsidRPr="00617599">
        <w:rPr>
          <w:rFonts w:cs="Arial"/>
          <w:lang w:eastAsia="en-AU"/>
        </w:rPr>
        <w:t xml:space="preserve"> (Table 1</w:t>
      </w:r>
      <w:r w:rsidR="00F64C79">
        <w:rPr>
          <w:rFonts w:cs="Arial"/>
          <w:lang w:eastAsia="en-AU"/>
        </w:rPr>
        <w:t>9</w:t>
      </w:r>
      <w:r w:rsidRPr="00617599">
        <w:rPr>
          <w:rFonts w:cs="Arial"/>
          <w:lang w:eastAsia="en-AU"/>
        </w:rPr>
        <w:t xml:space="preserve">). </w:t>
      </w:r>
      <w:r w:rsidR="00CB275E">
        <w:rPr>
          <w:rFonts w:cs="Arial"/>
          <w:lang w:eastAsia="en-AU"/>
        </w:rPr>
        <w:t>R</w:t>
      </w:r>
      <w:r w:rsidRPr="00617599">
        <w:rPr>
          <w:rFonts w:cs="Arial"/>
          <w:lang w:eastAsia="en-AU"/>
        </w:rPr>
        <w:t xml:space="preserve">ecipients aged </w:t>
      </w:r>
      <w:r w:rsidR="008E0F40">
        <w:rPr>
          <w:rFonts w:cs="Arial"/>
          <w:lang w:eastAsia="en-AU"/>
        </w:rPr>
        <w:t xml:space="preserve">30 to 34 </w:t>
      </w:r>
      <w:r w:rsidR="00A16797">
        <w:rPr>
          <w:rFonts w:cs="Arial"/>
          <w:lang w:eastAsia="en-AU"/>
        </w:rPr>
        <w:t>years of age</w:t>
      </w:r>
      <w:r w:rsidR="008E0F40">
        <w:rPr>
          <w:rFonts w:cs="Arial"/>
          <w:lang w:eastAsia="en-AU"/>
        </w:rPr>
        <w:t>,</w:t>
      </w:r>
      <w:r w:rsidR="00A16797">
        <w:rPr>
          <w:rFonts w:cs="Arial"/>
          <w:lang w:eastAsia="en-AU"/>
        </w:rPr>
        <w:t xml:space="preserve"> </w:t>
      </w:r>
      <w:r w:rsidR="00CB275E">
        <w:rPr>
          <w:rFonts w:cs="Arial"/>
          <w:lang w:eastAsia="en-AU"/>
        </w:rPr>
        <w:t xml:space="preserve">had </w:t>
      </w:r>
      <w:r w:rsidR="00AC1009">
        <w:rPr>
          <w:rFonts w:cs="Arial"/>
          <w:lang w:eastAsia="en-AU"/>
        </w:rPr>
        <w:t>the highest</w:t>
      </w:r>
      <w:r w:rsidR="00CB275E" w:rsidRPr="00617599">
        <w:rPr>
          <w:rFonts w:cs="Arial"/>
          <w:lang w:eastAsia="en-AU"/>
        </w:rPr>
        <w:t xml:space="preserve"> </w:t>
      </w:r>
      <w:r w:rsidRPr="00617599">
        <w:rPr>
          <w:rFonts w:cs="Arial"/>
          <w:lang w:eastAsia="en-AU"/>
        </w:rPr>
        <w:t xml:space="preserve">live </w:t>
      </w:r>
      <w:r w:rsidR="00EC42AE">
        <w:rPr>
          <w:rFonts w:cs="Arial"/>
          <w:lang w:eastAsia="en-AU"/>
        </w:rPr>
        <w:t>birth</w:t>
      </w:r>
      <w:r w:rsidRPr="00617599">
        <w:rPr>
          <w:rFonts w:cs="Arial"/>
          <w:lang w:eastAsia="en-AU"/>
        </w:rPr>
        <w:t xml:space="preserve"> rate per </w:t>
      </w:r>
      <w:r w:rsidR="00A714A3">
        <w:rPr>
          <w:rFonts w:cs="Arial"/>
          <w:lang w:eastAsia="en-AU"/>
        </w:rPr>
        <w:t>embryo transfer</w:t>
      </w:r>
      <w:r w:rsidR="00870A3B" w:rsidRPr="00617599">
        <w:rPr>
          <w:rFonts w:cs="Arial"/>
          <w:lang w:eastAsia="en-AU"/>
        </w:rPr>
        <w:t xml:space="preserve"> cycle</w:t>
      </w:r>
      <w:r w:rsidR="00B67C42">
        <w:rPr>
          <w:rFonts w:cs="Arial"/>
          <w:lang w:eastAsia="en-AU"/>
        </w:rPr>
        <w:t xml:space="preserve"> (</w:t>
      </w:r>
      <w:r w:rsidR="008E0F40">
        <w:rPr>
          <w:rFonts w:cs="Arial"/>
          <w:lang w:eastAsia="en-AU"/>
        </w:rPr>
        <w:t>4</w:t>
      </w:r>
      <w:r w:rsidR="00A714A3">
        <w:rPr>
          <w:rFonts w:cs="Arial"/>
          <w:lang w:eastAsia="en-AU"/>
        </w:rPr>
        <w:t>3.6</w:t>
      </w:r>
      <w:r w:rsidR="00B67C42">
        <w:rPr>
          <w:rFonts w:cs="Arial"/>
          <w:lang w:eastAsia="en-AU"/>
        </w:rPr>
        <w:t>%)</w:t>
      </w:r>
      <w:r w:rsidR="00AC1009">
        <w:rPr>
          <w:rFonts w:cs="Arial"/>
          <w:lang w:eastAsia="en-AU"/>
        </w:rPr>
        <w:t xml:space="preserve">. </w:t>
      </w:r>
      <w:r w:rsidRPr="00E213BE">
        <w:rPr>
          <w:rFonts w:cs="Arial"/>
          <w:lang w:eastAsia="en-AU"/>
        </w:rPr>
        <w:t>Th</w:t>
      </w:r>
      <w:r w:rsidR="004D2F68" w:rsidRPr="00E213BE">
        <w:rPr>
          <w:rFonts w:cs="Arial"/>
          <w:lang w:eastAsia="en-AU"/>
        </w:rPr>
        <w:t>ese</w:t>
      </w:r>
      <w:r w:rsidRPr="00E213BE">
        <w:rPr>
          <w:rFonts w:cs="Arial"/>
          <w:lang w:eastAsia="en-AU"/>
        </w:rPr>
        <w:t xml:space="preserve"> </w:t>
      </w:r>
      <w:r w:rsidR="004D396F" w:rsidRPr="00E213BE">
        <w:rPr>
          <w:rFonts w:cs="Arial"/>
          <w:lang w:eastAsia="en-AU"/>
        </w:rPr>
        <w:t>rate</w:t>
      </w:r>
      <w:r w:rsidR="004D2F68" w:rsidRPr="00E213BE">
        <w:rPr>
          <w:rFonts w:cs="Arial"/>
          <w:lang w:eastAsia="en-AU"/>
        </w:rPr>
        <w:t>s</w:t>
      </w:r>
      <w:r w:rsidR="004D396F" w:rsidRPr="00E213BE">
        <w:rPr>
          <w:rFonts w:cs="Arial"/>
          <w:lang w:eastAsia="en-AU"/>
        </w:rPr>
        <w:t xml:space="preserve"> </w:t>
      </w:r>
      <w:r w:rsidR="008E0F40">
        <w:rPr>
          <w:rFonts w:cs="Arial"/>
          <w:lang w:eastAsia="en-AU"/>
        </w:rPr>
        <w:t>are higher compared</w:t>
      </w:r>
      <w:r w:rsidR="008E0F40" w:rsidRPr="00E213BE">
        <w:rPr>
          <w:rFonts w:cs="Arial"/>
          <w:lang w:eastAsia="en-AU"/>
        </w:rPr>
        <w:t xml:space="preserve"> </w:t>
      </w:r>
      <w:r w:rsidRPr="00E213BE">
        <w:rPr>
          <w:rFonts w:cs="Arial"/>
          <w:lang w:eastAsia="en-AU"/>
        </w:rPr>
        <w:t xml:space="preserve">to live </w:t>
      </w:r>
      <w:r w:rsidR="00EC42AE" w:rsidRPr="00E213BE">
        <w:rPr>
          <w:rFonts w:cs="Arial"/>
          <w:lang w:eastAsia="en-AU"/>
        </w:rPr>
        <w:t>birth</w:t>
      </w:r>
      <w:r w:rsidRPr="00E213BE">
        <w:rPr>
          <w:rFonts w:cs="Arial"/>
          <w:lang w:eastAsia="en-AU"/>
        </w:rPr>
        <w:t xml:space="preserve"> rates </w:t>
      </w:r>
      <w:r w:rsidR="00E213BE" w:rsidRPr="00E213BE">
        <w:rPr>
          <w:rFonts w:cs="Arial"/>
          <w:lang w:eastAsia="en-AU"/>
        </w:rPr>
        <w:t xml:space="preserve">in Table </w:t>
      </w:r>
      <w:r w:rsidR="00F64C79">
        <w:rPr>
          <w:rFonts w:cs="Arial"/>
          <w:lang w:eastAsia="en-AU"/>
        </w:rPr>
        <w:t>11</w:t>
      </w:r>
      <w:r w:rsidR="00E213BE" w:rsidRPr="00E213BE">
        <w:rPr>
          <w:rFonts w:cs="Arial"/>
          <w:lang w:eastAsia="en-AU"/>
        </w:rPr>
        <w:t xml:space="preserve"> and Table 1</w:t>
      </w:r>
      <w:r w:rsidR="00F64C79">
        <w:rPr>
          <w:rFonts w:cs="Arial"/>
          <w:lang w:eastAsia="en-AU"/>
        </w:rPr>
        <w:t>4</w:t>
      </w:r>
      <w:r w:rsidR="00E213BE" w:rsidRPr="00E213BE">
        <w:rPr>
          <w:rFonts w:cs="Arial"/>
          <w:lang w:eastAsia="en-AU"/>
        </w:rPr>
        <w:t xml:space="preserve"> </w:t>
      </w:r>
      <w:r w:rsidRPr="00E213BE">
        <w:rPr>
          <w:rFonts w:cs="Arial"/>
          <w:lang w:eastAsia="en-AU"/>
        </w:rPr>
        <w:t xml:space="preserve">from autologous fresh </w:t>
      </w:r>
      <w:r w:rsidR="004D2F68" w:rsidRPr="00E213BE">
        <w:rPr>
          <w:rFonts w:cs="Arial"/>
          <w:lang w:eastAsia="en-AU"/>
        </w:rPr>
        <w:t xml:space="preserve">and thaw cycles for </w:t>
      </w:r>
      <w:r w:rsidR="004D2F68" w:rsidRPr="00E213BE">
        <w:rPr>
          <w:rFonts w:cs="Arial"/>
          <w:shd w:val="clear" w:color="auto" w:fill="FFFFFF"/>
        </w:rPr>
        <w:t xml:space="preserve">women aged </w:t>
      </w:r>
      <w:r w:rsidR="008E0F40">
        <w:rPr>
          <w:rFonts w:cs="Arial"/>
          <w:shd w:val="clear" w:color="auto" w:fill="FFFFFF"/>
        </w:rPr>
        <w:t>30 to 34 years</w:t>
      </w:r>
      <w:r w:rsidR="004D2F68" w:rsidRPr="00E213BE">
        <w:rPr>
          <w:rFonts w:cs="Arial"/>
          <w:shd w:val="clear" w:color="auto" w:fill="FFFFFF"/>
        </w:rPr>
        <w:t xml:space="preserve"> (</w:t>
      </w:r>
      <w:r w:rsidR="008F16AE">
        <w:rPr>
          <w:rFonts w:cs="Arial"/>
          <w:shd w:val="clear" w:color="auto" w:fill="FFFFFF"/>
        </w:rPr>
        <w:t>42.3</w:t>
      </w:r>
      <w:r w:rsidR="004D2F68" w:rsidRPr="00E213BE">
        <w:rPr>
          <w:rFonts w:cs="Arial"/>
          <w:shd w:val="clear" w:color="auto" w:fill="FFFFFF"/>
        </w:rPr>
        <w:t xml:space="preserve">% and </w:t>
      </w:r>
      <w:r w:rsidR="008F16AE">
        <w:rPr>
          <w:rFonts w:cs="Arial"/>
          <w:shd w:val="clear" w:color="auto" w:fill="FFFFFF"/>
        </w:rPr>
        <w:t>40.6</w:t>
      </w:r>
      <w:r w:rsidR="004D2F68" w:rsidRPr="00E213BE">
        <w:rPr>
          <w:rFonts w:cs="Arial"/>
          <w:shd w:val="clear" w:color="auto" w:fill="FFFFFF"/>
        </w:rPr>
        <w:t>% respectively)</w:t>
      </w:r>
      <w:r w:rsidR="008E0F40">
        <w:rPr>
          <w:rFonts w:cs="Arial"/>
          <w:lang w:eastAsia="en-AU"/>
        </w:rPr>
        <w:t xml:space="preserve">. </w:t>
      </w:r>
    </w:p>
    <w:tbl>
      <w:tblPr>
        <w:tblW w:w="9100" w:type="dxa"/>
        <w:tblCellMar>
          <w:top w:w="17" w:type="dxa"/>
          <w:left w:w="17" w:type="dxa"/>
          <w:bottom w:w="17" w:type="dxa"/>
          <w:right w:w="17" w:type="dxa"/>
        </w:tblCellMar>
        <w:tblLook w:val="04A0" w:firstRow="1" w:lastRow="0" w:firstColumn="1" w:lastColumn="0" w:noHBand="0" w:noVBand="1"/>
      </w:tblPr>
      <w:tblGrid>
        <w:gridCol w:w="3828"/>
        <w:gridCol w:w="878"/>
        <w:gridCol w:w="879"/>
        <w:gridCol w:w="879"/>
        <w:gridCol w:w="878"/>
        <w:gridCol w:w="879"/>
        <w:gridCol w:w="879"/>
      </w:tblGrid>
      <w:tr w:rsidR="00CB275E" w:rsidRPr="006F549D" w14:paraId="3C8E6135" w14:textId="77777777" w:rsidTr="00C0059A">
        <w:trPr>
          <w:trHeight w:val="240"/>
        </w:trPr>
        <w:tc>
          <w:tcPr>
            <w:tcW w:w="9100" w:type="dxa"/>
            <w:gridSpan w:val="7"/>
            <w:tcBorders>
              <w:top w:val="nil"/>
              <w:left w:val="nil"/>
              <w:bottom w:val="single" w:sz="12" w:space="0" w:color="auto"/>
              <w:right w:val="nil"/>
            </w:tcBorders>
            <w:shd w:val="clear" w:color="auto" w:fill="auto"/>
            <w:noWrap/>
            <w:vAlign w:val="center"/>
            <w:hideMark/>
          </w:tcPr>
          <w:p w14:paraId="17589665" w14:textId="64746620" w:rsidR="00CB275E" w:rsidRPr="00584635" w:rsidRDefault="00CB275E" w:rsidP="00CC6C74">
            <w:pPr>
              <w:pStyle w:val="Caption"/>
              <w:rPr>
                <w:rFonts w:cs="Arial"/>
                <w:shd w:val="clear" w:color="auto" w:fill="FFFFFF"/>
              </w:rPr>
            </w:pPr>
            <w:bookmarkStart w:id="315" w:name="_Toc158026568"/>
            <w:r w:rsidRPr="00584635">
              <w:rPr>
                <w:lang w:eastAsia="en-AU"/>
              </w:rPr>
              <w:t>Table 1</w:t>
            </w:r>
            <w:r w:rsidR="00F400A5">
              <w:rPr>
                <w:lang w:eastAsia="en-AU"/>
              </w:rPr>
              <w:t>9</w:t>
            </w:r>
            <w:r w:rsidRPr="00584635">
              <w:rPr>
                <w:lang w:eastAsia="en-AU"/>
              </w:rPr>
              <w:t xml:space="preserve">: Outcomes of oocyte/embryo recipient cycles by recipient's age group, </w:t>
            </w:r>
            <w:r w:rsidR="00A501CE">
              <w:rPr>
                <w:lang w:eastAsia="en-AU"/>
              </w:rPr>
              <w:t>New Zealand, 20</w:t>
            </w:r>
            <w:r w:rsidR="008E0F40">
              <w:rPr>
                <w:lang w:eastAsia="en-AU"/>
              </w:rPr>
              <w:t>2</w:t>
            </w:r>
            <w:r w:rsidR="005E43D6">
              <w:rPr>
                <w:lang w:eastAsia="en-AU"/>
              </w:rPr>
              <w:t>1</w:t>
            </w:r>
            <w:bookmarkEnd w:id="315"/>
            <w:r w:rsidR="00A501CE">
              <w:rPr>
                <w:lang w:eastAsia="en-AU"/>
              </w:rPr>
              <w:t xml:space="preserve"> </w:t>
            </w:r>
          </w:p>
        </w:tc>
      </w:tr>
      <w:tr w:rsidR="00A15196" w:rsidRPr="00CB275E" w14:paraId="6287F813" w14:textId="77777777" w:rsidTr="00C0059A">
        <w:trPr>
          <w:trHeight w:val="227"/>
        </w:trPr>
        <w:tc>
          <w:tcPr>
            <w:tcW w:w="3828" w:type="dxa"/>
            <w:tcBorders>
              <w:top w:val="single" w:sz="12" w:space="0" w:color="auto"/>
              <w:left w:val="nil"/>
              <w:right w:val="nil"/>
            </w:tcBorders>
            <w:shd w:val="clear" w:color="auto" w:fill="auto"/>
            <w:noWrap/>
            <w:vAlign w:val="center"/>
          </w:tcPr>
          <w:p w14:paraId="2AF7BCE6" w14:textId="77777777" w:rsidR="00A15196" w:rsidRPr="00CB275E" w:rsidRDefault="00A15196" w:rsidP="00510FAA">
            <w:pPr>
              <w:spacing w:after="0" w:line="276" w:lineRule="auto"/>
              <w:rPr>
                <w:rFonts w:ascii="Arial" w:eastAsia="Times New Roman" w:hAnsi="Arial" w:cs="Arial"/>
                <w:b/>
                <w:bCs/>
                <w:color w:val="000000"/>
                <w:sz w:val="16"/>
                <w:szCs w:val="16"/>
                <w:lang w:eastAsia="en-AU"/>
              </w:rPr>
            </w:pPr>
          </w:p>
        </w:tc>
        <w:tc>
          <w:tcPr>
            <w:tcW w:w="5272" w:type="dxa"/>
            <w:gridSpan w:val="6"/>
            <w:tcBorders>
              <w:top w:val="single" w:sz="12" w:space="0" w:color="auto"/>
              <w:left w:val="nil"/>
              <w:bottom w:val="single" w:sz="4" w:space="0" w:color="auto"/>
              <w:right w:val="nil"/>
            </w:tcBorders>
            <w:shd w:val="clear" w:color="auto" w:fill="auto"/>
            <w:noWrap/>
            <w:vAlign w:val="center"/>
          </w:tcPr>
          <w:p w14:paraId="7D167B5F" w14:textId="012D2FFD" w:rsidR="00A15196" w:rsidRPr="00CB275E" w:rsidRDefault="00A15196" w:rsidP="00510FAA">
            <w:pPr>
              <w:spacing w:after="0" w:line="276" w:lineRule="auto"/>
              <w:jc w:val="center"/>
              <w:rPr>
                <w:rFonts w:ascii="Arial" w:eastAsia="Times New Roman" w:hAnsi="Arial" w:cs="Arial"/>
                <w:b/>
                <w:bCs/>
                <w:color w:val="000000"/>
                <w:sz w:val="16"/>
                <w:szCs w:val="16"/>
                <w:lang w:eastAsia="en-AU"/>
              </w:rPr>
            </w:pPr>
            <w:r w:rsidRPr="00617599">
              <w:rPr>
                <w:rFonts w:ascii="Arial" w:eastAsia="Times New Roman" w:hAnsi="Arial" w:cs="Arial"/>
                <w:b/>
                <w:bCs/>
                <w:sz w:val="16"/>
                <w:szCs w:val="16"/>
                <w:lang w:eastAsia="en-AU"/>
              </w:rPr>
              <w:t>Age group (year</w:t>
            </w:r>
            <w:r>
              <w:rPr>
                <w:rFonts w:ascii="Arial" w:eastAsia="Times New Roman" w:hAnsi="Arial" w:cs="Arial"/>
                <w:b/>
                <w:bCs/>
                <w:sz w:val="16"/>
                <w:szCs w:val="16"/>
                <w:lang w:eastAsia="en-AU"/>
              </w:rPr>
              <w:t>s</w:t>
            </w:r>
            <w:r w:rsidRPr="00617599">
              <w:rPr>
                <w:rFonts w:ascii="Arial" w:eastAsia="Times New Roman" w:hAnsi="Arial" w:cs="Arial"/>
                <w:b/>
                <w:bCs/>
                <w:sz w:val="16"/>
                <w:szCs w:val="16"/>
                <w:lang w:eastAsia="en-AU"/>
              </w:rPr>
              <w:t>)</w:t>
            </w:r>
            <w:r w:rsidRPr="00617599">
              <w:rPr>
                <w:rFonts w:ascii="Arial" w:eastAsia="Times New Roman" w:hAnsi="Arial" w:cs="Arial"/>
                <w:b/>
                <w:bCs/>
                <w:sz w:val="16"/>
                <w:szCs w:val="16"/>
                <w:vertAlign w:val="superscript"/>
                <w:lang w:eastAsia="en-AU"/>
              </w:rPr>
              <w:t>(a)</w:t>
            </w:r>
          </w:p>
        </w:tc>
      </w:tr>
      <w:tr w:rsidR="00CB275E" w:rsidRPr="00CB275E" w14:paraId="318843D9" w14:textId="77777777" w:rsidTr="00C0059A">
        <w:trPr>
          <w:trHeight w:val="227"/>
        </w:trPr>
        <w:tc>
          <w:tcPr>
            <w:tcW w:w="3828" w:type="dxa"/>
            <w:tcBorders>
              <w:left w:val="nil"/>
              <w:bottom w:val="single" w:sz="4" w:space="0" w:color="auto"/>
              <w:right w:val="nil"/>
            </w:tcBorders>
            <w:shd w:val="clear" w:color="auto" w:fill="auto"/>
            <w:noWrap/>
            <w:vAlign w:val="center"/>
            <w:hideMark/>
          </w:tcPr>
          <w:p w14:paraId="7896B501" w14:textId="77777777" w:rsidR="00CB275E" w:rsidRPr="00CB275E" w:rsidRDefault="00CB275E" w:rsidP="00510FAA">
            <w:pPr>
              <w:spacing w:after="0" w:line="276" w:lineRule="auto"/>
              <w:rPr>
                <w:rFonts w:ascii="Arial" w:eastAsia="Times New Roman" w:hAnsi="Arial" w:cs="Arial"/>
                <w:b/>
                <w:bCs/>
                <w:color w:val="000000"/>
                <w:sz w:val="16"/>
                <w:szCs w:val="16"/>
                <w:lang w:eastAsia="en-AU"/>
              </w:rPr>
            </w:pPr>
            <w:r w:rsidRPr="00CB275E">
              <w:rPr>
                <w:rFonts w:ascii="Arial" w:eastAsia="Times New Roman" w:hAnsi="Arial" w:cs="Arial"/>
                <w:b/>
                <w:bCs/>
                <w:color w:val="000000"/>
                <w:sz w:val="16"/>
                <w:szCs w:val="16"/>
                <w:lang w:eastAsia="en-AU"/>
              </w:rPr>
              <w:t>Stage/outcome of treatment</w:t>
            </w:r>
          </w:p>
        </w:tc>
        <w:tc>
          <w:tcPr>
            <w:tcW w:w="878" w:type="dxa"/>
            <w:tcBorders>
              <w:top w:val="single" w:sz="4" w:space="0" w:color="auto"/>
              <w:left w:val="nil"/>
              <w:bottom w:val="single" w:sz="4" w:space="0" w:color="auto"/>
              <w:right w:val="nil"/>
            </w:tcBorders>
            <w:shd w:val="clear" w:color="auto" w:fill="auto"/>
            <w:vAlign w:val="center"/>
            <w:hideMark/>
          </w:tcPr>
          <w:p w14:paraId="48AAEE89" w14:textId="4F771E42" w:rsidR="00CB275E" w:rsidRPr="00CB275E" w:rsidRDefault="00CB275E" w:rsidP="00510FAA">
            <w:pPr>
              <w:spacing w:after="0" w:line="276" w:lineRule="auto"/>
              <w:jc w:val="right"/>
              <w:rPr>
                <w:rFonts w:ascii="Arial" w:eastAsia="Times New Roman" w:hAnsi="Arial" w:cs="Arial"/>
                <w:b/>
                <w:bCs/>
                <w:color w:val="000000"/>
                <w:sz w:val="16"/>
                <w:szCs w:val="16"/>
                <w:lang w:eastAsia="en-AU"/>
              </w:rPr>
            </w:pPr>
            <w:r w:rsidRPr="00CB275E">
              <w:rPr>
                <w:rFonts w:ascii="Arial" w:eastAsia="Times New Roman" w:hAnsi="Arial" w:cs="Arial"/>
                <w:b/>
                <w:bCs/>
                <w:color w:val="000000"/>
                <w:sz w:val="16"/>
                <w:szCs w:val="16"/>
                <w:lang w:eastAsia="en-AU"/>
              </w:rPr>
              <w:t>&lt;</w:t>
            </w:r>
            <w:r w:rsidR="005C27B8">
              <w:rPr>
                <w:rFonts w:ascii="Arial" w:eastAsia="Times New Roman" w:hAnsi="Arial" w:cs="Arial"/>
                <w:b/>
                <w:bCs/>
                <w:color w:val="000000"/>
                <w:sz w:val="16"/>
                <w:szCs w:val="16"/>
                <w:lang w:eastAsia="en-AU"/>
              </w:rPr>
              <w:t xml:space="preserve"> </w:t>
            </w:r>
            <w:r w:rsidRPr="00CB275E">
              <w:rPr>
                <w:rFonts w:ascii="Arial" w:eastAsia="Times New Roman" w:hAnsi="Arial" w:cs="Arial"/>
                <w:b/>
                <w:bCs/>
                <w:color w:val="000000"/>
                <w:sz w:val="16"/>
                <w:szCs w:val="16"/>
                <w:lang w:eastAsia="en-AU"/>
              </w:rPr>
              <w:t>30</w:t>
            </w:r>
          </w:p>
        </w:tc>
        <w:tc>
          <w:tcPr>
            <w:tcW w:w="879" w:type="dxa"/>
            <w:tcBorders>
              <w:top w:val="single" w:sz="4" w:space="0" w:color="auto"/>
              <w:left w:val="nil"/>
              <w:bottom w:val="single" w:sz="4" w:space="0" w:color="auto"/>
              <w:right w:val="nil"/>
            </w:tcBorders>
            <w:shd w:val="clear" w:color="auto" w:fill="auto"/>
            <w:vAlign w:val="center"/>
            <w:hideMark/>
          </w:tcPr>
          <w:p w14:paraId="608DCB52" w14:textId="77777777" w:rsidR="00CB275E" w:rsidRPr="00CB275E" w:rsidRDefault="00CB275E" w:rsidP="00510FAA">
            <w:pPr>
              <w:spacing w:after="0" w:line="276" w:lineRule="auto"/>
              <w:jc w:val="right"/>
              <w:rPr>
                <w:rFonts w:ascii="Arial" w:eastAsia="Times New Roman" w:hAnsi="Arial" w:cs="Arial"/>
                <w:b/>
                <w:bCs/>
                <w:color w:val="000000"/>
                <w:sz w:val="16"/>
                <w:szCs w:val="16"/>
                <w:lang w:eastAsia="en-AU"/>
              </w:rPr>
            </w:pPr>
            <w:r w:rsidRPr="00CB275E">
              <w:rPr>
                <w:rFonts w:ascii="Arial" w:eastAsia="Times New Roman" w:hAnsi="Arial" w:cs="Arial"/>
                <w:b/>
                <w:bCs/>
                <w:color w:val="000000"/>
                <w:sz w:val="16"/>
                <w:szCs w:val="16"/>
                <w:lang w:eastAsia="en-AU"/>
              </w:rPr>
              <w:t>30-34</w:t>
            </w:r>
          </w:p>
        </w:tc>
        <w:tc>
          <w:tcPr>
            <w:tcW w:w="879" w:type="dxa"/>
            <w:tcBorders>
              <w:top w:val="single" w:sz="4" w:space="0" w:color="auto"/>
              <w:left w:val="nil"/>
              <w:bottom w:val="single" w:sz="4" w:space="0" w:color="auto"/>
              <w:right w:val="nil"/>
            </w:tcBorders>
            <w:shd w:val="clear" w:color="auto" w:fill="auto"/>
            <w:vAlign w:val="center"/>
            <w:hideMark/>
          </w:tcPr>
          <w:p w14:paraId="3ABDE28E" w14:textId="77777777" w:rsidR="00CB275E" w:rsidRPr="00CB275E" w:rsidRDefault="00CB275E" w:rsidP="00510FAA">
            <w:pPr>
              <w:spacing w:after="0" w:line="276" w:lineRule="auto"/>
              <w:jc w:val="right"/>
              <w:rPr>
                <w:rFonts w:ascii="Arial" w:eastAsia="Times New Roman" w:hAnsi="Arial" w:cs="Arial"/>
                <w:b/>
                <w:bCs/>
                <w:color w:val="000000"/>
                <w:sz w:val="16"/>
                <w:szCs w:val="16"/>
                <w:lang w:eastAsia="en-AU"/>
              </w:rPr>
            </w:pPr>
            <w:r w:rsidRPr="00CB275E">
              <w:rPr>
                <w:rFonts w:ascii="Arial" w:eastAsia="Times New Roman" w:hAnsi="Arial" w:cs="Arial"/>
                <w:b/>
                <w:bCs/>
                <w:color w:val="000000"/>
                <w:sz w:val="16"/>
                <w:szCs w:val="16"/>
                <w:lang w:eastAsia="en-AU"/>
              </w:rPr>
              <w:t>35-39</w:t>
            </w:r>
          </w:p>
        </w:tc>
        <w:tc>
          <w:tcPr>
            <w:tcW w:w="878" w:type="dxa"/>
            <w:tcBorders>
              <w:top w:val="single" w:sz="4" w:space="0" w:color="auto"/>
              <w:left w:val="nil"/>
              <w:bottom w:val="single" w:sz="4" w:space="0" w:color="auto"/>
              <w:right w:val="nil"/>
            </w:tcBorders>
            <w:shd w:val="clear" w:color="auto" w:fill="auto"/>
            <w:vAlign w:val="center"/>
            <w:hideMark/>
          </w:tcPr>
          <w:p w14:paraId="21A92C4B" w14:textId="77777777" w:rsidR="00CB275E" w:rsidRPr="00CB275E" w:rsidRDefault="00CB275E" w:rsidP="00510FAA">
            <w:pPr>
              <w:spacing w:after="0" w:line="276" w:lineRule="auto"/>
              <w:jc w:val="right"/>
              <w:rPr>
                <w:rFonts w:ascii="Arial" w:eastAsia="Times New Roman" w:hAnsi="Arial" w:cs="Arial"/>
                <w:b/>
                <w:bCs/>
                <w:color w:val="000000"/>
                <w:sz w:val="16"/>
                <w:szCs w:val="16"/>
                <w:lang w:eastAsia="en-AU"/>
              </w:rPr>
            </w:pPr>
            <w:r w:rsidRPr="00CB275E">
              <w:rPr>
                <w:rFonts w:ascii="Arial" w:eastAsia="Times New Roman" w:hAnsi="Arial" w:cs="Arial"/>
                <w:b/>
                <w:bCs/>
                <w:color w:val="000000"/>
                <w:sz w:val="16"/>
                <w:szCs w:val="16"/>
                <w:lang w:eastAsia="en-AU"/>
              </w:rPr>
              <w:t>40-44</w:t>
            </w:r>
          </w:p>
        </w:tc>
        <w:tc>
          <w:tcPr>
            <w:tcW w:w="879" w:type="dxa"/>
            <w:tcBorders>
              <w:top w:val="single" w:sz="4" w:space="0" w:color="auto"/>
              <w:left w:val="nil"/>
              <w:bottom w:val="single" w:sz="4" w:space="0" w:color="auto"/>
              <w:right w:val="nil"/>
            </w:tcBorders>
            <w:shd w:val="clear" w:color="auto" w:fill="auto"/>
            <w:noWrap/>
            <w:vAlign w:val="center"/>
            <w:hideMark/>
          </w:tcPr>
          <w:p w14:paraId="7214F064" w14:textId="675ED7AC" w:rsidR="00CB275E" w:rsidRPr="00CB275E" w:rsidRDefault="00CB275E" w:rsidP="00510FAA">
            <w:pPr>
              <w:spacing w:after="0" w:line="276" w:lineRule="auto"/>
              <w:jc w:val="right"/>
              <w:rPr>
                <w:rFonts w:ascii="Arial" w:eastAsia="Times New Roman" w:hAnsi="Arial" w:cs="Arial"/>
                <w:b/>
                <w:bCs/>
                <w:color w:val="000000"/>
                <w:sz w:val="16"/>
                <w:szCs w:val="16"/>
                <w:lang w:eastAsia="en-AU"/>
              </w:rPr>
            </w:pPr>
            <w:r w:rsidRPr="00CB275E">
              <w:rPr>
                <w:rFonts w:ascii="Arial" w:eastAsia="Times New Roman" w:hAnsi="Arial" w:cs="Arial"/>
                <w:b/>
                <w:bCs/>
                <w:color w:val="000000"/>
                <w:sz w:val="16"/>
                <w:szCs w:val="16"/>
                <w:lang w:eastAsia="en-AU"/>
              </w:rPr>
              <w:t>≥</w:t>
            </w:r>
            <w:r w:rsidR="005C27B8">
              <w:rPr>
                <w:rFonts w:ascii="Arial" w:eastAsia="Times New Roman" w:hAnsi="Arial" w:cs="Arial"/>
                <w:b/>
                <w:bCs/>
                <w:color w:val="000000"/>
                <w:sz w:val="16"/>
                <w:szCs w:val="16"/>
                <w:lang w:eastAsia="en-AU"/>
              </w:rPr>
              <w:t xml:space="preserve"> </w:t>
            </w:r>
            <w:r w:rsidRPr="00CB275E">
              <w:rPr>
                <w:rFonts w:ascii="Arial" w:eastAsia="Times New Roman" w:hAnsi="Arial" w:cs="Arial"/>
                <w:b/>
                <w:bCs/>
                <w:color w:val="000000"/>
                <w:sz w:val="16"/>
                <w:szCs w:val="16"/>
                <w:lang w:eastAsia="en-AU"/>
              </w:rPr>
              <w:t>45</w:t>
            </w:r>
          </w:p>
        </w:tc>
        <w:tc>
          <w:tcPr>
            <w:tcW w:w="879" w:type="dxa"/>
            <w:tcBorders>
              <w:top w:val="single" w:sz="4" w:space="0" w:color="auto"/>
              <w:left w:val="nil"/>
              <w:bottom w:val="single" w:sz="4" w:space="0" w:color="auto"/>
              <w:right w:val="nil"/>
            </w:tcBorders>
            <w:shd w:val="clear" w:color="auto" w:fill="auto"/>
            <w:vAlign w:val="center"/>
            <w:hideMark/>
          </w:tcPr>
          <w:p w14:paraId="2857208B" w14:textId="77777777" w:rsidR="00CB275E" w:rsidRPr="00CB275E" w:rsidRDefault="00CB275E" w:rsidP="00510FAA">
            <w:pPr>
              <w:spacing w:after="0" w:line="276" w:lineRule="auto"/>
              <w:jc w:val="right"/>
              <w:rPr>
                <w:rFonts w:ascii="Arial" w:eastAsia="Times New Roman" w:hAnsi="Arial" w:cs="Arial"/>
                <w:b/>
                <w:bCs/>
                <w:color w:val="000000"/>
                <w:sz w:val="16"/>
                <w:szCs w:val="16"/>
                <w:lang w:eastAsia="en-AU"/>
              </w:rPr>
            </w:pPr>
            <w:r w:rsidRPr="00CB275E">
              <w:rPr>
                <w:rFonts w:ascii="Arial" w:eastAsia="Times New Roman" w:hAnsi="Arial" w:cs="Arial"/>
                <w:b/>
                <w:bCs/>
                <w:color w:val="000000"/>
                <w:sz w:val="16"/>
                <w:szCs w:val="16"/>
                <w:lang w:eastAsia="en-AU"/>
              </w:rPr>
              <w:t>All</w:t>
            </w:r>
          </w:p>
        </w:tc>
      </w:tr>
      <w:tr w:rsidR="005E43D6" w:rsidRPr="00CB275E" w14:paraId="69F4ECD0" w14:textId="77777777" w:rsidTr="00C0059A">
        <w:trPr>
          <w:trHeight w:val="215"/>
        </w:trPr>
        <w:tc>
          <w:tcPr>
            <w:tcW w:w="3828" w:type="dxa"/>
            <w:tcBorders>
              <w:top w:val="nil"/>
              <w:left w:val="nil"/>
              <w:bottom w:val="nil"/>
              <w:right w:val="nil"/>
            </w:tcBorders>
            <w:shd w:val="clear" w:color="auto" w:fill="auto"/>
            <w:noWrap/>
            <w:vAlign w:val="center"/>
            <w:hideMark/>
          </w:tcPr>
          <w:p w14:paraId="539F9D05" w14:textId="77777777" w:rsidR="005E43D6" w:rsidRPr="00CB275E" w:rsidRDefault="005E43D6" w:rsidP="005E43D6">
            <w:pPr>
              <w:spacing w:after="0" w:line="276" w:lineRule="auto"/>
              <w:rPr>
                <w:rFonts w:ascii="Arial" w:eastAsia="Times New Roman" w:hAnsi="Arial" w:cs="Arial"/>
                <w:color w:val="000000"/>
                <w:sz w:val="16"/>
                <w:szCs w:val="16"/>
                <w:lang w:eastAsia="en-AU"/>
              </w:rPr>
            </w:pPr>
            <w:r w:rsidRPr="00CB275E">
              <w:rPr>
                <w:rFonts w:ascii="Arial" w:eastAsia="Times New Roman" w:hAnsi="Arial" w:cs="Arial"/>
                <w:color w:val="000000"/>
                <w:sz w:val="16"/>
                <w:szCs w:val="16"/>
                <w:lang w:eastAsia="en-AU"/>
              </w:rPr>
              <w:t>Initiated cycles</w:t>
            </w:r>
          </w:p>
        </w:tc>
        <w:tc>
          <w:tcPr>
            <w:tcW w:w="878" w:type="dxa"/>
            <w:tcBorders>
              <w:top w:val="nil"/>
              <w:left w:val="nil"/>
              <w:bottom w:val="nil"/>
              <w:right w:val="nil"/>
            </w:tcBorders>
            <w:shd w:val="clear" w:color="auto" w:fill="auto"/>
            <w:vAlign w:val="center"/>
            <w:hideMark/>
          </w:tcPr>
          <w:p w14:paraId="2D57A3B5" w14:textId="32047DCB"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16</w:t>
            </w:r>
          </w:p>
        </w:tc>
        <w:tc>
          <w:tcPr>
            <w:tcW w:w="879" w:type="dxa"/>
            <w:tcBorders>
              <w:top w:val="nil"/>
              <w:left w:val="nil"/>
              <w:bottom w:val="nil"/>
              <w:right w:val="nil"/>
            </w:tcBorders>
            <w:shd w:val="clear" w:color="auto" w:fill="auto"/>
            <w:vAlign w:val="center"/>
            <w:hideMark/>
          </w:tcPr>
          <w:p w14:paraId="163016E5" w14:textId="3D4D74A8"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58</w:t>
            </w:r>
          </w:p>
        </w:tc>
        <w:tc>
          <w:tcPr>
            <w:tcW w:w="879" w:type="dxa"/>
            <w:tcBorders>
              <w:top w:val="nil"/>
              <w:left w:val="nil"/>
              <w:bottom w:val="nil"/>
              <w:right w:val="nil"/>
            </w:tcBorders>
            <w:shd w:val="clear" w:color="auto" w:fill="auto"/>
            <w:vAlign w:val="center"/>
            <w:hideMark/>
          </w:tcPr>
          <w:p w14:paraId="4DEB1540" w14:textId="7B5BE767"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91</w:t>
            </w:r>
          </w:p>
        </w:tc>
        <w:tc>
          <w:tcPr>
            <w:tcW w:w="878" w:type="dxa"/>
            <w:tcBorders>
              <w:top w:val="nil"/>
              <w:left w:val="nil"/>
              <w:bottom w:val="nil"/>
              <w:right w:val="nil"/>
            </w:tcBorders>
            <w:shd w:val="clear" w:color="auto" w:fill="auto"/>
            <w:vAlign w:val="center"/>
            <w:hideMark/>
          </w:tcPr>
          <w:p w14:paraId="4E9B0BB8" w14:textId="38A6AE87"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146</w:t>
            </w:r>
          </w:p>
        </w:tc>
        <w:tc>
          <w:tcPr>
            <w:tcW w:w="879" w:type="dxa"/>
            <w:tcBorders>
              <w:top w:val="nil"/>
              <w:left w:val="nil"/>
              <w:bottom w:val="nil"/>
              <w:right w:val="nil"/>
            </w:tcBorders>
            <w:shd w:val="clear" w:color="auto" w:fill="auto"/>
            <w:vAlign w:val="center"/>
            <w:hideMark/>
          </w:tcPr>
          <w:p w14:paraId="2D1D7906" w14:textId="3C2BDE81"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78</w:t>
            </w:r>
          </w:p>
        </w:tc>
        <w:tc>
          <w:tcPr>
            <w:tcW w:w="879" w:type="dxa"/>
            <w:tcBorders>
              <w:top w:val="nil"/>
              <w:left w:val="nil"/>
              <w:bottom w:val="nil"/>
              <w:right w:val="nil"/>
            </w:tcBorders>
            <w:shd w:val="clear" w:color="auto" w:fill="auto"/>
            <w:vAlign w:val="center"/>
            <w:hideMark/>
          </w:tcPr>
          <w:p w14:paraId="5EB89339" w14:textId="7FECD018" w:rsidR="005E43D6" w:rsidRPr="00E76EA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389</w:t>
            </w:r>
          </w:p>
        </w:tc>
      </w:tr>
      <w:tr w:rsidR="005E43D6" w:rsidRPr="00CB275E" w14:paraId="4C342281" w14:textId="77777777" w:rsidTr="00744BEE">
        <w:trPr>
          <w:trHeight w:val="215"/>
        </w:trPr>
        <w:tc>
          <w:tcPr>
            <w:tcW w:w="3828" w:type="dxa"/>
            <w:tcBorders>
              <w:top w:val="nil"/>
              <w:left w:val="nil"/>
              <w:bottom w:val="nil"/>
              <w:right w:val="nil"/>
            </w:tcBorders>
            <w:shd w:val="clear" w:color="auto" w:fill="auto"/>
            <w:noWrap/>
            <w:vAlign w:val="bottom"/>
            <w:hideMark/>
          </w:tcPr>
          <w:p w14:paraId="742DD21C" w14:textId="77777777" w:rsidR="005E43D6" w:rsidRPr="00CB275E" w:rsidRDefault="005E43D6" w:rsidP="005E43D6">
            <w:pPr>
              <w:spacing w:after="0" w:line="276" w:lineRule="auto"/>
              <w:rPr>
                <w:rFonts w:ascii="Arial" w:eastAsia="Times New Roman" w:hAnsi="Arial" w:cs="Arial"/>
                <w:color w:val="000000"/>
                <w:sz w:val="16"/>
                <w:szCs w:val="16"/>
                <w:lang w:eastAsia="en-AU"/>
              </w:rPr>
            </w:pPr>
            <w:r w:rsidRPr="00CB275E">
              <w:rPr>
                <w:rFonts w:ascii="Arial" w:eastAsia="Times New Roman" w:hAnsi="Arial" w:cs="Arial"/>
                <w:color w:val="000000"/>
                <w:sz w:val="16"/>
                <w:szCs w:val="16"/>
                <w:lang w:eastAsia="en-AU"/>
              </w:rPr>
              <w:t>Embryo transfers</w:t>
            </w:r>
          </w:p>
        </w:tc>
        <w:tc>
          <w:tcPr>
            <w:tcW w:w="878" w:type="dxa"/>
            <w:tcBorders>
              <w:top w:val="nil"/>
              <w:left w:val="nil"/>
              <w:bottom w:val="nil"/>
              <w:right w:val="nil"/>
            </w:tcBorders>
            <w:shd w:val="clear" w:color="auto" w:fill="auto"/>
            <w:noWrap/>
            <w:vAlign w:val="bottom"/>
            <w:hideMark/>
          </w:tcPr>
          <w:p w14:paraId="1CE26141" w14:textId="5C6C414F"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15</w:t>
            </w:r>
          </w:p>
        </w:tc>
        <w:tc>
          <w:tcPr>
            <w:tcW w:w="879" w:type="dxa"/>
            <w:tcBorders>
              <w:top w:val="nil"/>
              <w:left w:val="nil"/>
              <w:bottom w:val="nil"/>
              <w:right w:val="nil"/>
            </w:tcBorders>
            <w:shd w:val="clear" w:color="auto" w:fill="auto"/>
            <w:noWrap/>
            <w:vAlign w:val="bottom"/>
            <w:hideMark/>
          </w:tcPr>
          <w:p w14:paraId="33B9AF70" w14:textId="1B2102B1"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55</w:t>
            </w:r>
          </w:p>
        </w:tc>
        <w:tc>
          <w:tcPr>
            <w:tcW w:w="879" w:type="dxa"/>
            <w:tcBorders>
              <w:top w:val="nil"/>
              <w:left w:val="nil"/>
              <w:bottom w:val="nil"/>
              <w:right w:val="nil"/>
            </w:tcBorders>
            <w:shd w:val="clear" w:color="auto" w:fill="auto"/>
            <w:noWrap/>
            <w:vAlign w:val="bottom"/>
            <w:hideMark/>
          </w:tcPr>
          <w:p w14:paraId="758C37B2" w14:textId="77D421F7"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87</w:t>
            </w:r>
          </w:p>
        </w:tc>
        <w:tc>
          <w:tcPr>
            <w:tcW w:w="878" w:type="dxa"/>
            <w:tcBorders>
              <w:top w:val="nil"/>
              <w:left w:val="nil"/>
              <w:bottom w:val="nil"/>
              <w:right w:val="nil"/>
            </w:tcBorders>
            <w:shd w:val="clear" w:color="auto" w:fill="auto"/>
            <w:noWrap/>
            <w:vAlign w:val="bottom"/>
            <w:hideMark/>
          </w:tcPr>
          <w:p w14:paraId="1F41A9F7" w14:textId="3959C6EA"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139</w:t>
            </w:r>
          </w:p>
        </w:tc>
        <w:tc>
          <w:tcPr>
            <w:tcW w:w="879" w:type="dxa"/>
            <w:tcBorders>
              <w:top w:val="nil"/>
              <w:left w:val="nil"/>
              <w:bottom w:val="nil"/>
              <w:right w:val="nil"/>
            </w:tcBorders>
            <w:shd w:val="clear" w:color="auto" w:fill="auto"/>
            <w:noWrap/>
            <w:vAlign w:val="bottom"/>
            <w:hideMark/>
          </w:tcPr>
          <w:p w14:paraId="35223DC6" w14:textId="2063755C"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70</w:t>
            </w:r>
          </w:p>
        </w:tc>
        <w:tc>
          <w:tcPr>
            <w:tcW w:w="879" w:type="dxa"/>
            <w:tcBorders>
              <w:top w:val="nil"/>
              <w:left w:val="nil"/>
              <w:bottom w:val="nil"/>
              <w:right w:val="nil"/>
            </w:tcBorders>
            <w:shd w:val="clear" w:color="auto" w:fill="auto"/>
            <w:noWrap/>
            <w:vAlign w:val="bottom"/>
            <w:hideMark/>
          </w:tcPr>
          <w:p w14:paraId="7DA8B4FC" w14:textId="0C996518" w:rsidR="005E43D6" w:rsidRPr="00E76EA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366</w:t>
            </w:r>
          </w:p>
        </w:tc>
      </w:tr>
      <w:tr w:rsidR="005E43D6" w:rsidRPr="00CB275E" w14:paraId="166B729F" w14:textId="77777777" w:rsidTr="00744BEE">
        <w:trPr>
          <w:trHeight w:val="215"/>
        </w:trPr>
        <w:tc>
          <w:tcPr>
            <w:tcW w:w="3828" w:type="dxa"/>
            <w:tcBorders>
              <w:top w:val="nil"/>
              <w:left w:val="nil"/>
              <w:bottom w:val="nil"/>
              <w:right w:val="nil"/>
            </w:tcBorders>
            <w:shd w:val="clear" w:color="auto" w:fill="auto"/>
            <w:noWrap/>
            <w:vAlign w:val="bottom"/>
            <w:hideMark/>
          </w:tcPr>
          <w:p w14:paraId="071C8B8E" w14:textId="77777777" w:rsidR="005E43D6" w:rsidRPr="00CB275E" w:rsidRDefault="005E43D6" w:rsidP="005E43D6">
            <w:pPr>
              <w:spacing w:after="0" w:line="276" w:lineRule="auto"/>
              <w:rPr>
                <w:rFonts w:ascii="Arial" w:eastAsia="Times New Roman" w:hAnsi="Arial" w:cs="Arial"/>
                <w:color w:val="000000"/>
                <w:sz w:val="16"/>
                <w:szCs w:val="16"/>
                <w:lang w:eastAsia="en-AU"/>
              </w:rPr>
            </w:pPr>
            <w:r w:rsidRPr="00CB275E">
              <w:rPr>
                <w:rFonts w:ascii="Arial" w:eastAsia="Times New Roman" w:hAnsi="Arial" w:cs="Arial"/>
                <w:color w:val="000000"/>
                <w:sz w:val="16"/>
                <w:szCs w:val="16"/>
                <w:lang w:eastAsia="en-AU"/>
              </w:rPr>
              <w:t>Clinical pregnancies</w:t>
            </w:r>
          </w:p>
        </w:tc>
        <w:tc>
          <w:tcPr>
            <w:tcW w:w="878" w:type="dxa"/>
            <w:tcBorders>
              <w:top w:val="nil"/>
              <w:left w:val="nil"/>
              <w:bottom w:val="nil"/>
              <w:right w:val="nil"/>
            </w:tcBorders>
            <w:shd w:val="clear" w:color="auto" w:fill="auto"/>
            <w:noWrap/>
            <w:vAlign w:val="bottom"/>
            <w:hideMark/>
          </w:tcPr>
          <w:p w14:paraId="6D226E25" w14:textId="5D2637DB"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5</w:t>
            </w:r>
          </w:p>
        </w:tc>
        <w:tc>
          <w:tcPr>
            <w:tcW w:w="879" w:type="dxa"/>
            <w:tcBorders>
              <w:top w:val="nil"/>
              <w:left w:val="nil"/>
              <w:bottom w:val="nil"/>
              <w:right w:val="nil"/>
            </w:tcBorders>
            <w:shd w:val="clear" w:color="auto" w:fill="auto"/>
            <w:noWrap/>
            <w:vAlign w:val="bottom"/>
            <w:hideMark/>
          </w:tcPr>
          <w:p w14:paraId="5CE87E0C" w14:textId="28210128"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30</w:t>
            </w:r>
          </w:p>
        </w:tc>
        <w:tc>
          <w:tcPr>
            <w:tcW w:w="879" w:type="dxa"/>
            <w:tcBorders>
              <w:top w:val="nil"/>
              <w:left w:val="nil"/>
              <w:bottom w:val="nil"/>
              <w:right w:val="nil"/>
            </w:tcBorders>
            <w:shd w:val="clear" w:color="auto" w:fill="auto"/>
            <w:noWrap/>
            <w:vAlign w:val="bottom"/>
            <w:hideMark/>
          </w:tcPr>
          <w:p w14:paraId="5E386EE5" w14:textId="569709A3"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35</w:t>
            </w:r>
          </w:p>
        </w:tc>
        <w:tc>
          <w:tcPr>
            <w:tcW w:w="878" w:type="dxa"/>
            <w:tcBorders>
              <w:top w:val="nil"/>
              <w:left w:val="nil"/>
              <w:bottom w:val="nil"/>
              <w:right w:val="nil"/>
            </w:tcBorders>
            <w:shd w:val="clear" w:color="auto" w:fill="auto"/>
            <w:noWrap/>
            <w:vAlign w:val="bottom"/>
            <w:hideMark/>
          </w:tcPr>
          <w:p w14:paraId="36032D8B" w14:textId="387DE2CE"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62</w:t>
            </w:r>
          </w:p>
        </w:tc>
        <w:tc>
          <w:tcPr>
            <w:tcW w:w="879" w:type="dxa"/>
            <w:tcBorders>
              <w:top w:val="nil"/>
              <w:left w:val="nil"/>
              <w:bottom w:val="nil"/>
              <w:right w:val="nil"/>
            </w:tcBorders>
            <w:shd w:val="clear" w:color="auto" w:fill="auto"/>
            <w:noWrap/>
            <w:vAlign w:val="bottom"/>
            <w:hideMark/>
          </w:tcPr>
          <w:p w14:paraId="32F70BFB" w14:textId="60C1003E"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25</w:t>
            </w:r>
          </w:p>
        </w:tc>
        <w:tc>
          <w:tcPr>
            <w:tcW w:w="879" w:type="dxa"/>
            <w:tcBorders>
              <w:top w:val="nil"/>
              <w:left w:val="nil"/>
              <w:bottom w:val="nil"/>
              <w:right w:val="nil"/>
            </w:tcBorders>
            <w:shd w:val="clear" w:color="auto" w:fill="auto"/>
            <w:noWrap/>
            <w:vAlign w:val="bottom"/>
            <w:hideMark/>
          </w:tcPr>
          <w:p w14:paraId="4A9377E5" w14:textId="30AD8DF5" w:rsidR="005E43D6" w:rsidRPr="00E76EA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157</w:t>
            </w:r>
          </w:p>
        </w:tc>
      </w:tr>
      <w:tr w:rsidR="005E43D6" w:rsidRPr="00CB275E" w14:paraId="16DDF5CA" w14:textId="77777777" w:rsidTr="00744BEE">
        <w:trPr>
          <w:trHeight w:val="215"/>
        </w:trPr>
        <w:tc>
          <w:tcPr>
            <w:tcW w:w="3828" w:type="dxa"/>
            <w:tcBorders>
              <w:top w:val="nil"/>
              <w:left w:val="nil"/>
              <w:bottom w:val="nil"/>
              <w:right w:val="nil"/>
            </w:tcBorders>
            <w:shd w:val="clear" w:color="auto" w:fill="auto"/>
            <w:noWrap/>
            <w:vAlign w:val="bottom"/>
            <w:hideMark/>
          </w:tcPr>
          <w:p w14:paraId="3318FCDA" w14:textId="6FBC3FAC" w:rsidR="005E43D6" w:rsidRPr="00CB275E" w:rsidRDefault="005E43D6" w:rsidP="005E43D6">
            <w:pPr>
              <w:spacing w:after="0" w:line="276" w:lineRule="auto"/>
              <w:rPr>
                <w:rFonts w:ascii="Arial" w:eastAsia="Times New Roman" w:hAnsi="Arial" w:cs="Arial"/>
                <w:color w:val="000000"/>
                <w:sz w:val="16"/>
                <w:szCs w:val="16"/>
                <w:lang w:eastAsia="en-AU"/>
              </w:rPr>
            </w:pPr>
            <w:r w:rsidRPr="00CB275E">
              <w:rPr>
                <w:rFonts w:ascii="Arial" w:eastAsia="Times New Roman" w:hAnsi="Arial" w:cs="Arial"/>
                <w:color w:val="000000"/>
                <w:sz w:val="16"/>
                <w:szCs w:val="16"/>
                <w:lang w:eastAsia="en-AU"/>
              </w:rPr>
              <w:t xml:space="preserve">Live </w:t>
            </w:r>
            <w:r>
              <w:rPr>
                <w:rFonts w:ascii="Arial" w:eastAsia="Times New Roman" w:hAnsi="Arial" w:cs="Arial"/>
                <w:color w:val="000000"/>
                <w:sz w:val="16"/>
                <w:szCs w:val="16"/>
                <w:lang w:eastAsia="en-AU"/>
              </w:rPr>
              <w:t>births</w:t>
            </w:r>
          </w:p>
        </w:tc>
        <w:tc>
          <w:tcPr>
            <w:tcW w:w="878" w:type="dxa"/>
            <w:tcBorders>
              <w:top w:val="nil"/>
              <w:left w:val="nil"/>
              <w:bottom w:val="nil"/>
              <w:right w:val="nil"/>
            </w:tcBorders>
            <w:shd w:val="clear" w:color="auto" w:fill="auto"/>
            <w:noWrap/>
            <w:vAlign w:val="bottom"/>
            <w:hideMark/>
          </w:tcPr>
          <w:p w14:paraId="60A90EC9" w14:textId="6286C52D"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w:t>
            </w:r>
          </w:p>
        </w:tc>
        <w:tc>
          <w:tcPr>
            <w:tcW w:w="879" w:type="dxa"/>
            <w:tcBorders>
              <w:top w:val="nil"/>
              <w:left w:val="nil"/>
              <w:bottom w:val="nil"/>
              <w:right w:val="nil"/>
            </w:tcBorders>
            <w:shd w:val="clear" w:color="auto" w:fill="auto"/>
            <w:noWrap/>
            <w:vAlign w:val="bottom"/>
            <w:hideMark/>
          </w:tcPr>
          <w:p w14:paraId="50A91BD2" w14:textId="31CA13AD"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24</w:t>
            </w:r>
          </w:p>
        </w:tc>
        <w:tc>
          <w:tcPr>
            <w:tcW w:w="879" w:type="dxa"/>
            <w:tcBorders>
              <w:top w:val="nil"/>
              <w:left w:val="nil"/>
              <w:bottom w:val="nil"/>
              <w:right w:val="nil"/>
            </w:tcBorders>
            <w:shd w:val="clear" w:color="auto" w:fill="auto"/>
            <w:noWrap/>
            <w:vAlign w:val="bottom"/>
            <w:hideMark/>
          </w:tcPr>
          <w:p w14:paraId="029D2939" w14:textId="2E680993"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27</w:t>
            </w:r>
          </w:p>
        </w:tc>
        <w:tc>
          <w:tcPr>
            <w:tcW w:w="878" w:type="dxa"/>
            <w:tcBorders>
              <w:top w:val="nil"/>
              <w:left w:val="nil"/>
              <w:bottom w:val="nil"/>
              <w:right w:val="nil"/>
            </w:tcBorders>
            <w:shd w:val="clear" w:color="auto" w:fill="auto"/>
            <w:noWrap/>
            <w:vAlign w:val="bottom"/>
            <w:hideMark/>
          </w:tcPr>
          <w:p w14:paraId="624332B1" w14:textId="1A39A1AA"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50</w:t>
            </w:r>
          </w:p>
        </w:tc>
        <w:tc>
          <w:tcPr>
            <w:tcW w:w="879" w:type="dxa"/>
            <w:tcBorders>
              <w:top w:val="nil"/>
              <w:left w:val="nil"/>
              <w:bottom w:val="nil"/>
              <w:right w:val="nil"/>
            </w:tcBorders>
            <w:shd w:val="clear" w:color="auto" w:fill="auto"/>
            <w:noWrap/>
            <w:vAlign w:val="bottom"/>
            <w:hideMark/>
          </w:tcPr>
          <w:p w14:paraId="46FC98FA" w14:textId="64291831"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17</w:t>
            </w:r>
          </w:p>
        </w:tc>
        <w:tc>
          <w:tcPr>
            <w:tcW w:w="879" w:type="dxa"/>
            <w:tcBorders>
              <w:top w:val="nil"/>
              <w:left w:val="nil"/>
              <w:bottom w:val="nil"/>
              <w:right w:val="nil"/>
            </w:tcBorders>
            <w:shd w:val="clear" w:color="auto" w:fill="auto"/>
            <w:noWrap/>
            <w:vAlign w:val="bottom"/>
            <w:hideMark/>
          </w:tcPr>
          <w:p w14:paraId="63859625" w14:textId="570A243A" w:rsidR="005E43D6" w:rsidRPr="00E76EA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121</w:t>
            </w:r>
          </w:p>
        </w:tc>
      </w:tr>
      <w:tr w:rsidR="005E43D6" w:rsidRPr="00CB275E" w14:paraId="4BA60423" w14:textId="77777777" w:rsidTr="00C0059A">
        <w:trPr>
          <w:trHeight w:val="215"/>
        </w:trPr>
        <w:tc>
          <w:tcPr>
            <w:tcW w:w="3828" w:type="dxa"/>
            <w:tcBorders>
              <w:top w:val="nil"/>
              <w:left w:val="nil"/>
              <w:bottom w:val="nil"/>
              <w:right w:val="nil"/>
            </w:tcBorders>
            <w:shd w:val="clear" w:color="auto" w:fill="auto"/>
            <w:vAlign w:val="center"/>
            <w:hideMark/>
          </w:tcPr>
          <w:p w14:paraId="5C2B12E2" w14:textId="6CFD989F" w:rsidR="005E43D6" w:rsidRPr="00CB275E" w:rsidRDefault="005E43D6" w:rsidP="005E43D6">
            <w:pPr>
              <w:spacing w:after="0" w:line="276" w:lineRule="auto"/>
              <w:rPr>
                <w:rFonts w:ascii="Arial" w:eastAsia="Times New Roman" w:hAnsi="Arial" w:cs="Arial"/>
                <w:i/>
                <w:iCs/>
                <w:color w:val="000000"/>
                <w:sz w:val="16"/>
                <w:szCs w:val="16"/>
                <w:lang w:eastAsia="en-AU"/>
              </w:rPr>
            </w:pPr>
            <w:r w:rsidRPr="00CB275E">
              <w:rPr>
                <w:rFonts w:ascii="Arial" w:eastAsia="Times New Roman" w:hAnsi="Arial" w:cs="Arial"/>
                <w:i/>
                <w:iCs/>
                <w:color w:val="000000"/>
                <w:sz w:val="16"/>
                <w:szCs w:val="16"/>
                <w:lang w:eastAsia="en-AU"/>
              </w:rPr>
              <w:t xml:space="preserve">Live </w:t>
            </w:r>
            <w:r>
              <w:rPr>
                <w:rFonts w:ascii="Arial" w:eastAsia="Times New Roman" w:hAnsi="Arial" w:cs="Arial"/>
                <w:i/>
                <w:iCs/>
                <w:color w:val="000000"/>
                <w:sz w:val="16"/>
                <w:szCs w:val="16"/>
                <w:lang w:eastAsia="en-AU"/>
              </w:rPr>
              <w:t>births</w:t>
            </w:r>
            <w:r w:rsidRPr="00CB275E">
              <w:rPr>
                <w:rFonts w:ascii="Arial" w:eastAsia="Times New Roman" w:hAnsi="Arial" w:cs="Arial"/>
                <w:i/>
                <w:iCs/>
                <w:color w:val="000000"/>
                <w:sz w:val="16"/>
                <w:szCs w:val="16"/>
                <w:lang w:eastAsia="en-AU"/>
              </w:rPr>
              <w:t xml:space="preserve"> per initiated cycle (%)</w:t>
            </w:r>
          </w:p>
        </w:tc>
        <w:tc>
          <w:tcPr>
            <w:tcW w:w="878" w:type="dxa"/>
            <w:tcBorders>
              <w:top w:val="nil"/>
              <w:left w:val="nil"/>
              <w:bottom w:val="nil"/>
              <w:right w:val="nil"/>
            </w:tcBorders>
            <w:shd w:val="clear" w:color="auto" w:fill="auto"/>
            <w:noWrap/>
            <w:vAlign w:val="center"/>
            <w:hideMark/>
          </w:tcPr>
          <w:p w14:paraId="7B805365" w14:textId="565F076A"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18.8</w:t>
            </w:r>
          </w:p>
        </w:tc>
        <w:tc>
          <w:tcPr>
            <w:tcW w:w="879" w:type="dxa"/>
            <w:tcBorders>
              <w:top w:val="nil"/>
              <w:left w:val="nil"/>
              <w:bottom w:val="nil"/>
              <w:right w:val="nil"/>
            </w:tcBorders>
            <w:shd w:val="clear" w:color="auto" w:fill="auto"/>
            <w:noWrap/>
            <w:vAlign w:val="center"/>
            <w:hideMark/>
          </w:tcPr>
          <w:p w14:paraId="050C4E18" w14:textId="6DEE8853"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41.4</w:t>
            </w:r>
          </w:p>
        </w:tc>
        <w:tc>
          <w:tcPr>
            <w:tcW w:w="879" w:type="dxa"/>
            <w:tcBorders>
              <w:top w:val="nil"/>
              <w:left w:val="nil"/>
              <w:bottom w:val="nil"/>
              <w:right w:val="nil"/>
            </w:tcBorders>
            <w:shd w:val="clear" w:color="auto" w:fill="auto"/>
            <w:noWrap/>
            <w:vAlign w:val="center"/>
            <w:hideMark/>
          </w:tcPr>
          <w:p w14:paraId="441CA0B2" w14:textId="1A028B54"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29.7</w:t>
            </w:r>
          </w:p>
        </w:tc>
        <w:tc>
          <w:tcPr>
            <w:tcW w:w="878" w:type="dxa"/>
            <w:tcBorders>
              <w:top w:val="nil"/>
              <w:left w:val="nil"/>
              <w:bottom w:val="nil"/>
              <w:right w:val="nil"/>
            </w:tcBorders>
            <w:shd w:val="clear" w:color="auto" w:fill="auto"/>
            <w:noWrap/>
            <w:vAlign w:val="center"/>
            <w:hideMark/>
          </w:tcPr>
          <w:p w14:paraId="194DAC6D" w14:textId="38D8E749"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34.2</w:t>
            </w:r>
          </w:p>
        </w:tc>
        <w:tc>
          <w:tcPr>
            <w:tcW w:w="879" w:type="dxa"/>
            <w:tcBorders>
              <w:top w:val="nil"/>
              <w:left w:val="nil"/>
              <w:bottom w:val="nil"/>
              <w:right w:val="nil"/>
            </w:tcBorders>
            <w:shd w:val="clear" w:color="auto" w:fill="auto"/>
            <w:noWrap/>
            <w:vAlign w:val="center"/>
            <w:hideMark/>
          </w:tcPr>
          <w:p w14:paraId="53DC8A51" w14:textId="19BE4EA6"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21.8</w:t>
            </w:r>
          </w:p>
        </w:tc>
        <w:tc>
          <w:tcPr>
            <w:tcW w:w="879" w:type="dxa"/>
            <w:tcBorders>
              <w:top w:val="nil"/>
              <w:left w:val="nil"/>
              <w:bottom w:val="nil"/>
              <w:right w:val="nil"/>
            </w:tcBorders>
            <w:shd w:val="clear" w:color="auto" w:fill="auto"/>
            <w:noWrap/>
            <w:vAlign w:val="center"/>
            <w:hideMark/>
          </w:tcPr>
          <w:p w14:paraId="4EB33285" w14:textId="729BFB39" w:rsidR="005E43D6" w:rsidRPr="00E76EA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31.1</w:t>
            </w:r>
          </w:p>
        </w:tc>
      </w:tr>
      <w:tr w:rsidR="005E43D6" w:rsidRPr="00CB275E" w14:paraId="414612FE" w14:textId="77777777" w:rsidTr="00744BEE">
        <w:trPr>
          <w:trHeight w:val="215"/>
        </w:trPr>
        <w:tc>
          <w:tcPr>
            <w:tcW w:w="3828" w:type="dxa"/>
            <w:tcBorders>
              <w:top w:val="nil"/>
              <w:left w:val="nil"/>
              <w:right w:val="nil"/>
            </w:tcBorders>
            <w:shd w:val="clear" w:color="auto" w:fill="auto"/>
            <w:noWrap/>
            <w:vAlign w:val="bottom"/>
            <w:hideMark/>
          </w:tcPr>
          <w:p w14:paraId="3AF99B2A" w14:textId="1EDAA6DD" w:rsidR="005E43D6" w:rsidRPr="00CB275E" w:rsidRDefault="005E43D6" w:rsidP="005E43D6">
            <w:pPr>
              <w:spacing w:after="0" w:line="276" w:lineRule="auto"/>
              <w:rPr>
                <w:rFonts w:ascii="Arial" w:eastAsia="Times New Roman" w:hAnsi="Arial" w:cs="Arial"/>
                <w:i/>
                <w:iCs/>
                <w:color w:val="000000"/>
                <w:sz w:val="16"/>
                <w:szCs w:val="16"/>
                <w:lang w:eastAsia="en-AU"/>
              </w:rPr>
            </w:pPr>
            <w:r w:rsidRPr="00CB275E">
              <w:rPr>
                <w:rFonts w:ascii="Arial" w:eastAsia="Times New Roman" w:hAnsi="Arial" w:cs="Arial"/>
                <w:i/>
                <w:iCs/>
                <w:color w:val="000000"/>
                <w:sz w:val="16"/>
                <w:szCs w:val="16"/>
                <w:lang w:eastAsia="en-AU"/>
              </w:rPr>
              <w:t xml:space="preserve">Live </w:t>
            </w:r>
            <w:r>
              <w:rPr>
                <w:rFonts w:ascii="Arial" w:eastAsia="Times New Roman" w:hAnsi="Arial" w:cs="Arial"/>
                <w:i/>
                <w:iCs/>
                <w:color w:val="000000"/>
                <w:sz w:val="16"/>
                <w:szCs w:val="16"/>
                <w:lang w:eastAsia="en-AU"/>
              </w:rPr>
              <w:t>births</w:t>
            </w:r>
            <w:r w:rsidRPr="00CB275E">
              <w:rPr>
                <w:rFonts w:ascii="Arial" w:eastAsia="Times New Roman" w:hAnsi="Arial" w:cs="Arial"/>
                <w:i/>
                <w:iCs/>
                <w:color w:val="000000"/>
                <w:sz w:val="16"/>
                <w:szCs w:val="16"/>
                <w:lang w:eastAsia="en-AU"/>
              </w:rPr>
              <w:t xml:space="preserve"> per embryo transfer cycle (%)</w:t>
            </w:r>
          </w:p>
        </w:tc>
        <w:tc>
          <w:tcPr>
            <w:tcW w:w="878" w:type="dxa"/>
            <w:tcBorders>
              <w:top w:val="nil"/>
              <w:left w:val="nil"/>
              <w:right w:val="nil"/>
            </w:tcBorders>
            <w:shd w:val="clear" w:color="auto" w:fill="auto"/>
            <w:noWrap/>
            <w:vAlign w:val="bottom"/>
            <w:hideMark/>
          </w:tcPr>
          <w:p w14:paraId="14C27C0B" w14:textId="0D8839EE" w:rsidR="005E43D6" w:rsidRPr="0095217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20.0</w:t>
            </w:r>
          </w:p>
        </w:tc>
        <w:tc>
          <w:tcPr>
            <w:tcW w:w="879" w:type="dxa"/>
            <w:tcBorders>
              <w:top w:val="nil"/>
              <w:left w:val="nil"/>
              <w:right w:val="nil"/>
            </w:tcBorders>
            <w:shd w:val="clear" w:color="auto" w:fill="auto"/>
            <w:noWrap/>
            <w:vAlign w:val="bottom"/>
            <w:hideMark/>
          </w:tcPr>
          <w:p w14:paraId="041D670D" w14:textId="6418A1A8"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43.6</w:t>
            </w:r>
          </w:p>
        </w:tc>
        <w:tc>
          <w:tcPr>
            <w:tcW w:w="879" w:type="dxa"/>
            <w:tcBorders>
              <w:top w:val="nil"/>
              <w:left w:val="nil"/>
              <w:right w:val="nil"/>
            </w:tcBorders>
            <w:shd w:val="clear" w:color="auto" w:fill="auto"/>
            <w:noWrap/>
            <w:vAlign w:val="bottom"/>
            <w:hideMark/>
          </w:tcPr>
          <w:p w14:paraId="770701E9" w14:textId="061DC542" w:rsidR="005E43D6" w:rsidRPr="0095217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31.0</w:t>
            </w:r>
          </w:p>
        </w:tc>
        <w:tc>
          <w:tcPr>
            <w:tcW w:w="878" w:type="dxa"/>
            <w:tcBorders>
              <w:top w:val="nil"/>
              <w:left w:val="nil"/>
              <w:right w:val="nil"/>
            </w:tcBorders>
            <w:shd w:val="clear" w:color="auto" w:fill="auto"/>
            <w:noWrap/>
            <w:vAlign w:val="bottom"/>
            <w:hideMark/>
          </w:tcPr>
          <w:p w14:paraId="62E13D94" w14:textId="11FD7FC0"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36.0</w:t>
            </w:r>
          </w:p>
        </w:tc>
        <w:tc>
          <w:tcPr>
            <w:tcW w:w="879" w:type="dxa"/>
            <w:tcBorders>
              <w:top w:val="nil"/>
              <w:left w:val="nil"/>
              <w:right w:val="nil"/>
            </w:tcBorders>
            <w:shd w:val="clear" w:color="auto" w:fill="auto"/>
            <w:noWrap/>
            <w:vAlign w:val="bottom"/>
            <w:hideMark/>
          </w:tcPr>
          <w:p w14:paraId="7604535E" w14:textId="2CCDA1DE" w:rsidR="005E43D6" w:rsidRPr="0095217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24.3</w:t>
            </w:r>
          </w:p>
        </w:tc>
        <w:tc>
          <w:tcPr>
            <w:tcW w:w="879" w:type="dxa"/>
            <w:tcBorders>
              <w:top w:val="nil"/>
              <w:left w:val="nil"/>
              <w:right w:val="nil"/>
            </w:tcBorders>
            <w:shd w:val="clear" w:color="auto" w:fill="auto"/>
            <w:noWrap/>
            <w:vAlign w:val="bottom"/>
            <w:hideMark/>
          </w:tcPr>
          <w:p w14:paraId="1EFF3FFA" w14:textId="6DFE4F17" w:rsidR="005E43D6" w:rsidRPr="00E76EA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33.1</w:t>
            </w:r>
          </w:p>
        </w:tc>
      </w:tr>
      <w:tr w:rsidR="005E43D6" w:rsidRPr="00CB275E" w14:paraId="270AB60B" w14:textId="77777777" w:rsidTr="00744BEE">
        <w:trPr>
          <w:trHeight w:val="215"/>
        </w:trPr>
        <w:tc>
          <w:tcPr>
            <w:tcW w:w="3828" w:type="dxa"/>
            <w:tcBorders>
              <w:top w:val="nil"/>
              <w:left w:val="nil"/>
              <w:bottom w:val="single" w:sz="12" w:space="0" w:color="auto"/>
              <w:right w:val="nil"/>
            </w:tcBorders>
            <w:shd w:val="clear" w:color="auto" w:fill="auto"/>
            <w:noWrap/>
            <w:vAlign w:val="bottom"/>
            <w:hideMark/>
          </w:tcPr>
          <w:p w14:paraId="38536474" w14:textId="48DB6454" w:rsidR="005E43D6" w:rsidRPr="00CB275E" w:rsidRDefault="005E43D6" w:rsidP="005E43D6">
            <w:pPr>
              <w:spacing w:after="0" w:line="276" w:lineRule="auto"/>
              <w:rPr>
                <w:rFonts w:ascii="Arial" w:eastAsia="Times New Roman" w:hAnsi="Arial" w:cs="Arial"/>
                <w:i/>
                <w:iCs/>
                <w:color w:val="000000"/>
                <w:sz w:val="16"/>
                <w:szCs w:val="16"/>
                <w:lang w:eastAsia="en-AU"/>
              </w:rPr>
            </w:pPr>
            <w:r w:rsidRPr="00CB275E">
              <w:rPr>
                <w:rFonts w:ascii="Arial" w:eastAsia="Times New Roman" w:hAnsi="Arial" w:cs="Arial"/>
                <w:i/>
                <w:iCs/>
                <w:color w:val="000000"/>
                <w:sz w:val="16"/>
                <w:szCs w:val="16"/>
                <w:lang w:eastAsia="en-AU"/>
              </w:rPr>
              <w:t xml:space="preserve">Live </w:t>
            </w:r>
            <w:r>
              <w:rPr>
                <w:rFonts w:ascii="Arial" w:eastAsia="Times New Roman" w:hAnsi="Arial" w:cs="Arial"/>
                <w:i/>
                <w:iCs/>
                <w:color w:val="000000"/>
                <w:sz w:val="16"/>
                <w:szCs w:val="16"/>
                <w:lang w:eastAsia="en-AU"/>
              </w:rPr>
              <w:t>births</w:t>
            </w:r>
            <w:r w:rsidRPr="00CB275E">
              <w:rPr>
                <w:rFonts w:ascii="Arial" w:eastAsia="Times New Roman" w:hAnsi="Arial" w:cs="Arial"/>
                <w:i/>
                <w:iCs/>
                <w:color w:val="000000"/>
                <w:sz w:val="16"/>
                <w:szCs w:val="16"/>
                <w:lang w:eastAsia="en-AU"/>
              </w:rPr>
              <w:t xml:space="preserve"> per clinical pregnancy (%)</w:t>
            </w:r>
          </w:p>
        </w:tc>
        <w:tc>
          <w:tcPr>
            <w:tcW w:w="878" w:type="dxa"/>
            <w:tcBorders>
              <w:top w:val="nil"/>
              <w:left w:val="nil"/>
              <w:bottom w:val="single" w:sz="12" w:space="0" w:color="auto"/>
              <w:right w:val="nil"/>
            </w:tcBorders>
            <w:shd w:val="clear" w:color="auto" w:fill="auto"/>
            <w:noWrap/>
            <w:vAlign w:val="bottom"/>
            <w:hideMark/>
          </w:tcPr>
          <w:p w14:paraId="7241893C" w14:textId="6DC1DF62" w:rsidR="005E43D6" w:rsidRPr="0095217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60.0</w:t>
            </w:r>
          </w:p>
        </w:tc>
        <w:tc>
          <w:tcPr>
            <w:tcW w:w="879" w:type="dxa"/>
            <w:tcBorders>
              <w:top w:val="nil"/>
              <w:left w:val="nil"/>
              <w:bottom w:val="single" w:sz="12" w:space="0" w:color="auto"/>
              <w:right w:val="nil"/>
            </w:tcBorders>
            <w:shd w:val="clear" w:color="auto" w:fill="auto"/>
            <w:noWrap/>
            <w:vAlign w:val="bottom"/>
            <w:hideMark/>
          </w:tcPr>
          <w:p w14:paraId="573AAD7E" w14:textId="3D211C6A" w:rsidR="005E43D6" w:rsidRPr="0095217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80.0</w:t>
            </w:r>
          </w:p>
        </w:tc>
        <w:tc>
          <w:tcPr>
            <w:tcW w:w="879" w:type="dxa"/>
            <w:tcBorders>
              <w:top w:val="nil"/>
              <w:left w:val="nil"/>
              <w:bottom w:val="single" w:sz="12" w:space="0" w:color="auto"/>
              <w:right w:val="nil"/>
            </w:tcBorders>
            <w:shd w:val="clear" w:color="auto" w:fill="auto"/>
            <w:noWrap/>
            <w:vAlign w:val="bottom"/>
            <w:hideMark/>
          </w:tcPr>
          <w:p w14:paraId="011EADCB" w14:textId="0999B87D"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77.1</w:t>
            </w:r>
          </w:p>
        </w:tc>
        <w:tc>
          <w:tcPr>
            <w:tcW w:w="878" w:type="dxa"/>
            <w:tcBorders>
              <w:top w:val="nil"/>
              <w:left w:val="nil"/>
              <w:bottom w:val="single" w:sz="12" w:space="0" w:color="auto"/>
              <w:right w:val="nil"/>
            </w:tcBorders>
            <w:shd w:val="clear" w:color="auto" w:fill="auto"/>
            <w:noWrap/>
            <w:vAlign w:val="bottom"/>
            <w:hideMark/>
          </w:tcPr>
          <w:p w14:paraId="10FDF142" w14:textId="6C3B3DDF" w:rsidR="005E43D6" w:rsidRPr="0032580D"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80.6</w:t>
            </w:r>
          </w:p>
        </w:tc>
        <w:tc>
          <w:tcPr>
            <w:tcW w:w="879" w:type="dxa"/>
            <w:tcBorders>
              <w:top w:val="nil"/>
              <w:left w:val="nil"/>
              <w:bottom w:val="single" w:sz="12" w:space="0" w:color="auto"/>
              <w:right w:val="nil"/>
            </w:tcBorders>
            <w:shd w:val="clear" w:color="auto" w:fill="auto"/>
            <w:noWrap/>
            <w:vAlign w:val="bottom"/>
            <w:hideMark/>
          </w:tcPr>
          <w:p w14:paraId="791D2067" w14:textId="14B99DD6" w:rsidR="005E43D6" w:rsidRPr="00952173"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68.0</w:t>
            </w:r>
          </w:p>
        </w:tc>
        <w:tc>
          <w:tcPr>
            <w:tcW w:w="879" w:type="dxa"/>
            <w:tcBorders>
              <w:top w:val="nil"/>
              <w:left w:val="nil"/>
              <w:bottom w:val="single" w:sz="12" w:space="0" w:color="auto"/>
              <w:right w:val="nil"/>
            </w:tcBorders>
            <w:shd w:val="clear" w:color="auto" w:fill="auto"/>
            <w:noWrap/>
            <w:vAlign w:val="bottom"/>
            <w:hideMark/>
          </w:tcPr>
          <w:p w14:paraId="6D711A4C" w14:textId="12C01A8F" w:rsidR="005E43D6" w:rsidRPr="00E76EA6" w:rsidRDefault="005E43D6" w:rsidP="005E43D6">
            <w:pPr>
              <w:spacing w:after="0" w:line="276" w:lineRule="auto"/>
              <w:jc w:val="right"/>
              <w:rPr>
                <w:rFonts w:ascii="Arial" w:eastAsia="Times New Roman" w:hAnsi="Arial" w:cs="Arial"/>
                <w:i/>
                <w:iCs/>
                <w:sz w:val="16"/>
                <w:szCs w:val="16"/>
                <w:lang w:eastAsia="en-AU"/>
              </w:rPr>
            </w:pPr>
            <w:r>
              <w:rPr>
                <w:rFonts w:ascii="Arial" w:hAnsi="Arial" w:cs="Arial"/>
                <w:i/>
                <w:iCs/>
                <w:sz w:val="16"/>
                <w:szCs w:val="16"/>
              </w:rPr>
              <w:t>77.1</w:t>
            </w:r>
          </w:p>
        </w:tc>
      </w:tr>
    </w:tbl>
    <w:p w14:paraId="62DA7D0A" w14:textId="77777777" w:rsidR="009303CD" w:rsidRPr="00617599" w:rsidRDefault="009303CD" w:rsidP="00814AD1">
      <w:pPr>
        <w:pStyle w:val="TableFigNotesnumbered"/>
        <w:numPr>
          <w:ilvl w:val="0"/>
          <w:numId w:val="12"/>
        </w:numPr>
        <w:spacing w:before="0" w:line="240" w:lineRule="auto"/>
        <w:ind w:left="284" w:hanging="284"/>
        <w:rPr>
          <w:rFonts w:cs="Arial"/>
        </w:rPr>
      </w:pPr>
      <w:r w:rsidRPr="00617599">
        <w:rPr>
          <w:rFonts w:cs="Arial"/>
        </w:rPr>
        <w:t>Age at start of a treatment cycle.</w:t>
      </w:r>
    </w:p>
    <w:p w14:paraId="72FBD846" w14:textId="052170CF" w:rsidR="009303CD" w:rsidRPr="00617599" w:rsidRDefault="009303CD" w:rsidP="009303CD">
      <w:pPr>
        <w:pStyle w:val="Heading3"/>
        <w:rPr>
          <w:rFonts w:eastAsia="Times New Roman" w:cs="Arial"/>
        </w:rPr>
      </w:pPr>
      <w:bookmarkStart w:id="316" w:name="_Toc453061477"/>
      <w:bookmarkStart w:id="317" w:name="_Toc453059074"/>
      <w:bookmarkStart w:id="318" w:name="_Toc453057403"/>
      <w:bookmarkStart w:id="319" w:name="_Toc453055618"/>
      <w:bookmarkStart w:id="320" w:name="_Toc453054844"/>
      <w:r w:rsidRPr="00617599">
        <w:rPr>
          <w:rFonts w:eastAsia="Times New Roman" w:cs="Arial"/>
        </w:rPr>
        <w:t xml:space="preserve">Clinical pregnancies and live </w:t>
      </w:r>
      <w:r w:rsidR="00C736CE">
        <w:rPr>
          <w:rFonts w:eastAsia="Times New Roman" w:cs="Arial"/>
        </w:rPr>
        <w:t>births</w:t>
      </w:r>
      <w:r w:rsidRPr="00617599">
        <w:rPr>
          <w:rFonts w:eastAsia="Times New Roman" w:cs="Arial"/>
        </w:rPr>
        <w:t xml:space="preserve"> from oocyte/embryo recipient cycles by donor’s age</w:t>
      </w:r>
      <w:bookmarkEnd w:id="316"/>
      <w:bookmarkEnd w:id="317"/>
      <w:bookmarkEnd w:id="318"/>
      <w:bookmarkEnd w:id="319"/>
      <w:bookmarkEnd w:id="320"/>
    </w:p>
    <w:p w14:paraId="42A4E7FF" w14:textId="24F6BC59" w:rsidR="009303CD" w:rsidRPr="00617599" w:rsidRDefault="009303CD" w:rsidP="009303CD">
      <w:pPr>
        <w:pStyle w:val="NPESUbodytext"/>
        <w:rPr>
          <w:rFonts w:cs="Arial"/>
        </w:rPr>
      </w:pPr>
      <w:r w:rsidRPr="00617599">
        <w:rPr>
          <w:rFonts w:cs="Arial"/>
          <w:shd w:val="clear" w:color="auto" w:fill="FFFFFF"/>
        </w:rPr>
        <w:t xml:space="preserve">The overall live </w:t>
      </w:r>
      <w:r w:rsidR="00EC42AE">
        <w:rPr>
          <w:rFonts w:cs="Arial"/>
          <w:shd w:val="clear" w:color="auto" w:fill="FFFFFF"/>
        </w:rPr>
        <w:t>birth</w:t>
      </w:r>
      <w:r w:rsidRPr="00617599">
        <w:rPr>
          <w:rFonts w:cs="Arial"/>
          <w:shd w:val="clear" w:color="auto" w:fill="FFFFFF"/>
        </w:rPr>
        <w:t xml:space="preserve"> rate per embryo transfer cycle was </w:t>
      </w:r>
      <w:r w:rsidR="008F16AE">
        <w:rPr>
          <w:rFonts w:cs="Arial"/>
          <w:shd w:val="clear" w:color="auto" w:fill="FFFFFF"/>
        </w:rPr>
        <w:t>33.1</w:t>
      </w:r>
      <w:r w:rsidRPr="00617599">
        <w:rPr>
          <w:rFonts w:cs="Arial"/>
          <w:shd w:val="clear" w:color="auto" w:fill="FFFFFF"/>
        </w:rPr>
        <w:t xml:space="preserve">%. </w:t>
      </w:r>
      <w:r w:rsidR="00AB3C86">
        <w:rPr>
          <w:rFonts w:cs="Arial"/>
          <w:lang w:eastAsia="en-AU"/>
        </w:rPr>
        <w:t xml:space="preserve">Across </w:t>
      </w:r>
      <w:r w:rsidRPr="00617599">
        <w:rPr>
          <w:rFonts w:cs="Arial"/>
          <w:lang w:eastAsia="en-AU"/>
        </w:rPr>
        <w:t>age categories</w:t>
      </w:r>
      <w:r w:rsidR="00AB3C86">
        <w:rPr>
          <w:rFonts w:cs="Arial"/>
          <w:lang w:eastAsia="en-AU"/>
        </w:rPr>
        <w:t>, the</w:t>
      </w:r>
      <w:r w:rsidRPr="00617599">
        <w:rPr>
          <w:rFonts w:cs="Arial"/>
          <w:lang w:eastAsia="en-AU"/>
        </w:rPr>
        <w:t xml:space="preserve"> live </w:t>
      </w:r>
      <w:r w:rsidR="00EC42AE">
        <w:rPr>
          <w:rFonts w:cs="Arial"/>
          <w:lang w:eastAsia="en-AU"/>
        </w:rPr>
        <w:t>birth</w:t>
      </w:r>
      <w:r w:rsidRPr="00617599">
        <w:rPr>
          <w:rFonts w:cs="Arial"/>
          <w:lang w:eastAsia="en-AU"/>
        </w:rPr>
        <w:t xml:space="preserve"> rate per initiated cycle ranged between </w:t>
      </w:r>
      <w:r w:rsidR="00BE1A7A">
        <w:rPr>
          <w:rFonts w:cs="Arial"/>
          <w:lang w:eastAsia="en-AU"/>
        </w:rPr>
        <w:t>0</w:t>
      </w:r>
      <w:r w:rsidRPr="00617599">
        <w:rPr>
          <w:rFonts w:cs="Arial"/>
          <w:lang w:eastAsia="en-AU"/>
        </w:rPr>
        <w:t xml:space="preserve">% and </w:t>
      </w:r>
      <w:r w:rsidR="008F16AE">
        <w:rPr>
          <w:rFonts w:cs="Arial"/>
          <w:lang w:eastAsia="en-AU"/>
        </w:rPr>
        <w:t>48.1</w:t>
      </w:r>
      <w:r w:rsidRPr="00617599">
        <w:rPr>
          <w:rFonts w:cs="Arial"/>
          <w:lang w:eastAsia="en-AU"/>
        </w:rPr>
        <w:t>%</w:t>
      </w:r>
      <w:r w:rsidR="00CA3EEA">
        <w:rPr>
          <w:rFonts w:cs="Arial"/>
          <w:lang w:eastAsia="en-AU"/>
        </w:rPr>
        <w:t>,</w:t>
      </w:r>
      <w:r w:rsidR="00B67C42">
        <w:rPr>
          <w:rFonts w:cs="Arial"/>
          <w:lang w:eastAsia="en-AU"/>
        </w:rPr>
        <w:t xml:space="preserve"> </w:t>
      </w:r>
      <w:r w:rsidR="00645E28">
        <w:rPr>
          <w:rFonts w:cs="Arial"/>
          <w:lang w:eastAsia="en-AU"/>
        </w:rPr>
        <w:t xml:space="preserve">with the highest live </w:t>
      </w:r>
      <w:r w:rsidR="00EC42AE">
        <w:rPr>
          <w:rFonts w:cs="Arial"/>
          <w:lang w:eastAsia="en-AU"/>
        </w:rPr>
        <w:t>birth</w:t>
      </w:r>
      <w:r w:rsidR="00645E28">
        <w:rPr>
          <w:rFonts w:cs="Arial"/>
          <w:lang w:eastAsia="en-AU"/>
        </w:rPr>
        <w:t xml:space="preserve"> rate</w:t>
      </w:r>
      <w:r w:rsidR="004C333E">
        <w:rPr>
          <w:rFonts w:cs="Arial"/>
          <w:lang w:eastAsia="en-AU"/>
        </w:rPr>
        <w:t xml:space="preserve"> </w:t>
      </w:r>
      <w:r w:rsidR="00645E28">
        <w:rPr>
          <w:rFonts w:cs="Arial"/>
          <w:lang w:eastAsia="en-AU"/>
        </w:rPr>
        <w:t xml:space="preserve">in the </w:t>
      </w:r>
      <w:r w:rsidR="00BE1A7A">
        <w:rPr>
          <w:rFonts w:cs="Arial"/>
          <w:lang w:eastAsia="en-AU"/>
        </w:rPr>
        <w:t xml:space="preserve">less than </w:t>
      </w:r>
      <w:r w:rsidR="00B67C42">
        <w:rPr>
          <w:rFonts w:cs="Arial"/>
          <w:lang w:eastAsia="en-AU"/>
        </w:rPr>
        <w:t>30 years old</w:t>
      </w:r>
      <w:r w:rsidR="00F5611E">
        <w:rPr>
          <w:rFonts w:cs="Arial"/>
          <w:lang w:eastAsia="en-AU"/>
        </w:rPr>
        <w:t xml:space="preserve"> </w:t>
      </w:r>
      <w:r w:rsidR="00645E28">
        <w:rPr>
          <w:rFonts w:cs="Arial"/>
          <w:lang w:eastAsia="en-AU"/>
        </w:rPr>
        <w:t xml:space="preserve">age group </w:t>
      </w:r>
      <w:r w:rsidRPr="00617599">
        <w:rPr>
          <w:rFonts w:cs="Arial"/>
          <w:shd w:val="clear" w:color="auto" w:fill="FFFFFF"/>
        </w:rPr>
        <w:t xml:space="preserve">(Table </w:t>
      </w:r>
      <w:r w:rsidR="00B109EF">
        <w:rPr>
          <w:rFonts w:cs="Arial"/>
          <w:shd w:val="clear" w:color="auto" w:fill="FFFFFF"/>
        </w:rPr>
        <w:t>20</w:t>
      </w:r>
      <w:r w:rsidRPr="00617599">
        <w:rPr>
          <w:rFonts w:cs="Arial"/>
          <w:shd w:val="clear" w:color="auto" w:fill="FFFFFF"/>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828"/>
        <w:gridCol w:w="1040"/>
        <w:gridCol w:w="1040"/>
        <w:gridCol w:w="1040"/>
        <w:gridCol w:w="1040"/>
        <w:gridCol w:w="1038"/>
      </w:tblGrid>
      <w:tr w:rsidR="002E7CE2" w:rsidRPr="00617599" w14:paraId="7A839AD6" w14:textId="77777777" w:rsidTr="00041835">
        <w:trPr>
          <w:tblHeader/>
        </w:trPr>
        <w:tc>
          <w:tcPr>
            <w:tcW w:w="5000" w:type="pct"/>
            <w:gridSpan w:val="6"/>
            <w:tcBorders>
              <w:bottom w:val="single" w:sz="12" w:space="0" w:color="auto"/>
            </w:tcBorders>
            <w:shd w:val="clear" w:color="auto" w:fill="FFFFFF"/>
            <w:tcMar>
              <w:top w:w="0" w:type="dxa"/>
              <w:left w:w="0" w:type="dxa"/>
              <w:bottom w:w="0" w:type="dxa"/>
              <w:right w:w="0" w:type="dxa"/>
            </w:tcMar>
            <w:vAlign w:val="center"/>
            <w:hideMark/>
          </w:tcPr>
          <w:p w14:paraId="4B64F123" w14:textId="7C3B4E10" w:rsidR="002E7CE2" w:rsidRPr="00617599" w:rsidRDefault="002E7CE2" w:rsidP="00360E75">
            <w:pPr>
              <w:pStyle w:val="Caption"/>
              <w:spacing w:before="60" w:line="260" w:lineRule="atLeast"/>
              <w:rPr>
                <w:rFonts w:eastAsia="Times New Roman"/>
                <w:lang w:eastAsia="en-AU"/>
              </w:rPr>
            </w:pPr>
            <w:bookmarkStart w:id="321" w:name="_Toc158026569"/>
            <w:r w:rsidRPr="00617599">
              <w:rPr>
                <w:rFonts w:eastAsia="Times New Roman"/>
                <w:lang w:eastAsia="en-AU"/>
              </w:rPr>
              <w:t xml:space="preserve">Table </w:t>
            </w:r>
            <w:r w:rsidR="00F400A5">
              <w:rPr>
                <w:rFonts w:eastAsia="Times New Roman"/>
                <w:lang w:eastAsia="en-AU"/>
              </w:rPr>
              <w:t>20</w:t>
            </w:r>
            <w:r w:rsidRPr="00617599">
              <w:rPr>
                <w:rFonts w:eastAsia="Times New Roman"/>
                <w:lang w:eastAsia="en-AU"/>
              </w:rPr>
              <w:t xml:space="preserve">: Outcomes of oocyte/embryo recipient cycles by donor’s age group, </w:t>
            </w:r>
            <w:r w:rsidR="00A501CE">
              <w:rPr>
                <w:rFonts w:eastAsia="Times New Roman"/>
                <w:lang w:eastAsia="en-AU"/>
              </w:rPr>
              <w:t>New Zealand, 20</w:t>
            </w:r>
            <w:r w:rsidR="008E0F40">
              <w:rPr>
                <w:rFonts w:eastAsia="Times New Roman"/>
                <w:lang w:eastAsia="en-AU"/>
              </w:rPr>
              <w:t>2</w:t>
            </w:r>
            <w:r w:rsidR="005E43D6">
              <w:rPr>
                <w:rFonts w:eastAsia="Times New Roman"/>
                <w:lang w:eastAsia="en-AU"/>
              </w:rPr>
              <w:t>1</w:t>
            </w:r>
            <w:bookmarkEnd w:id="321"/>
            <w:r w:rsidR="00A501CE">
              <w:rPr>
                <w:rFonts w:eastAsia="Times New Roman"/>
                <w:lang w:eastAsia="en-AU"/>
              </w:rPr>
              <w:t xml:space="preserve"> </w:t>
            </w:r>
          </w:p>
        </w:tc>
      </w:tr>
      <w:tr w:rsidR="002E7CE2" w:rsidRPr="00617599" w14:paraId="58827A3F" w14:textId="77777777" w:rsidTr="00C0059A">
        <w:trPr>
          <w:trHeight w:val="227"/>
          <w:tblHeader/>
        </w:trPr>
        <w:tc>
          <w:tcPr>
            <w:tcW w:w="2121" w:type="pct"/>
            <w:tcBorders>
              <w:top w:val="single" w:sz="12" w:space="0" w:color="auto"/>
            </w:tcBorders>
            <w:shd w:val="clear" w:color="auto" w:fill="FFFFFF"/>
            <w:tcMar>
              <w:top w:w="0" w:type="dxa"/>
              <w:left w:w="0" w:type="dxa"/>
              <w:bottom w:w="0" w:type="dxa"/>
              <w:right w:w="0" w:type="dxa"/>
            </w:tcMar>
            <w:vAlign w:val="center"/>
            <w:hideMark/>
          </w:tcPr>
          <w:p w14:paraId="25D7FCC1" w14:textId="77777777" w:rsidR="002E7CE2" w:rsidRPr="00617599" w:rsidRDefault="002E7CE2" w:rsidP="00510FAA">
            <w:pPr>
              <w:spacing w:after="0" w:line="276" w:lineRule="auto"/>
              <w:rPr>
                <w:rFonts w:ascii="Arial" w:eastAsia="Times New Roman" w:hAnsi="Arial" w:cs="Arial"/>
                <w:sz w:val="16"/>
                <w:szCs w:val="16"/>
                <w:lang w:eastAsia="en-AU"/>
              </w:rPr>
            </w:pPr>
          </w:p>
        </w:tc>
        <w:tc>
          <w:tcPr>
            <w:tcW w:w="2879" w:type="pct"/>
            <w:gridSpan w:val="5"/>
            <w:tcBorders>
              <w:top w:val="single" w:sz="12" w:space="0" w:color="auto"/>
              <w:bottom w:val="single" w:sz="6" w:space="0" w:color="808080"/>
            </w:tcBorders>
            <w:shd w:val="clear" w:color="auto" w:fill="FFFFFF"/>
            <w:tcMar>
              <w:top w:w="0" w:type="dxa"/>
              <w:left w:w="0" w:type="dxa"/>
              <w:bottom w:w="0" w:type="dxa"/>
              <w:right w:w="0" w:type="dxa"/>
            </w:tcMar>
            <w:vAlign w:val="center"/>
            <w:hideMark/>
          </w:tcPr>
          <w:p w14:paraId="6A083913" w14:textId="3263BE20" w:rsidR="002E7CE2" w:rsidRPr="00617599" w:rsidRDefault="002E7CE2" w:rsidP="00510FAA">
            <w:pPr>
              <w:spacing w:after="0" w:line="276" w:lineRule="auto"/>
              <w:jc w:val="center"/>
              <w:rPr>
                <w:rFonts w:ascii="Arial" w:eastAsia="Times New Roman" w:hAnsi="Arial" w:cs="Arial"/>
                <w:b/>
                <w:bCs/>
                <w:sz w:val="16"/>
                <w:szCs w:val="16"/>
                <w:vertAlign w:val="superscript"/>
                <w:lang w:eastAsia="en-AU"/>
              </w:rPr>
            </w:pPr>
            <w:r w:rsidRPr="00617599">
              <w:rPr>
                <w:rFonts w:ascii="Arial" w:eastAsia="Times New Roman" w:hAnsi="Arial" w:cs="Arial"/>
                <w:b/>
                <w:bCs/>
                <w:sz w:val="16"/>
                <w:szCs w:val="16"/>
                <w:lang w:eastAsia="en-AU"/>
              </w:rPr>
              <w:t>Age group (year</w:t>
            </w:r>
            <w:r w:rsidR="00A15196">
              <w:rPr>
                <w:rFonts w:ascii="Arial" w:eastAsia="Times New Roman" w:hAnsi="Arial" w:cs="Arial"/>
                <w:b/>
                <w:bCs/>
                <w:sz w:val="16"/>
                <w:szCs w:val="16"/>
                <w:lang w:eastAsia="en-AU"/>
              </w:rPr>
              <w:t>s</w:t>
            </w:r>
            <w:r w:rsidRPr="00617599">
              <w:rPr>
                <w:rFonts w:ascii="Arial" w:eastAsia="Times New Roman" w:hAnsi="Arial" w:cs="Arial"/>
                <w:b/>
                <w:bCs/>
                <w:sz w:val="16"/>
                <w:szCs w:val="16"/>
                <w:lang w:eastAsia="en-AU"/>
              </w:rPr>
              <w:t>)</w:t>
            </w:r>
            <w:r w:rsidR="00870A3B" w:rsidRPr="00617599">
              <w:rPr>
                <w:rFonts w:ascii="Arial" w:eastAsia="Times New Roman" w:hAnsi="Arial" w:cs="Arial"/>
                <w:b/>
                <w:bCs/>
                <w:sz w:val="16"/>
                <w:szCs w:val="16"/>
                <w:vertAlign w:val="superscript"/>
                <w:lang w:eastAsia="en-AU"/>
              </w:rPr>
              <w:t>(a)</w:t>
            </w:r>
          </w:p>
        </w:tc>
      </w:tr>
      <w:tr w:rsidR="002E7CE2" w:rsidRPr="00617599" w14:paraId="13C62A00" w14:textId="77777777" w:rsidTr="00C0059A">
        <w:trPr>
          <w:trHeight w:val="227"/>
          <w:tblHeader/>
        </w:trPr>
        <w:tc>
          <w:tcPr>
            <w:tcW w:w="2121" w:type="pct"/>
            <w:tcBorders>
              <w:bottom w:val="single" w:sz="6" w:space="0" w:color="808080"/>
            </w:tcBorders>
            <w:shd w:val="clear" w:color="auto" w:fill="FFFFFF"/>
            <w:tcMar>
              <w:top w:w="0" w:type="dxa"/>
              <w:left w:w="0" w:type="dxa"/>
              <w:bottom w:w="0" w:type="dxa"/>
              <w:right w:w="0" w:type="dxa"/>
            </w:tcMar>
            <w:vAlign w:val="center"/>
            <w:hideMark/>
          </w:tcPr>
          <w:p w14:paraId="2098B5C1" w14:textId="77777777" w:rsidR="002E7CE2" w:rsidRPr="00617599" w:rsidRDefault="002E7CE2" w:rsidP="00510FAA">
            <w:pPr>
              <w:spacing w:after="0" w:line="276" w:lineRule="auto"/>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Stage/outcome of treatment</w:t>
            </w:r>
          </w:p>
        </w:tc>
        <w:tc>
          <w:tcPr>
            <w:tcW w:w="576" w:type="pct"/>
            <w:tcBorders>
              <w:bottom w:val="single" w:sz="6" w:space="0" w:color="808080"/>
            </w:tcBorders>
            <w:shd w:val="clear" w:color="auto" w:fill="FFFFFF"/>
            <w:tcMar>
              <w:top w:w="0" w:type="dxa"/>
              <w:left w:w="0" w:type="dxa"/>
              <w:bottom w:w="0" w:type="dxa"/>
              <w:right w:w="0" w:type="dxa"/>
            </w:tcMar>
            <w:vAlign w:val="center"/>
            <w:hideMark/>
          </w:tcPr>
          <w:p w14:paraId="1D81720D" w14:textId="77777777" w:rsidR="002E7CE2" w:rsidRPr="00617599" w:rsidRDefault="002E7CE2" w:rsidP="00510FAA">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&lt; 30</w:t>
            </w:r>
          </w:p>
        </w:tc>
        <w:tc>
          <w:tcPr>
            <w:tcW w:w="576" w:type="pct"/>
            <w:tcBorders>
              <w:bottom w:val="single" w:sz="6" w:space="0" w:color="808080"/>
            </w:tcBorders>
            <w:shd w:val="clear" w:color="auto" w:fill="FFFFFF"/>
            <w:tcMar>
              <w:top w:w="0" w:type="dxa"/>
              <w:left w:w="0" w:type="dxa"/>
              <w:bottom w:w="0" w:type="dxa"/>
              <w:right w:w="0" w:type="dxa"/>
            </w:tcMar>
            <w:vAlign w:val="center"/>
            <w:hideMark/>
          </w:tcPr>
          <w:p w14:paraId="0A011466" w14:textId="77777777" w:rsidR="002E7CE2" w:rsidRPr="00617599" w:rsidRDefault="002E7CE2" w:rsidP="00510FAA">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30-34</w:t>
            </w:r>
          </w:p>
        </w:tc>
        <w:tc>
          <w:tcPr>
            <w:tcW w:w="576" w:type="pct"/>
            <w:tcBorders>
              <w:bottom w:val="single" w:sz="6" w:space="0" w:color="808080"/>
            </w:tcBorders>
            <w:shd w:val="clear" w:color="auto" w:fill="FFFFFF"/>
            <w:tcMar>
              <w:top w:w="0" w:type="dxa"/>
              <w:left w:w="0" w:type="dxa"/>
              <w:bottom w:w="0" w:type="dxa"/>
              <w:right w:w="0" w:type="dxa"/>
            </w:tcMar>
            <w:vAlign w:val="center"/>
            <w:hideMark/>
          </w:tcPr>
          <w:p w14:paraId="66783EF4" w14:textId="77777777" w:rsidR="002E7CE2" w:rsidRPr="00617599" w:rsidRDefault="002E7CE2" w:rsidP="00510FAA">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35-39</w:t>
            </w:r>
          </w:p>
        </w:tc>
        <w:tc>
          <w:tcPr>
            <w:tcW w:w="576" w:type="pct"/>
            <w:tcBorders>
              <w:bottom w:val="single" w:sz="6" w:space="0" w:color="808080"/>
            </w:tcBorders>
            <w:shd w:val="clear" w:color="auto" w:fill="FFFFFF"/>
            <w:tcMar>
              <w:top w:w="0" w:type="dxa"/>
              <w:left w:w="0" w:type="dxa"/>
              <w:bottom w:w="0" w:type="dxa"/>
              <w:right w:w="0" w:type="dxa"/>
            </w:tcMar>
            <w:vAlign w:val="center"/>
            <w:hideMark/>
          </w:tcPr>
          <w:p w14:paraId="2E1415CC" w14:textId="3C84D89F" w:rsidR="002E7CE2" w:rsidRPr="00617599" w:rsidRDefault="009A147D" w:rsidP="00510FAA">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w:t>
            </w:r>
            <w:r w:rsidR="005C27B8">
              <w:rPr>
                <w:rFonts w:ascii="Arial" w:eastAsia="Times New Roman" w:hAnsi="Arial" w:cs="Arial"/>
                <w:b/>
                <w:bCs/>
                <w:sz w:val="16"/>
                <w:szCs w:val="16"/>
                <w:lang w:eastAsia="en-AU"/>
              </w:rPr>
              <w:t xml:space="preserve"> </w:t>
            </w:r>
            <w:r w:rsidR="002E7CE2" w:rsidRPr="00617599">
              <w:rPr>
                <w:rFonts w:ascii="Arial" w:eastAsia="Times New Roman" w:hAnsi="Arial" w:cs="Arial"/>
                <w:b/>
                <w:bCs/>
                <w:sz w:val="16"/>
                <w:szCs w:val="16"/>
                <w:lang w:eastAsia="en-AU"/>
              </w:rPr>
              <w:t>40</w:t>
            </w:r>
          </w:p>
        </w:tc>
        <w:tc>
          <w:tcPr>
            <w:tcW w:w="575" w:type="pct"/>
            <w:tcBorders>
              <w:bottom w:val="single" w:sz="6" w:space="0" w:color="808080"/>
            </w:tcBorders>
            <w:shd w:val="clear" w:color="auto" w:fill="FFFFFF"/>
            <w:tcMar>
              <w:top w:w="0" w:type="dxa"/>
              <w:left w:w="0" w:type="dxa"/>
              <w:bottom w:w="0" w:type="dxa"/>
              <w:right w:w="0" w:type="dxa"/>
            </w:tcMar>
            <w:vAlign w:val="center"/>
            <w:hideMark/>
          </w:tcPr>
          <w:p w14:paraId="5394EFF3" w14:textId="6625F15A" w:rsidR="002E7CE2" w:rsidRPr="00617599" w:rsidRDefault="002E7CE2" w:rsidP="00510FAA">
            <w:pPr>
              <w:spacing w:after="0" w:line="276" w:lineRule="auto"/>
              <w:jc w:val="right"/>
              <w:rPr>
                <w:rFonts w:ascii="Arial" w:eastAsia="Times New Roman" w:hAnsi="Arial" w:cs="Arial"/>
                <w:b/>
                <w:bCs/>
                <w:sz w:val="16"/>
                <w:szCs w:val="16"/>
                <w:vertAlign w:val="superscript"/>
                <w:lang w:eastAsia="en-AU"/>
              </w:rPr>
            </w:pPr>
            <w:r w:rsidRPr="00617599">
              <w:rPr>
                <w:rFonts w:ascii="Arial" w:eastAsia="Times New Roman" w:hAnsi="Arial" w:cs="Arial"/>
                <w:b/>
                <w:bCs/>
                <w:sz w:val="16"/>
                <w:szCs w:val="16"/>
                <w:lang w:eastAsia="en-AU"/>
              </w:rPr>
              <w:t>All</w:t>
            </w:r>
            <w:r w:rsidR="00870A3B" w:rsidRPr="00617599">
              <w:rPr>
                <w:rFonts w:ascii="Arial" w:eastAsia="Times New Roman" w:hAnsi="Arial" w:cs="Arial"/>
                <w:b/>
                <w:bCs/>
                <w:sz w:val="16"/>
                <w:szCs w:val="16"/>
                <w:vertAlign w:val="superscript"/>
                <w:lang w:eastAsia="en-AU"/>
              </w:rPr>
              <w:t>)</w:t>
            </w:r>
          </w:p>
        </w:tc>
      </w:tr>
      <w:tr w:rsidR="005E43D6" w:rsidRPr="00617599" w14:paraId="5AC08D7D" w14:textId="77777777" w:rsidTr="00C0059A">
        <w:trPr>
          <w:trHeight w:val="227"/>
        </w:trPr>
        <w:tc>
          <w:tcPr>
            <w:tcW w:w="2121" w:type="pct"/>
            <w:shd w:val="clear" w:color="auto" w:fill="FFFFFF"/>
            <w:tcMar>
              <w:top w:w="0" w:type="dxa"/>
              <w:left w:w="0" w:type="dxa"/>
              <w:bottom w:w="0" w:type="dxa"/>
              <w:right w:w="0" w:type="dxa"/>
            </w:tcMar>
            <w:vAlign w:val="center"/>
            <w:hideMark/>
          </w:tcPr>
          <w:p w14:paraId="34460AFB" w14:textId="77777777" w:rsidR="005E43D6" w:rsidRPr="00617599" w:rsidRDefault="005E43D6" w:rsidP="005E43D6">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Initiated cycles</w:t>
            </w:r>
          </w:p>
        </w:tc>
        <w:tc>
          <w:tcPr>
            <w:tcW w:w="576" w:type="pct"/>
            <w:shd w:val="clear" w:color="auto" w:fill="FFFFFF"/>
            <w:tcMar>
              <w:top w:w="0" w:type="dxa"/>
              <w:left w:w="0" w:type="dxa"/>
              <w:bottom w:w="0" w:type="dxa"/>
              <w:right w:w="0" w:type="dxa"/>
            </w:tcMar>
            <w:vAlign w:val="center"/>
            <w:hideMark/>
          </w:tcPr>
          <w:p w14:paraId="7E2015DF" w14:textId="76955FB6"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77</w:t>
            </w:r>
          </w:p>
        </w:tc>
        <w:tc>
          <w:tcPr>
            <w:tcW w:w="576" w:type="pct"/>
            <w:shd w:val="clear" w:color="auto" w:fill="FFFFFF"/>
            <w:tcMar>
              <w:top w:w="0" w:type="dxa"/>
              <w:left w:w="0" w:type="dxa"/>
              <w:bottom w:w="0" w:type="dxa"/>
              <w:right w:w="0" w:type="dxa"/>
            </w:tcMar>
            <w:vAlign w:val="center"/>
            <w:hideMark/>
          </w:tcPr>
          <w:p w14:paraId="2FF41249" w14:textId="377D7578"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164</w:t>
            </w:r>
          </w:p>
        </w:tc>
        <w:tc>
          <w:tcPr>
            <w:tcW w:w="576" w:type="pct"/>
            <w:shd w:val="clear" w:color="auto" w:fill="FFFFFF"/>
            <w:tcMar>
              <w:top w:w="0" w:type="dxa"/>
              <w:left w:w="0" w:type="dxa"/>
              <w:bottom w:w="0" w:type="dxa"/>
              <w:right w:w="0" w:type="dxa"/>
            </w:tcMar>
            <w:vAlign w:val="center"/>
            <w:hideMark/>
          </w:tcPr>
          <w:p w14:paraId="416E412D" w14:textId="03FEDB71"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131</w:t>
            </w:r>
          </w:p>
        </w:tc>
        <w:tc>
          <w:tcPr>
            <w:tcW w:w="576" w:type="pct"/>
            <w:shd w:val="clear" w:color="auto" w:fill="FFFFFF"/>
            <w:tcMar>
              <w:top w:w="0" w:type="dxa"/>
              <w:left w:w="0" w:type="dxa"/>
              <w:bottom w:w="0" w:type="dxa"/>
              <w:right w:w="0" w:type="dxa"/>
            </w:tcMar>
            <w:vAlign w:val="center"/>
            <w:hideMark/>
          </w:tcPr>
          <w:p w14:paraId="3DC74034" w14:textId="09BFC4F8"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17</w:t>
            </w:r>
          </w:p>
        </w:tc>
        <w:tc>
          <w:tcPr>
            <w:tcW w:w="575" w:type="pct"/>
            <w:shd w:val="clear" w:color="auto" w:fill="FFFFFF"/>
            <w:tcMar>
              <w:top w:w="0" w:type="dxa"/>
              <w:left w:w="0" w:type="dxa"/>
              <w:bottom w:w="0" w:type="dxa"/>
              <w:right w:w="0" w:type="dxa"/>
            </w:tcMar>
            <w:vAlign w:val="center"/>
            <w:hideMark/>
          </w:tcPr>
          <w:p w14:paraId="1FF6D11A" w14:textId="5C3E6998" w:rsidR="005E43D6" w:rsidRPr="00E76EA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389</w:t>
            </w:r>
          </w:p>
        </w:tc>
      </w:tr>
      <w:tr w:rsidR="005E43D6" w:rsidRPr="00617599" w14:paraId="143E3700" w14:textId="77777777" w:rsidTr="00744BEE">
        <w:trPr>
          <w:trHeight w:val="227"/>
        </w:trPr>
        <w:tc>
          <w:tcPr>
            <w:tcW w:w="2121" w:type="pct"/>
            <w:shd w:val="clear" w:color="auto" w:fill="FFFFFF"/>
            <w:tcMar>
              <w:top w:w="0" w:type="dxa"/>
              <w:left w:w="0" w:type="dxa"/>
              <w:bottom w:w="0" w:type="dxa"/>
              <w:right w:w="0" w:type="dxa"/>
            </w:tcMar>
            <w:vAlign w:val="center"/>
            <w:hideMark/>
          </w:tcPr>
          <w:p w14:paraId="2800D359" w14:textId="77777777" w:rsidR="005E43D6" w:rsidRPr="00617599" w:rsidRDefault="005E43D6" w:rsidP="005E43D6">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Embryo transfers</w:t>
            </w:r>
          </w:p>
        </w:tc>
        <w:tc>
          <w:tcPr>
            <w:tcW w:w="576" w:type="pct"/>
            <w:shd w:val="clear" w:color="auto" w:fill="FFFFFF"/>
            <w:tcMar>
              <w:top w:w="0" w:type="dxa"/>
              <w:left w:w="0" w:type="dxa"/>
              <w:bottom w:w="0" w:type="dxa"/>
              <w:right w:w="0" w:type="dxa"/>
            </w:tcMar>
            <w:vAlign w:val="bottom"/>
            <w:hideMark/>
          </w:tcPr>
          <w:p w14:paraId="42B8B621" w14:textId="1BFB3621"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73</w:t>
            </w:r>
          </w:p>
        </w:tc>
        <w:tc>
          <w:tcPr>
            <w:tcW w:w="576" w:type="pct"/>
            <w:shd w:val="clear" w:color="auto" w:fill="FFFFFF"/>
            <w:tcMar>
              <w:top w:w="0" w:type="dxa"/>
              <w:left w:w="0" w:type="dxa"/>
              <w:bottom w:w="0" w:type="dxa"/>
              <w:right w:w="0" w:type="dxa"/>
            </w:tcMar>
            <w:vAlign w:val="bottom"/>
            <w:hideMark/>
          </w:tcPr>
          <w:p w14:paraId="432FDDB0" w14:textId="47C2222B"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152</w:t>
            </w:r>
          </w:p>
        </w:tc>
        <w:tc>
          <w:tcPr>
            <w:tcW w:w="576" w:type="pct"/>
            <w:shd w:val="clear" w:color="auto" w:fill="FFFFFF"/>
            <w:tcMar>
              <w:top w:w="0" w:type="dxa"/>
              <w:left w:w="0" w:type="dxa"/>
              <w:bottom w:w="0" w:type="dxa"/>
              <w:right w:w="0" w:type="dxa"/>
            </w:tcMar>
            <w:vAlign w:val="bottom"/>
            <w:hideMark/>
          </w:tcPr>
          <w:p w14:paraId="1E5890A4" w14:textId="59DA2E3B"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124</w:t>
            </w:r>
          </w:p>
        </w:tc>
        <w:tc>
          <w:tcPr>
            <w:tcW w:w="576" w:type="pct"/>
            <w:shd w:val="clear" w:color="auto" w:fill="FFFFFF"/>
            <w:tcMar>
              <w:top w:w="0" w:type="dxa"/>
              <w:left w:w="0" w:type="dxa"/>
              <w:bottom w:w="0" w:type="dxa"/>
              <w:right w:w="0" w:type="dxa"/>
            </w:tcMar>
            <w:vAlign w:val="bottom"/>
            <w:hideMark/>
          </w:tcPr>
          <w:p w14:paraId="46B1A60A" w14:textId="20540E22" w:rsidR="005E43D6" w:rsidRPr="00952173"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17</w:t>
            </w:r>
          </w:p>
        </w:tc>
        <w:tc>
          <w:tcPr>
            <w:tcW w:w="575" w:type="pct"/>
            <w:shd w:val="clear" w:color="auto" w:fill="FFFFFF"/>
            <w:tcMar>
              <w:top w:w="0" w:type="dxa"/>
              <w:left w:w="0" w:type="dxa"/>
              <w:bottom w:w="0" w:type="dxa"/>
              <w:right w:w="0" w:type="dxa"/>
            </w:tcMar>
            <w:vAlign w:val="bottom"/>
            <w:hideMark/>
          </w:tcPr>
          <w:p w14:paraId="283BABE5" w14:textId="79C674E8" w:rsidR="005E43D6" w:rsidRPr="00E76EA6"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366</w:t>
            </w:r>
          </w:p>
        </w:tc>
      </w:tr>
      <w:tr w:rsidR="005E43D6" w:rsidRPr="00617599" w14:paraId="0E572599" w14:textId="77777777" w:rsidTr="00744BEE">
        <w:trPr>
          <w:trHeight w:val="227"/>
        </w:trPr>
        <w:tc>
          <w:tcPr>
            <w:tcW w:w="2121" w:type="pct"/>
            <w:shd w:val="clear" w:color="auto" w:fill="FFFFFF"/>
            <w:tcMar>
              <w:top w:w="0" w:type="dxa"/>
              <w:left w:w="0" w:type="dxa"/>
              <w:bottom w:w="0" w:type="dxa"/>
              <w:right w:w="0" w:type="dxa"/>
            </w:tcMar>
            <w:vAlign w:val="center"/>
            <w:hideMark/>
          </w:tcPr>
          <w:p w14:paraId="31D0C76E" w14:textId="77777777" w:rsidR="005E43D6" w:rsidRPr="00617599" w:rsidRDefault="005E43D6" w:rsidP="005E43D6">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Clinical pregnancies</w:t>
            </w:r>
          </w:p>
        </w:tc>
        <w:tc>
          <w:tcPr>
            <w:tcW w:w="576" w:type="pct"/>
            <w:shd w:val="clear" w:color="auto" w:fill="FFFFFF"/>
            <w:tcMar>
              <w:top w:w="0" w:type="dxa"/>
              <w:left w:w="0" w:type="dxa"/>
              <w:bottom w:w="0" w:type="dxa"/>
              <w:right w:w="0" w:type="dxa"/>
            </w:tcMar>
            <w:vAlign w:val="bottom"/>
            <w:hideMark/>
          </w:tcPr>
          <w:p w14:paraId="317F84EE" w14:textId="3BB3D513" w:rsidR="005E43D6" w:rsidRPr="00E76EA6"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45</w:t>
            </w:r>
          </w:p>
        </w:tc>
        <w:tc>
          <w:tcPr>
            <w:tcW w:w="576" w:type="pct"/>
            <w:shd w:val="clear" w:color="auto" w:fill="FFFFFF"/>
            <w:tcMar>
              <w:top w:w="0" w:type="dxa"/>
              <w:left w:w="0" w:type="dxa"/>
              <w:bottom w:w="0" w:type="dxa"/>
              <w:right w:w="0" w:type="dxa"/>
            </w:tcMar>
            <w:vAlign w:val="bottom"/>
            <w:hideMark/>
          </w:tcPr>
          <w:p w14:paraId="041B5A42" w14:textId="538B53E5" w:rsidR="005E43D6" w:rsidRPr="00E76EA6"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67</w:t>
            </w:r>
          </w:p>
        </w:tc>
        <w:tc>
          <w:tcPr>
            <w:tcW w:w="576" w:type="pct"/>
            <w:shd w:val="clear" w:color="auto" w:fill="FFFFFF"/>
            <w:tcMar>
              <w:top w:w="0" w:type="dxa"/>
              <w:left w:w="0" w:type="dxa"/>
              <w:bottom w:w="0" w:type="dxa"/>
              <w:right w:w="0" w:type="dxa"/>
            </w:tcMar>
            <w:vAlign w:val="bottom"/>
            <w:hideMark/>
          </w:tcPr>
          <w:p w14:paraId="28624782" w14:textId="5C2F9ABC" w:rsidR="005E43D6" w:rsidRPr="00E76EA6"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44</w:t>
            </w:r>
          </w:p>
        </w:tc>
        <w:tc>
          <w:tcPr>
            <w:tcW w:w="576" w:type="pct"/>
            <w:shd w:val="clear" w:color="auto" w:fill="FFFFFF"/>
            <w:tcMar>
              <w:top w:w="0" w:type="dxa"/>
              <w:left w:w="0" w:type="dxa"/>
              <w:bottom w:w="0" w:type="dxa"/>
              <w:right w:w="0" w:type="dxa"/>
            </w:tcMar>
            <w:vAlign w:val="bottom"/>
            <w:hideMark/>
          </w:tcPr>
          <w:p w14:paraId="5D5DFC2C" w14:textId="7C6DA2B1"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w:t>
            </w:r>
          </w:p>
        </w:tc>
        <w:tc>
          <w:tcPr>
            <w:tcW w:w="575" w:type="pct"/>
            <w:shd w:val="clear" w:color="auto" w:fill="FFFFFF"/>
            <w:tcMar>
              <w:top w:w="0" w:type="dxa"/>
              <w:left w:w="0" w:type="dxa"/>
              <w:bottom w:w="0" w:type="dxa"/>
              <w:right w:w="0" w:type="dxa"/>
            </w:tcMar>
            <w:vAlign w:val="bottom"/>
            <w:hideMark/>
          </w:tcPr>
          <w:p w14:paraId="79A01BCB" w14:textId="588F3547" w:rsidR="005E43D6" w:rsidRPr="00E76EA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157</w:t>
            </w:r>
          </w:p>
        </w:tc>
      </w:tr>
      <w:tr w:rsidR="005E43D6" w:rsidRPr="00617599" w14:paraId="2E11B7A9" w14:textId="77777777" w:rsidTr="00744BEE">
        <w:trPr>
          <w:trHeight w:val="227"/>
        </w:trPr>
        <w:tc>
          <w:tcPr>
            <w:tcW w:w="2121" w:type="pct"/>
            <w:shd w:val="clear" w:color="auto" w:fill="FFFFFF"/>
            <w:tcMar>
              <w:top w:w="0" w:type="dxa"/>
              <w:left w:w="0" w:type="dxa"/>
              <w:bottom w:w="0" w:type="dxa"/>
              <w:right w:w="0" w:type="dxa"/>
            </w:tcMar>
            <w:vAlign w:val="center"/>
            <w:hideMark/>
          </w:tcPr>
          <w:p w14:paraId="404A12F5" w14:textId="3EF31EE4" w:rsidR="005E43D6" w:rsidRPr="00617599" w:rsidRDefault="005E43D6" w:rsidP="005E43D6">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Live </w:t>
            </w:r>
            <w:r>
              <w:rPr>
                <w:rFonts w:ascii="Arial" w:eastAsia="Times New Roman" w:hAnsi="Arial" w:cs="Arial"/>
                <w:sz w:val="16"/>
                <w:szCs w:val="16"/>
                <w:lang w:eastAsia="en-AU"/>
              </w:rPr>
              <w:t>births</w:t>
            </w:r>
          </w:p>
        </w:tc>
        <w:tc>
          <w:tcPr>
            <w:tcW w:w="576" w:type="pct"/>
            <w:shd w:val="clear" w:color="auto" w:fill="FFFFFF"/>
            <w:tcMar>
              <w:top w:w="0" w:type="dxa"/>
              <w:left w:w="0" w:type="dxa"/>
              <w:bottom w:w="0" w:type="dxa"/>
              <w:right w:w="0" w:type="dxa"/>
            </w:tcMar>
            <w:vAlign w:val="bottom"/>
            <w:hideMark/>
          </w:tcPr>
          <w:p w14:paraId="74C61991" w14:textId="41424B2E" w:rsidR="005E43D6" w:rsidRPr="00E76EA6"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37</w:t>
            </w:r>
          </w:p>
        </w:tc>
        <w:tc>
          <w:tcPr>
            <w:tcW w:w="576" w:type="pct"/>
            <w:shd w:val="clear" w:color="auto" w:fill="FFFFFF"/>
            <w:tcMar>
              <w:top w:w="0" w:type="dxa"/>
              <w:left w:w="0" w:type="dxa"/>
              <w:bottom w:w="0" w:type="dxa"/>
              <w:right w:w="0" w:type="dxa"/>
            </w:tcMar>
            <w:vAlign w:val="bottom"/>
            <w:hideMark/>
          </w:tcPr>
          <w:p w14:paraId="6ECFC456" w14:textId="04E4E544" w:rsidR="005E43D6" w:rsidRPr="00E76EA6"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54</w:t>
            </w:r>
          </w:p>
        </w:tc>
        <w:tc>
          <w:tcPr>
            <w:tcW w:w="576" w:type="pct"/>
            <w:shd w:val="clear" w:color="auto" w:fill="FFFFFF"/>
            <w:tcMar>
              <w:top w:w="0" w:type="dxa"/>
              <w:left w:w="0" w:type="dxa"/>
              <w:bottom w:w="0" w:type="dxa"/>
              <w:right w:w="0" w:type="dxa"/>
            </w:tcMar>
            <w:vAlign w:val="bottom"/>
            <w:hideMark/>
          </w:tcPr>
          <w:p w14:paraId="33AC1067" w14:textId="091C2AD8" w:rsidR="005E43D6" w:rsidRPr="00E76EA6"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30</w:t>
            </w:r>
          </w:p>
        </w:tc>
        <w:tc>
          <w:tcPr>
            <w:tcW w:w="576" w:type="pct"/>
            <w:shd w:val="clear" w:color="auto" w:fill="FFFFFF"/>
            <w:tcMar>
              <w:top w:w="0" w:type="dxa"/>
              <w:left w:w="0" w:type="dxa"/>
              <w:bottom w:w="0" w:type="dxa"/>
              <w:right w:w="0" w:type="dxa"/>
            </w:tcMar>
            <w:vAlign w:val="bottom"/>
            <w:hideMark/>
          </w:tcPr>
          <w:p w14:paraId="6AFE0E51" w14:textId="70B9F92A"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0</w:t>
            </w:r>
          </w:p>
        </w:tc>
        <w:tc>
          <w:tcPr>
            <w:tcW w:w="575" w:type="pct"/>
            <w:shd w:val="clear" w:color="auto" w:fill="FFFFFF"/>
            <w:tcMar>
              <w:top w:w="0" w:type="dxa"/>
              <w:left w:w="0" w:type="dxa"/>
              <w:bottom w:w="0" w:type="dxa"/>
              <w:right w:w="0" w:type="dxa"/>
            </w:tcMar>
            <w:vAlign w:val="bottom"/>
            <w:hideMark/>
          </w:tcPr>
          <w:p w14:paraId="2F781D88" w14:textId="628CB283" w:rsidR="005E43D6" w:rsidRPr="00E76EA6"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121</w:t>
            </w:r>
          </w:p>
        </w:tc>
      </w:tr>
      <w:tr w:rsidR="005E43D6" w:rsidRPr="00617599" w14:paraId="17CC13DD" w14:textId="77777777" w:rsidTr="00C0059A">
        <w:trPr>
          <w:trHeight w:val="227"/>
        </w:trPr>
        <w:tc>
          <w:tcPr>
            <w:tcW w:w="2121" w:type="pct"/>
            <w:shd w:val="clear" w:color="auto" w:fill="FFFFFF"/>
            <w:tcMar>
              <w:top w:w="0" w:type="dxa"/>
              <w:left w:w="0" w:type="dxa"/>
              <w:bottom w:w="0" w:type="dxa"/>
              <w:right w:w="0" w:type="dxa"/>
            </w:tcMar>
            <w:vAlign w:val="center"/>
            <w:hideMark/>
          </w:tcPr>
          <w:p w14:paraId="78BF8C48" w14:textId="3FDBCAD0" w:rsidR="005E43D6" w:rsidRPr="00617599" w:rsidRDefault="005E43D6" w:rsidP="005E43D6">
            <w:pPr>
              <w:spacing w:after="0" w:line="276" w:lineRule="auto"/>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Live </w:t>
            </w:r>
            <w:r>
              <w:rPr>
                <w:rFonts w:ascii="Arial" w:eastAsia="Times New Roman" w:hAnsi="Arial" w:cs="Arial"/>
                <w:i/>
                <w:sz w:val="16"/>
                <w:szCs w:val="16"/>
                <w:lang w:eastAsia="en-AU"/>
              </w:rPr>
              <w:t>births</w:t>
            </w:r>
            <w:r w:rsidRPr="00617599">
              <w:rPr>
                <w:rFonts w:ascii="Arial" w:eastAsia="Times New Roman" w:hAnsi="Arial" w:cs="Arial"/>
                <w:i/>
                <w:sz w:val="16"/>
                <w:szCs w:val="16"/>
                <w:lang w:eastAsia="en-AU"/>
              </w:rPr>
              <w:t xml:space="preserve"> per initiated cycle (%)</w:t>
            </w:r>
          </w:p>
        </w:tc>
        <w:tc>
          <w:tcPr>
            <w:tcW w:w="576" w:type="pct"/>
            <w:shd w:val="clear" w:color="auto" w:fill="FFFFFF"/>
            <w:tcMar>
              <w:top w:w="0" w:type="dxa"/>
              <w:left w:w="0" w:type="dxa"/>
              <w:bottom w:w="0" w:type="dxa"/>
              <w:right w:w="0" w:type="dxa"/>
            </w:tcMar>
            <w:vAlign w:val="center"/>
            <w:hideMark/>
          </w:tcPr>
          <w:p w14:paraId="6775A7B5" w14:textId="5B57A1B8" w:rsidR="005E43D6" w:rsidRPr="00E76EA6"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48.1</w:t>
            </w:r>
          </w:p>
        </w:tc>
        <w:tc>
          <w:tcPr>
            <w:tcW w:w="576" w:type="pct"/>
            <w:shd w:val="clear" w:color="auto" w:fill="FFFFFF"/>
            <w:tcMar>
              <w:top w:w="0" w:type="dxa"/>
              <w:left w:w="0" w:type="dxa"/>
              <w:bottom w:w="0" w:type="dxa"/>
              <w:right w:w="0" w:type="dxa"/>
            </w:tcMar>
            <w:vAlign w:val="center"/>
            <w:hideMark/>
          </w:tcPr>
          <w:p w14:paraId="27AFA6D8" w14:textId="03CA7641" w:rsidR="005E43D6" w:rsidRPr="00E76EA6"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32.9</w:t>
            </w:r>
          </w:p>
        </w:tc>
        <w:tc>
          <w:tcPr>
            <w:tcW w:w="576" w:type="pct"/>
            <w:shd w:val="clear" w:color="auto" w:fill="FFFFFF"/>
            <w:tcMar>
              <w:top w:w="0" w:type="dxa"/>
              <w:left w:w="0" w:type="dxa"/>
              <w:bottom w:w="0" w:type="dxa"/>
              <w:right w:w="0" w:type="dxa"/>
            </w:tcMar>
            <w:vAlign w:val="center"/>
            <w:hideMark/>
          </w:tcPr>
          <w:p w14:paraId="18A06903" w14:textId="46597CC6" w:rsidR="005E43D6" w:rsidRPr="00E76EA6"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22.9</w:t>
            </w:r>
          </w:p>
        </w:tc>
        <w:tc>
          <w:tcPr>
            <w:tcW w:w="576" w:type="pct"/>
            <w:shd w:val="clear" w:color="auto" w:fill="FFFFFF"/>
            <w:tcMar>
              <w:top w:w="0" w:type="dxa"/>
              <w:left w:w="0" w:type="dxa"/>
              <w:bottom w:w="0" w:type="dxa"/>
              <w:right w:w="0" w:type="dxa"/>
            </w:tcMar>
            <w:vAlign w:val="center"/>
            <w:hideMark/>
          </w:tcPr>
          <w:p w14:paraId="5CE968F0" w14:textId="1B345837" w:rsidR="005E43D6" w:rsidRPr="00952173"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0.0</w:t>
            </w:r>
          </w:p>
        </w:tc>
        <w:tc>
          <w:tcPr>
            <w:tcW w:w="575" w:type="pct"/>
            <w:shd w:val="clear" w:color="auto" w:fill="FFFFFF"/>
            <w:tcMar>
              <w:top w:w="0" w:type="dxa"/>
              <w:left w:w="0" w:type="dxa"/>
              <w:bottom w:w="0" w:type="dxa"/>
              <w:right w:w="0" w:type="dxa"/>
            </w:tcMar>
            <w:vAlign w:val="center"/>
            <w:hideMark/>
          </w:tcPr>
          <w:p w14:paraId="016B98A8" w14:textId="3690FF2D" w:rsidR="005E43D6" w:rsidRPr="00E76EA6"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31.1</w:t>
            </w:r>
          </w:p>
        </w:tc>
      </w:tr>
      <w:tr w:rsidR="005E43D6" w:rsidRPr="00617599" w14:paraId="561D62E0" w14:textId="77777777" w:rsidTr="00744BEE">
        <w:trPr>
          <w:trHeight w:val="227"/>
        </w:trPr>
        <w:tc>
          <w:tcPr>
            <w:tcW w:w="2121" w:type="pct"/>
            <w:shd w:val="clear" w:color="auto" w:fill="FFFFFF"/>
            <w:tcMar>
              <w:top w:w="0" w:type="dxa"/>
              <w:left w:w="0" w:type="dxa"/>
              <w:bottom w:w="0" w:type="dxa"/>
              <w:right w:w="0" w:type="dxa"/>
            </w:tcMar>
            <w:vAlign w:val="center"/>
            <w:hideMark/>
          </w:tcPr>
          <w:p w14:paraId="0B22CCEC" w14:textId="212CA4DA" w:rsidR="005E43D6" w:rsidRPr="00617599" w:rsidRDefault="005E43D6" w:rsidP="005E43D6">
            <w:pPr>
              <w:spacing w:after="0" w:line="276" w:lineRule="auto"/>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Live </w:t>
            </w:r>
            <w:r>
              <w:rPr>
                <w:rFonts w:ascii="Arial" w:eastAsia="Times New Roman" w:hAnsi="Arial" w:cs="Arial"/>
                <w:i/>
                <w:sz w:val="16"/>
                <w:szCs w:val="16"/>
                <w:lang w:eastAsia="en-AU"/>
              </w:rPr>
              <w:t>births</w:t>
            </w:r>
            <w:r w:rsidRPr="00617599">
              <w:rPr>
                <w:rFonts w:ascii="Arial" w:eastAsia="Times New Roman" w:hAnsi="Arial" w:cs="Arial"/>
                <w:i/>
                <w:sz w:val="16"/>
                <w:szCs w:val="16"/>
                <w:lang w:eastAsia="en-AU"/>
              </w:rPr>
              <w:t xml:space="preserve"> per embryo transfer cycle (%)</w:t>
            </w:r>
          </w:p>
        </w:tc>
        <w:tc>
          <w:tcPr>
            <w:tcW w:w="576" w:type="pct"/>
            <w:shd w:val="clear" w:color="auto" w:fill="FFFFFF"/>
            <w:tcMar>
              <w:top w:w="0" w:type="dxa"/>
              <w:left w:w="0" w:type="dxa"/>
              <w:bottom w:w="0" w:type="dxa"/>
              <w:right w:w="0" w:type="dxa"/>
            </w:tcMar>
            <w:vAlign w:val="bottom"/>
            <w:hideMark/>
          </w:tcPr>
          <w:p w14:paraId="511C2B39" w14:textId="7ECC32E2" w:rsidR="005E43D6" w:rsidRPr="00E76EA6"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50.7</w:t>
            </w:r>
          </w:p>
        </w:tc>
        <w:tc>
          <w:tcPr>
            <w:tcW w:w="576" w:type="pct"/>
            <w:shd w:val="clear" w:color="auto" w:fill="FFFFFF"/>
            <w:tcMar>
              <w:top w:w="0" w:type="dxa"/>
              <w:left w:w="0" w:type="dxa"/>
              <w:bottom w:w="0" w:type="dxa"/>
              <w:right w:w="0" w:type="dxa"/>
            </w:tcMar>
            <w:vAlign w:val="bottom"/>
            <w:hideMark/>
          </w:tcPr>
          <w:p w14:paraId="40B315B7" w14:textId="0B340266" w:rsidR="005E43D6" w:rsidRPr="00E76EA6"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35.5</w:t>
            </w:r>
          </w:p>
        </w:tc>
        <w:tc>
          <w:tcPr>
            <w:tcW w:w="576" w:type="pct"/>
            <w:shd w:val="clear" w:color="auto" w:fill="FFFFFF"/>
            <w:tcMar>
              <w:top w:w="0" w:type="dxa"/>
              <w:left w:w="0" w:type="dxa"/>
              <w:bottom w:w="0" w:type="dxa"/>
              <w:right w:w="0" w:type="dxa"/>
            </w:tcMar>
            <w:vAlign w:val="bottom"/>
            <w:hideMark/>
          </w:tcPr>
          <w:p w14:paraId="3154F422" w14:textId="4D1FB8C4" w:rsidR="005E43D6" w:rsidRPr="00E76EA6"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24.2</w:t>
            </w:r>
          </w:p>
        </w:tc>
        <w:tc>
          <w:tcPr>
            <w:tcW w:w="576" w:type="pct"/>
            <w:shd w:val="clear" w:color="auto" w:fill="FFFFFF"/>
            <w:tcMar>
              <w:top w:w="0" w:type="dxa"/>
              <w:left w:w="0" w:type="dxa"/>
              <w:bottom w:w="0" w:type="dxa"/>
              <w:right w:w="0" w:type="dxa"/>
            </w:tcMar>
            <w:vAlign w:val="bottom"/>
            <w:hideMark/>
          </w:tcPr>
          <w:p w14:paraId="23269059" w14:textId="7D69F260" w:rsidR="005E43D6" w:rsidRPr="00952173"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0.0</w:t>
            </w:r>
          </w:p>
        </w:tc>
        <w:tc>
          <w:tcPr>
            <w:tcW w:w="575" w:type="pct"/>
            <w:shd w:val="clear" w:color="auto" w:fill="FFFFFF"/>
            <w:tcMar>
              <w:top w:w="0" w:type="dxa"/>
              <w:left w:w="0" w:type="dxa"/>
              <w:bottom w:w="0" w:type="dxa"/>
              <w:right w:w="0" w:type="dxa"/>
            </w:tcMar>
            <w:vAlign w:val="bottom"/>
            <w:hideMark/>
          </w:tcPr>
          <w:p w14:paraId="197C7190" w14:textId="3EF5F366" w:rsidR="005E43D6" w:rsidRPr="00E76EA6"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33.1</w:t>
            </w:r>
          </w:p>
        </w:tc>
      </w:tr>
      <w:tr w:rsidR="005E43D6" w:rsidRPr="00617599" w14:paraId="56057585" w14:textId="77777777" w:rsidTr="00744BEE">
        <w:trPr>
          <w:trHeight w:val="227"/>
        </w:trPr>
        <w:tc>
          <w:tcPr>
            <w:tcW w:w="2121" w:type="pct"/>
            <w:tcBorders>
              <w:bottom w:val="single" w:sz="12" w:space="0" w:color="auto"/>
            </w:tcBorders>
            <w:shd w:val="clear" w:color="auto" w:fill="FFFFFF"/>
            <w:tcMar>
              <w:top w:w="0" w:type="dxa"/>
              <w:left w:w="0" w:type="dxa"/>
              <w:bottom w:w="0" w:type="dxa"/>
              <w:right w:w="0" w:type="dxa"/>
            </w:tcMar>
            <w:vAlign w:val="center"/>
            <w:hideMark/>
          </w:tcPr>
          <w:p w14:paraId="406702BE" w14:textId="139403B6" w:rsidR="005E43D6" w:rsidRPr="00617599" w:rsidRDefault="005E43D6" w:rsidP="005E43D6">
            <w:pPr>
              <w:spacing w:after="0" w:line="276" w:lineRule="auto"/>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Live </w:t>
            </w:r>
            <w:r>
              <w:rPr>
                <w:rFonts w:ascii="Arial" w:eastAsia="Times New Roman" w:hAnsi="Arial" w:cs="Arial"/>
                <w:i/>
                <w:sz w:val="16"/>
                <w:szCs w:val="16"/>
                <w:lang w:eastAsia="en-AU"/>
              </w:rPr>
              <w:t>births</w:t>
            </w:r>
            <w:r w:rsidRPr="00617599">
              <w:rPr>
                <w:rFonts w:ascii="Arial" w:eastAsia="Times New Roman" w:hAnsi="Arial" w:cs="Arial"/>
                <w:i/>
                <w:sz w:val="16"/>
                <w:szCs w:val="16"/>
                <w:lang w:eastAsia="en-AU"/>
              </w:rPr>
              <w:t xml:space="preserve"> per clinical pregnancy (%)</w:t>
            </w:r>
          </w:p>
        </w:tc>
        <w:tc>
          <w:tcPr>
            <w:tcW w:w="576" w:type="pct"/>
            <w:tcBorders>
              <w:bottom w:val="single" w:sz="12" w:space="0" w:color="auto"/>
            </w:tcBorders>
            <w:shd w:val="clear" w:color="auto" w:fill="FFFFFF"/>
            <w:tcMar>
              <w:top w:w="0" w:type="dxa"/>
              <w:left w:w="0" w:type="dxa"/>
              <w:bottom w:w="0" w:type="dxa"/>
              <w:right w:w="0" w:type="dxa"/>
            </w:tcMar>
            <w:vAlign w:val="bottom"/>
            <w:hideMark/>
          </w:tcPr>
          <w:p w14:paraId="4AE104EB" w14:textId="6F5885FE" w:rsidR="005E43D6" w:rsidRPr="00E76EA6"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82.2</w:t>
            </w:r>
          </w:p>
        </w:tc>
        <w:tc>
          <w:tcPr>
            <w:tcW w:w="576" w:type="pct"/>
            <w:tcBorders>
              <w:bottom w:val="single" w:sz="12" w:space="0" w:color="auto"/>
            </w:tcBorders>
            <w:shd w:val="clear" w:color="auto" w:fill="FFFFFF"/>
            <w:tcMar>
              <w:top w:w="0" w:type="dxa"/>
              <w:left w:w="0" w:type="dxa"/>
              <w:bottom w:w="0" w:type="dxa"/>
              <w:right w:w="0" w:type="dxa"/>
            </w:tcMar>
            <w:vAlign w:val="bottom"/>
            <w:hideMark/>
          </w:tcPr>
          <w:p w14:paraId="358699AB" w14:textId="12DA15C7" w:rsidR="005E43D6" w:rsidRPr="00E76EA6"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80.6</w:t>
            </w:r>
          </w:p>
        </w:tc>
        <w:tc>
          <w:tcPr>
            <w:tcW w:w="576" w:type="pct"/>
            <w:tcBorders>
              <w:bottom w:val="single" w:sz="12" w:space="0" w:color="auto"/>
            </w:tcBorders>
            <w:shd w:val="clear" w:color="auto" w:fill="FFFFFF"/>
            <w:tcMar>
              <w:top w:w="0" w:type="dxa"/>
              <w:left w:w="0" w:type="dxa"/>
              <w:bottom w:w="0" w:type="dxa"/>
              <w:right w:w="0" w:type="dxa"/>
            </w:tcMar>
            <w:vAlign w:val="bottom"/>
            <w:hideMark/>
          </w:tcPr>
          <w:p w14:paraId="07C1F6FD" w14:textId="43A2FEE7" w:rsidR="005E43D6" w:rsidRPr="00E76EA6"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68.2</w:t>
            </w:r>
          </w:p>
        </w:tc>
        <w:tc>
          <w:tcPr>
            <w:tcW w:w="576" w:type="pct"/>
            <w:tcBorders>
              <w:bottom w:val="single" w:sz="12" w:space="0" w:color="auto"/>
            </w:tcBorders>
            <w:shd w:val="clear" w:color="auto" w:fill="FFFFFF"/>
            <w:tcMar>
              <w:top w:w="0" w:type="dxa"/>
              <w:left w:w="0" w:type="dxa"/>
              <w:bottom w:w="0" w:type="dxa"/>
              <w:right w:w="0" w:type="dxa"/>
            </w:tcMar>
            <w:vAlign w:val="bottom"/>
            <w:hideMark/>
          </w:tcPr>
          <w:p w14:paraId="372CEE6D" w14:textId="77FC3F61" w:rsidR="005E43D6" w:rsidRPr="00952173"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0.0</w:t>
            </w:r>
          </w:p>
        </w:tc>
        <w:tc>
          <w:tcPr>
            <w:tcW w:w="575" w:type="pct"/>
            <w:tcBorders>
              <w:bottom w:val="single" w:sz="12" w:space="0" w:color="auto"/>
            </w:tcBorders>
            <w:shd w:val="clear" w:color="auto" w:fill="FFFFFF"/>
            <w:tcMar>
              <w:top w:w="0" w:type="dxa"/>
              <w:left w:w="0" w:type="dxa"/>
              <w:bottom w:w="0" w:type="dxa"/>
              <w:right w:w="0" w:type="dxa"/>
            </w:tcMar>
            <w:vAlign w:val="bottom"/>
            <w:hideMark/>
          </w:tcPr>
          <w:p w14:paraId="51C38D02" w14:textId="7BCB53CC" w:rsidR="005E43D6" w:rsidRPr="00E76EA6"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77.1</w:t>
            </w:r>
          </w:p>
        </w:tc>
      </w:tr>
    </w:tbl>
    <w:p w14:paraId="2A7A4975" w14:textId="77777777" w:rsidR="009303CD" w:rsidRPr="00617599" w:rsidRDefault="009303CD" w:rsidP="00814AD1">
      <w:pPr>
        <w:pStyle w:val="TableFigNotesnumbered"/>
        <w:numPr>
          <w:ilvl w:val="0"/>
          <w:numId w:val="13"/>
        </w:numPr>
        <w:spacing w:before="0" w:line="240" w:lineRule="auto"/>
        <w:ind w:left="284" w:hanging="284"/>
        <w:rPr>
          <w:rFonts w:cs="Arial"/>
        </w:rPr>
      </w:pPr>
      <w:r w:rsidRPr="00617599">
        <w:rPr>
          <w:rFonts w:cs="Arial"/>
        </w:rPr>
        <w:t>Age at start of treatment cycle.</w:t>
      </w:r>
    </w:p>
    <w:p w14:paraId="0DCC2CD9" w14:textId="77777777" w:rsidR="009303CD" w:rsidRPr="00617599" w:rsidRDefault="009303CD" w:rsidP="009303CD">
      <w:pPr>
        <w:tabs>
          <w:tab w:val="left" w:pos="4988"/>
          <w:tab w:val="left" w:pos="5714"/>
          <w:tab w:val="left" w:pos="6624"/>
          <w:tab w:val="left" w:pos="7531"/>
          <w:tab w:val="left" w:pos="8348"/>
        </w:tabs>
        <w:spacing w:before="100" w:beforeAutospacing="1" w:after="0" w:line="240" w:lineRule="auto"/>
        <w:rPr>
          <w:rFonts w:ascii="Arial" w:eastAsia="Times New Roman" w:hAnsi="Arial" w:cs="Arial"/>
          <w:sz w:val="16"/>
          <w:szCs w:val="16"/>
          <w:lang w:eastAsia="en-AU"/>
        </w:rPr>
      </w:pPr>
      <w:r w:rsidRPr="00617599">
        <w:rPr>
          <w:rFonts w:ascii="Arial" w:eastAsia="Times New Roman" w:hAnsi="Arial" w:cs="Arial"/>
          <w:i/>
          <w:sz w:val="16"/>
          <w:szCs w:val="16"/>
          <w:lang w:eastAsia="en-AU"/>
        </w:rPr>
        <w:tab/>
      </w:r>
      <w:r w:rsidRPr="00617599">
        <w:rPr>
          <w:rFonts w:ascii="Arial" w:eastAsia="Times New Roman" w:hAnsi="Arial" w:cs="Arial"/>
          <w:sz w:val="16"/>
          <w:szCs w:val="16"/>
          <w:lang w:eastAsia="en-AU"/>
        </w:rPr>
        <w:tab/>
      </w:r>
      <w:r w:rsidRPr="00617599">
        <w:rPr>
          <w:rFonts w:ascii="Arial" w:eastAsia="Times New Roman" w:hAnsi="Arial" w:cs="Arial"/>
          <w:sz w:val="16"/>
          <w:szCs w:val="16"/>
          <w:lang w:eastAsia="en-AU"/>
        </w:rPr>
        <w:tab/>
      </w:r>
      <w:r w:rsidRPr="00617599">
        <w:rPr>
          <w:rFonts w:ascii="Arial" w:eastAsia="Times New Roman" w:hAnsi="Arial" w:cs="Arial"/>
          <w:sz w:val="16"/>
          <w:szCs w:val="16"/>
          <w:lang w:eastAsia="en-AU"/>
        </w:rPr>
        <w:tab/>
      </w:r>
      <w:r w:rsidRPr="00617599">
        <w:rPr>
          <w:rFonts w:ascii="Arial" w:eastAsia="Times New Roman" w:hAnsi="Arial" w:cs="Arial"/>
          <w:sz w:val="16"/>
          <w:szCs w:val="16"/>
          <w:lang w:eastAsia="en-AU"/>
        </w:rPr>
        <w:tab/>
      </w:r>
    </w:p>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2017"/>
        <w:gridCol w:w="1107"/>
        <w:gridCol w:w="711"/>
        <w:gridCol w:w="45"/>
        <w:gridCol w:w="1081"/>
        <w:gridCol w:w="850"/>
        <w:gridCol w:w="143"/>
        <w:gridCol w:w="872"/>
        <w:gridCol w:w="688"/>
        <w:gridCol w:w="45"/>
        <w:gridCol w:w="679"/>
        <w:gridCol w:w="691"/>
        <w:gridCol w:w="97"/>
      </w:tblGrid>
      <w:tr w:rsidR="009303CD" w:rsidRPr="00617599" w14:paraId="6EFCA7E7" w14:textId="77777777" w:rsidTr="00952173">
        <w:trPr>
          <w:tblHeader/>
          <w:tblCellSpacing w:w="0" w:type="dxa"/>
        </w:trPr>
        <w:tc>
          <w:tcPr>
            <w:tcW w:w="5000" w:type="pct"/>
            <w:gridSpan w:val="13"/>
            <w:tcMar>
              <w:top w:w="0" w:type="dxa"/>
              <w:left w:w="0" w:type="dxa"/>
              <w:bottom w:w="0" w:type="dxa"/>
              <w:right w:w="0" w:type="dxa"/>
            </w:tcMar>
            <w:vAlign w:val="center"/>
            <w:hideMark/>
          </w:tcPr>
          <w:p w14:paraId="6CE12A31" w14:textId="48F06FDD" w:rsidR="009303CD" w:rsidRPr="00617599" w:rsidRDefault="009303CD" w:rsidP="00814AD1">
            <w:pPr>
              <w:pStyle w:val="Heading1"/>
              <w:numPr>
                <w:ilvl w:val="0"/>
                <w:numId w:val="3"/>
              </w:numPr>
              <w:ind w:left="851" w:hanging="491"/>
              <w:rPr>
                <w:rFonts w:eastAsia="Times New Roman" w:cs="Arial"/>
              </w:rPr>
            </w:pPr>
            <w:bookmarkStart w:id="322" w:name="_Toc452112616"/>
            <w:r w:rsidRPr="00617599">
              <w:rPr>
                <w:rFonts w:cs="Arial"/>
                <w:b w:val="0"/>
                <w:bCs w:val="0"/>
                <w:highlight w:val="yellow"/>
              </w:rPr>
              <w:lastRenderedPageBreak/>
              <w:br w:type="page"/>
            </w:r>
            <w:r w:rsidRPr="00617599">
              <w:rPr>
                <w:rFonts w:cs="Arial"/>
                <w:b w:val="0"/>
                <w:bCs w:val="0"/>
                <w:highlight w:val="yellow"/>
              </w:rPr>
              <w:br w:type="page"/>
            </w:r>
            <w:r w:rsidRPr="00617599">
              <w:rPr>
                <w:rFonts w:cs="Arial"/>
                <w:b w:val="0"/>
                <w:bCs w:val="0"/>
                <w:highlight w:val="yellow"/>
              </w:rPr>
              <w:br w:type="page"/>
            </w:r>
            <w:r w:rsidRPr="00617599">
              <w:rPr>
                <w:rFonts w:cs="Arial"/>
                <w:b w:val="0"/>
                <w:bCs w:val="0"/>
                <w:highlight w:val="yellow"/>
              </w:rPr>
              <w:br w:type="page"/>
            </w:r>
            <w:r w:rsidRPr="00617599">
              <w:rPr>
                <w:rFonts w:cs="Arial"/>
                <w:b w:val="0"/>
                <w:bCs w:val="0"/>
                <w:highlight w:val="yellow"/>
              </w:rPr>
              <w:br w:type="page"/>
            </w:r>
            <w:r w:rsidRPr="00617599">
              <w:rPr>
                <w:rFonts w:cs="Arial"/>
                <w:b w:val="0"/>
                <w:bCs w:val="0"/>
                <w:highlight w:val="yellow"/>
              </w:rPr>
              <w:br w:type="page"/>
            </w:r>
            <w:r w:rsidRPr="00617599">
              <w:rPr>
                <w:rFonts w:cs="Arial"/>
                <w:b w:val="0"/>
                <w:bCs w:val="0"/>
                <w:highlight w:val="yellow"/>
              </w:rPr>
              <w:br w:type="page"/>
            </w:r>
            <w:r w:rsidRPr="00617599">
              <w:rPr>
                <w:rFonts w:cs="Arial"/>
                <w:b w:val="0"/>
                <w:bCs w:val="0"/>
                <w:highlight w:val="yellow"/>
              </w:rPr>
              <w:br w:type="page"/>
            </w:r>
            <w:r w:rsidRPr="00617599">
              <w:rPr>
                <w:rFonts w:cs="Arial"/>
                <w:b w:val="0"/>
                <w:bCs w:val="0"/>
                <w:highlight w:val="yellow"/>
              </w:rPr>
              <w:br w:type="page"/>
            </w:r>
            <w:r w:rsidRPr="00617599">
              <w:rPr>
                <w:rFonts w:cs="Arial"/>
                <w:b w:val="0"/>
                <w:bCs w:val="0"/>
                <w:highlight w:val="yellow"/>
              </w:rPr>
              <w:br w:type="page"/>
            </w:r>
            <w:bookmarkStart w:id="323" w:name="_Toc453054845"/>
            <w:bookmarkStart w:id="324" w:name="_Toc159568721"/>
            <w:r w:rsidRPr="00617599">
              <w:rPr>
                <w:rFonts w:cs="Arial"/>
              </w:rPr>
              <w:t>Pregnancy</w:t>
            </w:r>
            <w:r w:rsidRPr="00360E75">
              <w:rPr>
                <w:rFonts w:cs="Arial"/>
              </w:rPr>
              <w:t xml:space="preserve"> and birth outcomes following autologous and recipient cycles in </w:t>
            </w:r>
            <w:r w:rsidR="002C669F" w:rsidRPr="00360E75">
              <w:rPr>
                <w:rFonts w:cs="Arial"/>
              </w:rPr>
              <w:t>20</w:t>
            </w:r>
            <w:r w:rsidR="00EA3A07">
              <w:rPr>
                <w:rFonts w:cs="Arial"/>
              </w:rPr>
              <w:t>2</w:t>
            </w:r>
            <w:bookmarkEnd w:id="322"/>
            <w:bookmarkEnd w:id="323"/>
            <w:r w:rsidR="005E43D6">
              <w:rPr>
                <w:rFonts w:cs="Arial"/>
              </w:rPr>
              <w:t>1</w:t>
            </w:r>
            <w:bookmarkEnd w:id="324"/>
          </w:p>
          <w:p w14:paraId="151C7DD5" w14:textId="1E18D72C" w:rsidR="009303CD" w:rsidRPr="00A54A1F" w:rsidRDefault="009303CD">
            <w:pPr>
              <w:pStyle w:val="NPESUbodytext"/>
              <w:rPr>
                <w:rFonts w:cs="Arial"/>
                <w:lang w:eastAsia="en-AU"/>
              </w:rPr>
            </w:pPr>
            <w:r w:rsidRPr="001E44F0">
              <w:rPr>
                <w:rFonts w:cs="Arial"/>
                <w:lang w:eastAsia="en-AU"/>
              </w:rPr>
              <w:t xml:space="preserve">There were </w:t>
            </w:r>
            <w:r w:rsidR="009A3ADB">
              <w:rPr>
                <w:rFonts w:cs="Arial"/>
                <w:lang w:eastAsia="en-AU"/>
              </w:rPr>
              <w:t>2,</w:t>
            </w:r>
            <w:r w:rsidR="00EC64A0">
              <w:rPr>
                <w:rFonts w:cs="Arial"/>
                <w:lang w:eastAsia="en-AU"/>
              </w:rPr>
              <w:t>530</w:t>
            </w:r>
            <w:r w:rsidR="00EA3A07">
              <w:rPr>
                <w:rFonts w:cs="Arial"/>
                <w:lang w:eastAsia="en-AU"/>
              </w:rPr>
              <w:t xml:space="preserve"> </w:t>
            </w:r>
            <w:r w:rsidRPr="001E44F0">
              <w:rPr>
                <w:rFonts w:cs="Arial"/>
                <w:lang w:eastAsia="en-AU"/>
              </w:rPr>
              <w:t xml:space="preserve">clinical pregnancies following autologous and recipient embryo transfer cycles in </w:t>
            </w:r>
            <w:r w:rsidR="002C669F" w:rsidRPr="001E44F0">
              <w:rPr>
                <w:rFonts w:cs="Arial"/>
                <w:lang w:eastAsia="en-AU"/>
              </w:rPr>
              <w:t>20</w:t>
            </w:r>
            <w:r w:rsidR="00EA3A07">
              <w:rPr>
                <w:rFonts w:cs="Arial"/>
                <w:lang w:eastAsia="en-AU"/>
              </w:rPr>
              <w:t>2</w:t>
            </w:r>
            <w:r w:rsidR="00EC64A0">
              <w:rPr>
                <w:rFonts w:cs="Arial"/>
                <w:lang w:eastAsia="en-AU"/>
              </w:rPr>
              <w:t>1</w:t>
            </w:r>
            <w:r w:rsidRPr="001E44F0">
              <w:rPr>
                <w:rFonts w:cs="Arial"/>
                <w:lang w:eastAsia="en-AU"/>
              </w:rPr>
              <w:t xml:space="preserve">. </w:t>
            </w:r>
            <w:r w:rsidR="00EA3A07">
              <w:rPr>
                <w:rFonts w:cs="Arial"/>
                <w:lang w:eastAsia="en-AU"/>
              </w:rPr>
              <w:t>Four out of five</w:t>
            </w:r>
            <w:r w:rsidRPr="001E44F0">
              <w:rPr>
                <w:rFonts w:cs="Arial"/>
                <w:lang w:eastAsia="en-AU"/>
              </w:rPr>
              <w:t xml:space="preserve"> clinical pregnancies (</w:t>
            </w:r>
            <w:r w:rsidR="00EA3A07">
              <w:rPr>
                <w:rFonts w:cs="Arial"/>
                <w:lang w:eastAsia="en-AU"/>
              </w:rPr>
              <w:t>8</w:t>
            </w:r>
            <w:r w:rsidR="00EC64A0">
              <w:rPr>
                <w:rFonts w:cs="Arial"/>
                <w:lang w:eastAsia="en-AU"/>
              </w:rPr>
              <w:t>0.6</w:t>
            </w:r>
            <w:r w:rsidRPr="001E44F0">
              <w:rPr>
                <w:rFonts w:cs="Arial"/>
                <w:lang w:eastAsia="en-AU"/>
              </w:rPr>
              <w:t xml:space="preserve">%) resulted in a </w:t>
            </w:r>
            <w:r w:rsidR="00EC42AE">
              <w:rPr>
                <w:rFonts w:cs="Arial"/>
                <w:lang w:eastAsia="en-AU"/>
              </w:rPr>
              <w:t>birth</w:t>
            </w:r>
            <w:r w:rsidRPr="001E44F0">
              <w:rPr>
                <w:rFonts w:cs="Arial"/>
                <w:lang w:eastAsia="en-AU"/>
              </w:rPr>
              <w:t xml:space="preserve"> and </w:t>
            </w:r>
            <w:r w:rsidR="00EA3A07">
              <w:rPr>
                <w:rFonts w:cs="Arial"/>
                <w:lang w:eastAsia="en-AU"/>
              </w:rPr>
              <w:t>1</w:t>
            </w:r>
            <w:r w:rsidR="00EC64A0">
              <w:rPr>
                <w:rFonts w:cs="Arial"/>
                <w:lang w:eastAsia="en-AU"/>
              </w:rPr>
              <w:t>9.4</w:t>
            </w:r>
            <w:r w:rsidRPr="001E44F0">
              <w:rPr>
                <w:rFonts w:cs="Arial"/>
                <w:lang w:eastAsia="en-AU"/>
              </w:rPr>
              <w:t xml:space="preserve">% resulted in early pregnancy loss (less than 20 weeks gestation </w:t>
            </w:r>
            <w:r w:rsidR="00EC64A0">
              <w:rPr>
                <w:rFonts w:cs="Arial"/>
                <w:lang w:eastAsia="en-AU"/>
              </w:rPr>
              <w:t>and</w:t>
            </w:r>
            <w:r w:rsidR="007855A6" w:rsidRPr="001E44F0">
              <w:rPr>
                <w:rFonts w:cs="Arial"/>
                <w:lang w:eastAsia="en-AU"/>
              </w:rPr>
              <w:t xml:space="preserve"> </w:t>
            </w:r>
            <w:r w:rsidRPr="001E44F0">
              <w:rPr>
                <w:rFonts w:cs="Arial"/>
                <w:lang w:eastAsia="en-AU"/>
              </w:rPr>
              <w:t xml:space="preserve">less than 400 grams birthweight). The outcomes of </w:t>
            </w:r>
            <w:r w:rsidR="00EC64A0">
              <w:rPr>
                <w:rFonts w:cs="Arial"/>
                <w:lang w:eastAsia="en-AU"/>
              </w:rPr>
              <w:t>two</w:t>
            </w:r>
            <w:r w:rsidR="00C06821" w:rsidRPr="001E44F0">
              <w:rPr>
                <w:rFonts w:cs="Arial"/>
                <w:lang w:eastAsia="en-AU"/>
              </w:rPr>
              <w:t xml:space="preserve"> </w:t>
            </w:r>
            <w:r w:rsidRPr="001E44F0">
              <w:rPr>
                <w:rFonts w:cs="Arial"/>
                <w:lang w:eastAsia="en-AU"/>
              </w:rPr>
              <w:t>clinical pregnanc</w:t>
            </w:r>
            <w:r w:rsidR="00EC64A0">
              <w:rPr>
                <w:rFonts w:cs="Arial"/>
                <w:lang w:eastAsia="en-AU"/>
              </w:rPr>
              <w:t>ies</w:t>
            </w:r>
            <w:r w:rsidRPr="001E44F0">
              <w:rPr>
                <w:rFonts w:cs="Arial"/>
                <w:lang w:eastAsia="en-AU"/>
              </w:rPr>
              <w:t xml:space="preserve"> </w:t>
            </w:r>
            <w:r w:rsidR="00297809">
              <w:rPr>
                <w:rFonts w:cs="Arial"/>
                <w:lang w:eastAsia="en-AU"/>
              </w:rPr>
              <w:t>were</w:t>
            </w:r>
            <w:r w:rsidR="00297809" w:rsidRPr="001E44F0">
              <w:rPr>
                <w:rFonts w:cs="Arial"/>
                <w:lang w:eastAsia="en-AU"/>
              </w:rPr>
              <w:t xml:space="preserve"> </w:t>
            </w:r>
            <w:r w:rsidRPr="001E44F0">
              <w:rPr>
                <w:rFonts w:cs="Arial"/>
                <w:lang w:eastAsia="en-AU"/>
              </w:rPr>
              <w:t xml:space="preserve">not known because </w:t>
            </w:r>
            <w:r w:rsidR="006A2EF1">
              <w:rPr>
                <w:rFonts w:cs="Arial"/>
                <w:lang w:eastAsia="en-AU"/>
              </w:rPr>
              <w:t>the patient</w:t>
            </w:r>
            <w:r w:rsidR="006A2EF1" w:rsidRPr="001E44F0">
              <w:rPr>
                <w:rFonts w:cs="Arial"/>
                <w:lang w:eastAsia="en-AU"/>
              </w:rPr>
              <w:t xml:space="preserve"> </w:t>
            </w:r>
            <w:r w:rsidRPr="001E44F0">
              <w:rPr>
                <w:rFonts w:cs="Arial"/>
                <w:lang w:eastAsia="en-AU"/>
              </w:rPr>
              <w:t xml:space="preserve">could not be followed up or contacted by </w:t>
            </w:r>
            <w:r w:rsidR="006A2EF1">
              <w:rPr>
                <w:rFonts w:cs="Arial"/>
                <w:lang w:eastAsia="en-AU"/>
              </w:rPr>
              <w:t xml:space="preserve">the </w:t>
            </w:r>
            <w:r w:rsidRPr="001E44F0">
              <w:rPr>
                <w:rFonts w:cs="Arial"/>
                <w:lang w:eastAsia="en-AU"/>
              </w:rPr>
              <w:t>fertility centre.</w:t>
            </w:r>
          </w:p>
          <w:p w14:paraId="01141ABE" w14:textId="77777777" w:rsidR="009303CD" w:rsidRPr="00617599" w:rsidRDefault="009303CD">
            <w:pPr>
              <w:keepNext/>
              <w:keepLines/>
              <w:tabs>
                <w:tab w:val="left" w:pos="794"/>
                <w:tab w:val="left" w:pos="1191"/>
                <w:tab w:val="left" w:pos="2778"/>
              </w:tabs>
              <w:spacing w:before="300" w:after="120" w:line="320" w:lineRule="atLeast"/>
              <w:outlineLvl w:val="2"/>
              <w:rPr>
                <w:rFonts w:ascii="Arial" w:eastAsia="Times New Roman" w:hAnsi="Arial" w:cs="Arial"/>
                <w:b/>
                <w:sz w:val="28"/>
              </w:rPr>
            </w:pPr>
            <w:bookmarkStart w:id="325" w:name="_Toc453054846"/>
            <w:bookmarkStart w:id="326" w:name="_Toc453061479"/>
            <w:r w:rsidRPr="00097D13">
              <w:rPr>
                <w:rFonts w:ascii="Arial" w:eastAsia="Times New Roman" w:hAnsi="Arial" w:cs="Arial"/>
                <w:b/>
                <w:sz w:val="28"/>
              </w:rPr>
              <w:t>Early pregnancy loss</w:t>
            </w:r>
            <w:bookmarkEnd w:id="325"/>
            <w:bookmarkEnd w:id="326"/>
          </w:p>
          <w:p w14:paraId="164D58FD" w14:textId="29EBEFF6" w:rsidR="00907C0F" w:rsidRPr="00314BF8" w:rsidRDefault="009303CD">
            <w:pPr>
              <w:pStyle w:val="NPESUbodytext"/>
              <w:rPr>
                <w:rFonts w:cs="Arial"/>
                <w:lang w:eastAsia="en-AU"/>
              </w:rPr>
            </w:pPr>
            <w:r w:rsidRPr="001E44F0">
              <w:rPr>
                <w:rFonts w:cs="Arial"/>
                <w:lang w:eastAsia="en-AU"/>
              </w:rPr>
              <w:t xml:space="preserve">Of the </w:t>
            </w:r>
            <w:r w:rsidR="006A2EF1">
              <w:rPr>
                <w:rFonts w:cs="Arial"/>
                <w:lang w:eastAsia="en-AU"/>
              </w:rPr>
              <w:t>4</w:t>
            </w:r>
            <w:r w:rsidR="00EC64A0">
              <w:rPr>
                <w:rFonts w:cs="Arial"/>
                <w:lang w:eastAsia="en-AU"/>
              </w:rPr>
              <w:t>90</w:t>
            </w:r>
            <w:r w:rsidR="006A2EF1" w:rsidRPr="001E44F0">
              <w:rPr>
                <w:rFonts w:cs="Arial"/>
                <w:lang w:eastAsia="en-AU"/>
              </w:rPr>
              <w:t xml:space="preserve"> </w:t>
            </w:r>
            <w:r w:rsidRPr="001E44F0">
              <w:rPr>
                <w:rFonts w:cs="Arial"/>
                <w:lang w:eastAsia="en-AU"/>
              </w:rPr>
              <w:t xml:space="preserve">early pregnancy losses, </w:t>
            </w:r>
            <w:r w:rsidR="006A2EF1">
              <w:rPr>
                <w:rFonts w:cs="Arial"/>
                <w:lang w:eastAsia="en-AU"/>
              </w:rPr>
              <w:t>9</w:t>
            </w:r>
            <w:r w:rsidR="00EC64A0">
              <w:rPr>
                <w:rFonts w:cs="Arial"/>
                <w:lang w:eastAsia="en-AU"/>
              </w:rPr>
              <w:t>2.2</w:t>
            </w:r>
            <w:r w:rsidRPr="001E44F0">
              <w:rPr>
                <w:rFonts w:cs="Arial"/>
                <w:lang w:eastAsia="en-AU"/>
              </w:rPr>
              <w:t xml:space="preserve">% were </w:t>
            </w:r>
            <w:r w:rsidRPr="0032580D">
              <w:rPr>
                <w:rFonts w:cs="Arial"/>
                <w:lang w:eastAsia="en-AU"/>
              </w:rPr>
              <w:t xml:space="preserve">miscarriages, </w:t>
            </w:r>
            <w:r w:rsidR="00EC64A0">
              <w:rPr>
                <w:rFonts w:cs="Arial"/>
                <w:lang w:eastAsia="en-AU"/>
              </w:rPr>
              <w:t>4.3</w:t>
            </w:r>
            <w:r w:rsidRPr="0032580D">
              <w:rPr>
                <w:rFonts w:cs="Arial"/>
                <w:lang w:eastAsia="en-AU"/>
              </w:rPr>
              <w:t>% were due</w:t>
            </w:r>
            <w:r w:rsidRPr="001E44F0">
              <w:rPr>
                <w:rFonts w:cs="Arial"/>
                <w:lang w:eastAsia="en-AU"/>
              </w:rPr>
              <w:t xml:space="preserve"> to termination of pregnancy, and </w:t>
            </w:r>
            <w:r w:rsidR="006A2EF1">
              <w:rPr>
                <w:rFonts w:cs="Arial"/>
                <w:lang w:eastAsia="en-AU"/>
              </w:rPr>
              <w:t>3.</w:t>
            </w:r>
            <w:r w:rsidR="00EC64A0">
              <w:rPr>
                <w:rFonts w:cs="Arial"/>
                <w:lang w:eastAsia="en-AU"/>
              </w:rPr>
              <w:t>5</w:t>
            </w:r>
            <w:r w:rsidR="00230D3C">
              <w:rPr>
                <w:rFonts w:cs="Arial"/>
                <w:lang w:eastAsia="en-AU"/>
              </w:rPr>
              <w:t>%</w:t>
            </w:r>
            <w:r w:rsidRPr="001E44F0">
              <w:rPr>
                <w:rFonts w:cs="Arial"/>
                <w:lang w:eastAsia="en-AU"/>
              </w:rPr>
              <w:t xml:space="preserve"> were ectopic/heterotopic pregnanci</w:t>
            </w:r>
            <w:r w:rsidRPr="008436D1">
              <w:rPr>
                <w:rFonts w:cs="Arial"/>
                <w:lang w:eastAsia="en-AU"/>
              </w:rPr>
              <w:t>es</w:t>
            </w:r>
            <w:r w:rsidRPr="00617F6B">
              <w:rPr>
                <w:rFonts w:cs="Arial"/>
                <w:lang w:eastAsia="en-AU"/>
              </w:rPr>
              <w:t xml:space="preserve">. </w:t>
            </w:r>
            <w:r w:rsidRPr="00314BF8">
              <w:rPr>
                <w:rFonts w:cs="Arial"/>
                <w:lang w:eastAsia="en-AU"/>
              </w:rPr>
              <w:t>Pregnancies following SET resulted in a lower rate of early pregnancy loss (</w:t>
            </w:r>
            <w:r w:rsidR="006A2EF1">
              <w:rPr>
                <w:rFonts w:cs="Arial"/>
                <w:lang w:eastAsia="en-AU"/>
              </w:rPr>
              <w:t>1</w:t>
            </w:r>
            <w:r w:rsidR="00C65840">
              <w:rPr>
                <w:rFonts w:cs="Arial"/>
                <w:lang w:eastAsia="en-AU"/>
              </w:rPr>
              <w:t>9</w:t>
            </w:r>
            <w:r w:rsidR="009675BE">
              <w:rPr>
                <w:rFonts w:cs="Arial"/>
                <w:lang w:eastAsia="en-AU"/>
              </w:rPr>
              <w:t>.3</w:t>
            </w:r>
            <w:r w:rsidRPr="00314BF8">
              <w:rPr>
                <w:rFonts w:cs="Arial"/>
                <w:lang w:eastAsia="en-AU"/>
              </w:rPr>
              <w:t>%) than pregnancies following DET</w:t>
            </w:r>
            <w:r w:rsidR="00DD481F" w:rsidRPr="00314BF8">
              <w:rPr>
                <w:rFonts w:cs="Arial"/>
                <w:lang w:eastAsia="en-AU"/>
              </w:rPr>
              <w:t xml:space="preserve"> (</w:t>
            </w:r>
            <w:r w:rsidR="006A2EF1">
              <w:rPr>
                <w:rFonts w:cs="Arial"/>
                <w:lang w:eastAsia="en-AU"/>
              </w:rPr>
              <w:t>2</w:t>
            </w:r>
            <w:r w:rsidR="00C65840">
              <w:rPr>
                <w:rFonts w:cs="Arial"/>
                <w:lang w:eastAsia="en-AU"/>
              </w:rPr>
              <w:t>3.8</w:t>
            </w:r>
            <w:r w:rsidR="00DD481F" w:rsidRPr="00314BF8">
              <w:rPr>
                <w:rFonts w:cs="Arial"/>
                <w:lang w:eastAsia="en-AU"/>
              </w:rPr>
              <w:t>%</w:t>
            </w:r>
            <w:r w:rsidRPr="00314BF8">
              <w:rPr>
                <w:rFonts w:cs="Arial"/>
                <w:lang w:eastAsia="en-AU"/>
              </w:rPr>
              <w:t>).</w:t>
            </w:r>
          </w:p>
          <w:p w14:paraId="4C979A06" w14:textId="77777777" w:rsidR="009303CD" w:rsidRPr="00617599" w:rsidRDefault="009303CD">
            <w:pPr>
              <w:pStyle w:val="Caption"/>
              <w:rPr>
                <w:rFonts w:eastAsia="Times New Roman" w:cs="Arial"/>
                <w:lang w:eastAsia="en-AU"/>
              </w:rPr>
            </w:pPr>
          </w:p>
        </w:tc>
      </w:tr>
      <w:tr w:rsidR="00B9209C" w:rsidRPr="00617599" w14:paraId="6116E6AD" w14:textId="77777777" w:rsidTr="00952173">
        <w:trPr>
          <w:gridAfter w:val="1"/>
          <w:wAfter w:w="54" w:type="pct"/>
          <w:tblHeader/>
          <w:tblCellSpacing w:w="0" w:type="dxa"/>
        </w:trPr>
        <w:tc>
          <w:tcPr>
            <w:tcW w:w="4946" w:type="pct"/>
            <w:gridSpan w:val="12"/>
            <w:tcBorders>
              <w:top w:val="nil"/>
              <w:left w:val="nil"/>
              <w:bottom w:val="nil"/>
              <w:right w:val="nil"/>
            </w:tcBorders>
            <w:tcMar>
              <w:top w:w="0" w:type="dxa"/>
              <w:left w:w="0" w:type="dxa"/>
              <w:bottom w:w="0" w:type="dxa"/>
              <w:right w:w="0" w:type="dxa"/>
            </w:tcMar>
            <w:vAlign w:val="center"/>
            <w:hideMark/>
          </w:tcPr>
          <w:p w14:paraId="35783F08" w14:textId="2B143FF3" w:rsidR="00B9209C" w:rsidRPr="00617599" w:rsidRDefault="00B9209C" w:rsidP="00E5087D">
            <w:pPr>
              <w:pStyle w:val="Caption"/>
              <w:spacing w:before="60" w:line="260" w:lineRule="atLeast"/>
              <w:rPr>
                <w:rFonts w:eastAsia="Times New Roman"/>
                <w:lang w:eastAsia="en-AU"/>
              </w:rPr>
            </w:pPr>
            <w:bookmarkStart w:id="327" w:name="_Toc158026570"/>
            <w:r w:rsidRPr="00617599">
              <w:rPr>
                <w:rFonts w:eastAsia="Times New Roman"/>
                <w:lang w:eastAsia="en-AU"/>
              </w:rPr>
              <w:t xml:space="preserve">Table </w:t>
            </w:r>
            <w:r w:rsidR="00F400A5">
              <w:rPr>
                <w:rFonts w:eastAsia="Times New Roman"/>
                <w:lang w:eastAsia="en-AU"/>
              </w:rPr>
              <w:t>21</w:t>
            </w:r>
            <w:r w:rsidRPr="00617599">
              <w:rPr>
                <w:rFonts w:eastAsia="Times New Roman"/>
                <w:lang w:eastAsia="en-AU"/>
              </w:rPr>
              <w:t xml:space="preserve">: </w:t>
            </w:r>
            <w:r>
              <w:rPr>
                <w:rFonts w:eastAsia="Times New Roman"/>
                <w:lang w:eastAsia="en-AU"/>
              </w:rPr>
              <w:t>Early pregnancy losses</w:t>
            </w:r>
            <w:r w:rsidRPr="00617599">
              <w:rPr>
                <w:rFonts w:eastAsia="Times New Roman"/>
                <w:lang w:eastAsia="en-AU"/>
              </w:rPr>
              <w:t xml:space="preserve"> by </w:t>
            </w:r>
            <w:r>
              <w:rPr>
                <w:rFonts w:eastAsia="Times New Roman"/>
                <w:lang w:eastAsia="en-AU"/>
              </w:rPr>
              <w:t>pregnancy</w:t>
            </w:r>
            <w:r w:rsidRPr="00617599">
              <w:rPr>
                <w:rFonts w:eastAsia="Times New Roman"/>
                <w:lang w:eastAsia="en-AU"/>
              </w:rPr>
              <w:t xml:space="preserve"> outcome and treatment type, </w:t>
            </w:r>
            <w:r w:rsidR="00A501CE">
              <w:rPr>
                <w:rFonts w:eastAsia="Times New Roman"/>
                <w:lang w:eastAsia="en-AU"/>
              </w:rPr>
              <w:t>New Zealand, 20</w:t>
            </w:r>
            <w:r w:rsidR="00EA3A07">
              <w:rPr>
                <w:rFonts w:eastAsia="Times New Roman"/>
                <w:lang w:eastAsia="en-AU"/>
              </w:rPr>
              <w:t>2</w:t>
            </w:r>
            <w:r w:rsidR="005E43D6">
              <w:rPr>
                <w:rFonts w:eastAsia="Times New Roman"/>
                <w:lang w:eastAsia="en-AU"/>
              </w:rPr>
              <w:t>1</w:t>
            </w:r>
            <w:bookmarkEnd w:id="327"/>
            <w:r w:rsidR="00A501CE">
              <w:rPr>
                <w:rFonts w:eastAsia="Times New Roman"/>
                <w:lang w:eastAsia="en-AU"/>
              </w:rPr>
              <w:t xml:space="preserve"> </w:t>
            </w:r>
          </w:p>
        </w:tc>
      </w:tr>
      <w:tr w:rsidR="00B9209C" w:rsidRPr="00617599" w14:paraId="52276D05" w14:textId="77777777" w:rsidTr="00952173">
        <w:trPr>
          <w:gridAfter w:val="1"/>
          <w:wAfter w:w="54" w:type="pct"/>
          <w:trHeight w:val="227"/>
          <w:tblHeader/>
          <w:tblCellSpacing w:w="0" w:type="dxa"/>
        </w:trPr>
        <w:tc>
          <w:tcPr>
            <w:tcW w:w="1117" w:type="pct"/>
            <w:tcBorders>
              <w:top w:val="single" w:sz="12" w:space="0" w:color="000000"/>
              <w:left w:val="nil"/>
              <w:bottom w:val="nil"/>
              <w:right w:val="nil"/>
            </w:tcBorders>
            <w:tcMar>
              <w:top w:w="28" w:type="dxa"/>
              <w:left w:w="0" w:type="dxa"/>
              <w:bottom w:w="0" w:type="dxa"/>
              <w:right w:w="0" w:type="dxa"/>
            </w:tcMar>
            <w:vAlign w:val="center"/>
            <w:hideMark/>
          </w:tcPr>
          <w:p w14:paraId="469C73B5" w14:textId="77777777" w:rsidR="00B9209C" w:rsidRPr="00617599" w:rsidRDefault="00B9209C" w:rsidP="00E5087D">
            <w:pPr>
              <w:spacing w:after="0" w:line="276" w:lineRule="auto"/>
              <w:rPr>
                <w:rFonts w:ascii="Arial" w:eastAsia="Times New Roman" w:hAnsi="Arial" w:cs="Arial"/>
                <w:sz w:val="16"/>
                <w:szCs w:val="16"/>
                <w:lang w:eastAsia="en-AU"/>
              </w:rPr>
            </w:pPr>
          </w:p>
        </w:tc>
        <w:tc>
          <w:tcPr>
            <w:tcW w:w="2102" w:type="pct"/>
            <w:gridSpan w:val="5"/>
            <w:tcBorders>
              <w:top w:val="single" w:sz="12" w:space="0" w:color="000000"/>
              <w:left w:val="nil"/>
              <w:bottom w:val="single" w:sz="6" w:space="0" w:color="000000"/>
              <w:right w:val="nil"/>
            </w:tcBorders>
            <w:tcMar>
              <w:top w:w="28" w:type="dxa"/>
              <w:left w:w="0" w:type="dxa"/>
              <w:bottom w:w="28" w:type="dxa"/>
              <w:right w:w="0" w:type="dxa"/>
            </w:tcMar>
            <w:vAlign w:val="center"/>
            <w:hideMark/>
          </w:tcPr>
          <w:p w14:paraId="7B0FC011" w14:textId="77777777" w:rsidR="00B9209C" w:rsidRPr="00617599" w:rsidRDefault="00B9209C" w:rsidP="00E5087D">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Autologous </w:t>
            </w:r>
          </w:p>
        </w:tc>
        <w:tc>
          <w:tcPr>
            <w:tcW w:w="79" w:type="pct"/>
            <w:tcBorders>
              <w:top w:val="single" w:sz="12" w:space="0" w:color="000000"/>
              <w:left w:val="nil"/>
              <w:bottom w:val="nil"/>
              <w:right w:val="nil"/>
            </w:tcBorders>
            <w:tcMar>
              <w:top w:w="28" w:type="dxa"/>
              <w:left w:w="0" w:type="dxa"/>
              <w:bottom w:w="0" w:type="dxa"/>
              <w:right w:w="0" w:type="dxa"/>
            </w:tcMar>
            <w:vAlign w:val="center"/>
            <w:hideMark/>
          </w:tcPr>
          <w:p w14:paraId="264839CC" w14:textId="77777777" w:rsidR="00B9209C" w:rsidRPr="00617599" w:rsidRDefault="00B9209C" w:rsidP="00E5087D">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1648" w:type="pct"/>
            <w:gridSpan w:val="5"/>
            <w:tcBorders>
              <w:top w:val="single" w:sz="12" w:space="0" w:color="000000"/>
              <w:left w:val="nil"/>
              <w:bottom w:val="nil"/>
              <w:right w:val="nil"/>
            </w:tcBorders>
            <w:tcMar>
              <w:top w:w="28" w:type="dxa"/>
              <w:left w:w="0" w:type="dxa"/>
              <w:bottom w:w="0" w:type="dxa"/>
              <w:right w:w="0" w:type="dxa"/>
            </w:tcMar>
            <w:vAlign w:val="center"/>
            <w:hideMark/>
          </w:tcPr>
          <w:p w14:paraId="3BDE170F" w14:textId="77777777" w:rsidR="00B9209C" w:rsidRPr="00617599" w:rsidRDefault="00B9209C" w:rsidP="00E5087D">
            <w:pPr>
              <w:spacing w:after="0" w:line="276" w:lineRule="auto"/>
              <w:rPr>
                <w:rFonts w:ascii="Arial" w:eastAsia="Times New Roman" w:hAnsi="Arial" w:cs="Arial"/>
                <w:b/>
                <w:bCs/>
                <w:sz w:val="16"/>
                <w:szCs w:val="16"/>
                <w:lang w:eastAsia="en-AU"/>
              </w:rPr>
            </w:pPr>
          </w:p>
        </w:tc>
      </w:tr>
      <w:tr w:rsidR="00F00A63" w:rsidRPr="00617599" w14:paraId="52D67290" w14:textId="77777777" w:rsidTr="00952173">
        <w:trPr>
          <w:gridAfter w:val="1"/>
          <w:wAfter w:w="54" w:type="pct"/>
          <w:trHeight w:val="227"/>
          <w:tblHeader/>
          <w:tblCellSpacing w:w="0" w:type="dxa"/>
        </w:trPr>
        <w:tc>
          <w:tcPr>
            <w:tcW w:w="1117" w:type="pct"/>
            <w:tcBorders>
              <w:top w:val="nil"/>
              <w:left w:val="nil"/>
              <w:bottom w:val="nil"/>
              <w:right w:val="nil"/>
            </w:tcBorders>
            <w:tcMar>
              <w:top w:w="0" w:type="dxa"/>
              <w:left w:w="0" w:type="dxa"/>
              <w:bottom w:w="0" w:type="dxa"/>
              <w:right w:w="0" w:type="dxa"/>
            </w:tcMar>
            <w:vAlign w:val="center"/>
            <w:hideMark/>
          </w:tcPr>
          <w:p w14:paraId="4D8E3919" w14:textId="77777777" w:rsidR="00B9209C" w:rsidRPr="00617599" w:rsidRDefault="00B9209C" w:rsidP="00E5087D">
            <w:pPr>
              <w:spacing w:after="0" w:line="276" w:lineRule="auto"/>
              <w:jc w:val="center"/>
              <w:rPr>
                <w:rFonts w:ascii="Arial" w:eastAsia="Times New Roman" w:hAnsi="Arial" w:cs="Arial"/>
                <w:sz w:val="16"/>
                <w:szCs w:val="16"/>
                <w:lang w:eastAsia="en-AU"/>
              </w:rPr>
            </w:pPr>
          </w:p>
        </w:tc>
        <w:tc>
          <w:tcPr>
            <w:tcW w:w="1007" w:type="pct"/>
            <w:gridSpan w:val="2"/>
            <w:tcBorders>
              <w:top w:val="nil"/>
              <w:left w:val="nil"/>
              <w:bottom w:val="single" w:sz="6" w:space="0" w:color="000000"/>
              <w:right w:val="nil"/>
            </w:tcBorders>
            <w:tcMar>
              <w:top w:w="0" w:type="dxa"/>
              <w:left w:w="0" w:type="dxa"/>
              <w:bottom w:w="28" w:type="dxa"/>
              <w:right w:w="0" w:type="dxa"/>
            </w:tcMar>
            <w:vAlign w:val="center"/>
            <w:hideMark/>
          </w:tcPr>
          <w:p w14:paraId="64315D94" w14:textId="77777777" w:rsidR="00B9209C" w:rsidRPr="00617599" w:rsidRDefault="00B9209C" w:rsidP="00E5087D">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Fresh </w:t>
            </w:r>
          </w:p>
        </w:tc>
        <w:tc>
          <w:tcPr>
            <w:tcW w:w="25" w:type="pct"/>
            <w:tcBorders>
              <w:top w:val="nil"/>
              <w:left w:val="nil"/>
              <w:bottom w:val="nil"/>
              <w:right w:val="nil"/>
            </w:tcBorders>
            <w:tcMar>
              <w:top w:w="0" w:type="dxa"/>
              <w:left w:w="0" w:type="dxa"/>
              <w:bottom w:w="0" w:type="dxa"/>
              <w:right w:w="0" w:type="dxa"/>
            </w:tcMar>
            <w:vAlign w:val="center"/>
            <w:hideMark/>
          </w:tcPr>
          <w:p w14:paraId="54DFED60" w14:textId="77777777" w:rsidR="00B9209C" w:rsidRPr="00617599" w:rsidRDefault="00B9209C" w:rsidP="00E5087D">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1070" w:type="pct"/>
            <w:gridSpan w:val="2"/>
            <w:tcBorders>
              <w:top w:val="nil"/>
              <w:left w:val="nil"/>
              <w:bottom w:val="single" w:sz="6" w:space="0" w:color="000000"/>
              <w:right w:val="nil"/>
            </w:tcBorders>
            <w:tcMar>
              <w:top w:w="0" w:type="dxa"/>
              <w:left w:w="0" w:type="dxa"/>
              <w:bottom w:w="28" w:type="dxa"/>
              <w:right w:w="0" w:type="dxa"/>
            </w:tcMar>
            <w:vAlign w:val="center"/>
            <w:hideMark/>
          </w:tcPr>
          <w:p w14:paraId="2DA26A52" w14:textId="77777777" w:rsidR="00B9209C" w:rsidRPr="00617599" w:rsidRDefault="00B9209C" w:rsidP="00E5087D">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Thaw </w:t>
            </w:r>
          </w:p>
        </w:tc>
        <w:tc>
          <w:tcPr>
            <w:tcW w:w="79" w:type="pct"/>
            <w:tcBorders>
              <w:top w:val="nil"/>
              <w:left w:val="nil"/>
              <w:bottom w:val="nil"/>
              <w:right w:val="nil"/>
            </w:tcBorders>
            <w:tcMar>
              <w:top w:w="0" w:type="dxa"/>
              <w:left w:w="0" w:type="dxa"/>
              <w:bottom w:w="0" w:type="dxa"/>
              <w:right w:w="0" w:type="dxa"/>
            </w:tcMar>
            <w:vAlign w:val="center"/>
            <w:hideMark/>
          </w:tcPr>
          <w:p w14:paraId="4AD59B96" w14:textId="77777777" w:rsidR="00B9209C" w:rsidRPr="00617599" w:rsidRDefault="00B9209C" w:rsidP="00E5087D">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864" w:type="pct"/>
            <w:gridSpan w:val="2"/>
            <w:tcBorders>
              <w:top w:val="nil"/>
              <w:left w:val="nil"/>
              <w:bottom w:val="single" w:sz="6" w:space="0" w:color="000000"/>
              <w:right w:val="nil"/>
            </w:tcBorders>
            <w:tcMar>
              <w:top w:w="0" w:type="dxa"/>
              <w:left w:w="0" w:type="dxa"/>
              <w:bottom w:w="28" w:type="dxa"/>
              <w:right w:w="0" w:type="dxa"/>
            </w:tcMar>
            <w:vAlign w:val="center"/>
            <w:hideMark/>
          </w:tcPr>
          <w:p w14:paraId="7FBEB47C" w14:textId="77777777" w:rsidR="00B9209C" w:rsidRPr="00617599" w:rsidRDefault="00B9209C" w:rsidP="00E5087D">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Oocyte/embryo   recipient </w:t>
            </w:r>
          </w:p>
        </w:tc>
        <w:tc>
          <w:tcPr>
            <w:tcW w:w="25" w:type="pct"/>
            <w:tcBorders>
              <w:top w:val="nil"/>
              <w:left w:val="nil"/>
              <w:bottom w:val="nil"/>
              <w:right w:val="nil"/>
            </w:tcBorders>
            <w:tcMar>
              <w:top w:w="0" w:type="dxa"/>
              <w:left w:w="0" w:type="dxa"/>
              <w:bottom w:w="0" w:type="dxa"/>
              <w:right w:w="0" w:type="dxa"/>
            </w:tcMar>
            <w:vAlign w:val="center"/>
            <w:hideMark/>
          </w:tcPr>
          <w:p w14:paraId="521F07EF" w14:textId="77777777" w:rsidR="00B9209C" w:rsidRPr="00617599" w:rsidRDefault="00B9209C" w:rsidP="00E5087D">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759" w:type="pct"/>
            <w:gridSpan w:val="2"/>
            <w:tcBorders>
              <w:top w:val="nil"/>
              <w:left w:val="nil"/>
              <w:bottom w:val="single" w:sz="6" w:space="0" w:color="000000"/>
              <w:right w:val="nil"/>
            </w:tcBorders>
            <w:tcMar>
              <w:top w:w="0" w:type="dxa"/>
              <w:left w:w="0" w:type="dxa"/>
              <w:bottom w:w="28" w:type="dxa"/>
              <w:right w:w="0" w:type="dxa"/>
            </w:tcMar>
            <w:vAlign w:val="center"/>
            <w:hideMark/>
          </w:tcPr>
          <w:p w14:paraId="0B8044A7" w14:textId="77777777" w:rsidR="00B9209C" w:rsidRPr="00617599" w:rsidRDefault="00B9209C" w:rsidP="00E5087D">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All </w:t>
            </w:r>
          </w:p>
        </w:tc>
      </w:tr>
      <w:tr w:rsidR="0032580D" w:rsidRPr="00617599" w14:paraId="042AFB8E" w14:textId="77777777" w:rsidTr="00952173">
        <w:trPr>
          <w:gridAfter w:val="1"/>
          <w:wAfter w:w="54" w:type="pct"/>
          <w:trHeight w:val="227"/>
          <w:tblHeader/>
          <w:tblCellSpacing w:w="0" w:type="dxa"/>
        </w:trPr>
        <w:tc>
          <w:tcPr>
            <w:tcW w:w="1117" w:type="pct"/>
            <w:tcBorders>
              <w:top w:val="nil"/>
              <w:left w:val="nil"/>
              <w:bottom w:val="single" w:sz="6" w:space="0" w:color="000000"/>
              <w:right w:val="nil"/>
            </w:tcBorders>
            <w:tcMar>
              <w:top w:w="0" w:type="dxa"/>
              <w:left w:w="0" w:type="dxa"/>
              <w:bottom w:w="28" w:type="dxa"/>
              <w:right w:w="0" w:type="dxa"/>
            </w:tcMar>
            <w:vAlign w:val="center"/>
            <w:hideMark/>
          </w:tcPr>
          <w:p w14:paraId="07F5EB7D" w14:textId="77777777" w:rsidR="00B9209C" w:rsidRPr="00617599" w:rsidRDefault="00B9209C" w:rsidP="00E5087D">
            <w:pPr>
              <w:spacing w:after="0" w:line="276" w:lineRule="auto"/>
              <w:rPr>
                <w:rFonts w:ascii="Arial" w:eastAsia="Times New Roman" w:hAnsi="Arial" w:cs="Arial"/>
                <w:b/>
                <w:bCs/>
                <w:sz w:val="16"/>
                <w:szCs w:val="16"/>
                <w:lang w:eastAsia="en-AU"/>
              </w:rPr>
            </w:pPr>
          </w:p>
        </w:tc>
        <w:tc>
          <w:tcPr>
            <w:tcW w:w="613" w:type="pct"/>
            <w:tcBorders>
              <w:top w:val="nil"/>
              <w:left w:val="nil"/>
              <w:bottom w:val="single" w:sz="6" w:space="0" w:color="000000"/>
              <w:right w:val="nil"/>
            </w:tcBorders>
            <w:tcMar>
              <w:top w:w="0" w:type="dxa"/>
              <w:left w:w="0" w:type="dxa"/>
              <w:bottom w:w="28" w:type="dxa"/>
              <w:right w:w="0" w:type="dxa"/>
            </w:tcMar>
            <w:vAlign w:val="center"/>
          </w:tcPr>
          <w:p w14:paraId="0057C07A" w14:textId="77777777" w:rsidR="00B9209C" w:rsidRPr="00617599" w:rsidRDefault="00B9209C" w:rsidP="00E5087D">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394" w:type="pct"/>
            <w:tcBorders>
              <w:top w:val="nil"/>
              <w:left w:val="nil"/>
              <w:bottom w:val="single" w:sz="6" w:space="0" w:color="000000"/>
              <w:right w:val="nil"/>
            </w:tcBorders>
            <w:tcMar>
              <w:top w:w="0" w:type="dxa"/>
              <w:left w:w="0" w:type="dxa"/>
              <w:bottom w:w="28" w:type="dxa"/>
              <w:right w:w="0" w:type="dxa"/>
            </w:tcMar>
            <w:vAlign w:val="center"/>
          </w:tcPr>
          <w:p w14:paraId="417FC649" w14:textId="77777777" w:rsidR="00B9209C" w:rsidRPr="00617599" w:rsidRDefault="00B9209C" w:rsidP="00E5087D">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25" w:type="pct"/>
            <w:tcBorders>
              <w:top w:val="nil"/>
              <w:left w:val="nil"/>
              <w:bottom w:val="single" w:sz="6" w:space="0" w:color="000000"/>
              <w:right w:val="nil"/>
            </w:tcBorders>
            <w:tcMar>
              <w:top w:w="0" w:type="dxa"/>
              <w:left w:w="0" w:type="dxa"/>
              <w:bottom w:w="28" w:type="dxa"/>
              <w:right w:w="0" w:type="dxa"/>
            </w:tcMar>
            <w:vAlign w:val="center"/>
            <w:hideMark/>
          </w:tcPr>
          <w:p w14:paraId="5DE6C0AD" w14:textId="77777777" w:rsidR="00B9209C" w:rsidRPr="00617599" w:rsidRDefault="00B9209C" w:rsidP="00E5087D">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599" w:type="pct"/>
            <w:tcBorders>
              <w:top w:val="nil"/>
              <w:left w:val="nil"/>
              <w:bottom w:val="single" w:sz="6" w:space="0" w:color="000000"/>
              <w:right w:val="nil"/>
            </w:tcBorders>
            <w:tcMar>
              <w:top w:w="0" w:type="dxa"/>
              <w:left w:w="0" w:type="dxa"/>
              <w:bottom w:w="28" w:type="dxa"/>
              <w:right w:w="0" w:type="dxa"/>
            </w:tcMar>
            <w:vAlign w:val="center"/>
            <w:hideMark/>
          </w:tcPr>
          <w:p w14:paraId="787A931F" w14:textId="77777777" w:rsidR="00B9209C" w:rsidRPr="00617599" w:rsidRDefault="00B9209C" w:rsidP="00E5087D">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71" w:type="pct"/>
            <w:tcBorders>
              <w:top w:val="nil"/>
              <w:left w:val="nil"/>
              <w:bottom w:val="single" w:sz="6" w:space="0" w:color="000000"/>
              <w:right w:val="nil"/>
            </w:tcBorders>
            <w:tcMar>
              <w:top w:w="0" w:type="dxa"/>
              <w:left w:w="0" w:type="dxa"/>
              <w:bottom w:w="28" w:type="dxa"/>
              <w:right w:w="0" w:type="dxa"/>
            </w:tcMar>
            <w:vAlign w:val="center"/>
            <w:hideMark/>
          </w:tcPr>
          <w:p w14:paraId="116B0A25" w14:textId="77777777" w:rsidR="00B9209C" w:rsidRPr="00617599" w:rsidRDefault="00B9209C" w:rsidP="00E5087D">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79" w:type="pct"/>
            <w:tcBorders>
              <w:top w:val="nil"/>
              <w:left w:val="nil"/>
              <w:bottom w:val="single" w:sz="6" w:space="0" w:color="000000"/>
              <w:right w:val="nil"/>
            </w:tcBorders>
            <w:tcMar>
              <w:top w:w="0" w:type="dxa"/>
              <w:left w:w="0" w:type="dxa"/>
              <w:bottom w:w="28" w:type="dxa"/>
              <w:right w:w="0" w:type="dxa"/>
            </w:tcMar>
            <w:vAlign w:val="center"/>
            <w:hideMark/>
          </w:tcPr>
          <w:p w14:paraId="5270E6E9" w14:textId="77777777" w:rsidR="00B9209C" w:rsidRPr="00617599" w:rsidRDefault="00B9209C" w:rsidP="00E5087D">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483" w:type="pct"/>
            <w:tcBorders>
              <w:top w:val="nil"/>
              <w:left w:val="nil"/>
              <w:bottom w:val="single" w:sz="6" w:space="0" w:color="000000"/>
              <w:right w:val="nil"/>
            </w:tcBorders>
            <w:tcMar>
              <w:top w:w="0" w:type="dxa"/>
              <w:left w:w="0" w:type="dxa"/>
              <w:bottom w:w="28" w:type="dxa"/>
              <w:right w:w="0" w:type="dxa"/>
            </w:tcMar>
            <w:vAlign w:val="center"/>
            <w:hideMark/>
          </w:tcPr>
          <w:p w14:paraId="50575EB2" w14:textId="77777777" w:rsidR="00B9209C" w:rsidRPr="00617599" w:rsidRDefault="00B9209C" w:rsidP="00E5087D">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381" w:type="pct"/>
            <w:tcBorders>
              <w:top w:val="nil"/>
              <w:left w:val="nil"/>
              <w:bottom w:val="single" w:sz="6" w:space="0" w:color="000000"/>
              <w:right w:val="nil"/>
            </w:tcBorders>
            <w:tcMar>
              <w:top w:w="0" w:type="dxa"/>
              <w:left w:w="0" w:type="dxa"/>
              <w:bottom w:w="28" w:type="dxa"/>
              <w:right w:w="0" w:type="dxa"/>
            </w:tcMar>
            <w:vAlign w:val="center"/>
            <w:hideMark/>
          </w:tcPr>
          <w:p w14:paraId="42D8BBA4" w14:textId="77777777" w:rsidR="00B9209C" w:rsidRPr="00617599" w:rsidRDefault="00B9209C" w:rsidP="00E5087D">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25" w:type="pct"/>
            <w:tcBorders>
              <w:top w:val="nil"/>
              <w:left w:val="nil"/>
              <w:bottom w:val="single" w:sz="6" w:space="0" w:color="000000"/>
              <w:right w:val="nil"/>
            </w:tcBorders>
            <w:tcMar>
              <w:top w:w="0" w:type="dxa"/>
              <w:left w:w="0" w:type="dxa"/>
              <w:bottom w:w="28" w:type="dxa"/>
              <w:right w:w="0" w:type="dxa"/>
            </w:tcMar>
            <w:vAlign w:val="center"/>
            <w:hideMark/>
          </w:tcPr>
          <w:p w14:paraId="0FA3486A" w14:textId="77777777" w:rsidR="00B9209C" w:rsidRPr="00617599" w:rsidRDefault="00B9209C" w:rsidP="00E5087D">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376" w:type="pct"/>
            <w:tcBorders>
              <w:top w:val="nil"/>
              <w:left w:val="nil"/>
              <w:bottom w:val="single" w:sz="6" w:space="0" w:color="000000"/>
              <w:right w:val="nil"/>
            </w:tcBorders>
            <w:tcMar>
              <w:top w:w="0" w:type="dxa"/>
              <w:left w:w="0" w:type="dxa"/>
              <w:bottom w:w="28" w:type="dxa"/>
              <w:right w:w="0" w:type="dxa"/>
            </w:tcMar>
            <w:vAlign w:val="center"/>
            <w:hideMark/>
          </w:tcPr>
          <w:p w14:paraId="061DC914" w14:textId="77777777" w:rsidR="00B9209C" w:rsidRPr="00617599" w:rsidRDefault="00B9209C" w:rsidP="00E5087D">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383" w:type="pct"/>
            <w:tcBorders>
              <w:top w:val="nil"/>
              <w:left w:val="nil"/>
              <w:bottom w:val="single" w:sz="6" w:space="0" w:color="000000"/>
              <w:right w:val="nil"/>
            </w:tcBorders>
            <w:tcMar>
              <w:top w:w="0" w:type="dxa"/>
              <w:left w:w="0" w:type="dxa"/>
              <w:bottom w:w="28" w:type="dxa"/>
              <w:right w:w="0" w:type="dxa"/>
            </w:tcMar>
            <w:vAlign w:val="center"/>
            <w:hideMark/>
          </w:tcPr>
          <w:p w14:paraId="3FB7AB14" w14:textId="77777777" w:rsidR="00B9209C" w:rsidRPr="00617599" w:rsidRDefault="00B9209C" w:rsidP="00E5087D">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r>
      <w:tr w:rsidR="005E43D6" w:rsidRPr="00617599" w14:paraId="3AF4933A" w14:textId="77777777" w:rsidTr="00952173">
        <w:trPr>
          <w:gridAfter w:val="1"/>
          <w:wAfter w:w="54" w:type="pct"/>
          <w:trHeight w:val="227"/>
          <w:tblCellSpacing w:w="0" w:type="dxa"/>
        </w:trPr>
        <w:tc>
          <w:tcPr>
            <w:tcW w:w="1117" w:type="pct"/>
            <w:tcBorders>
              <w:top w:val="nil"/>
              <w:left w:val="nil"/>
              <w:bottom w:val="nil"/>
              <w:right w:val="nil"/>
            </w:tcBorders>
            <w:tcMar>
              <w:top w:w="0" w:type="dxa"/>
              <w:left w:w="0" w:type="dxa"/>
              <w:bottom w:w="0" w:type="dxa"/>
              <w:right w:w="0" w:type="dxa"/>
            </w:tcMar>
            <w:vAlign w:val="center"/>
            <w:hideMark/>
          </w:tcPr>
          <w:p w14:paraId="00012F89" w14:textId="77777777" w:rsidR="005E43D6" w:rsidRPr="00617599" w:rsidRDefault="005E43D6" w:rsidP="005E43D6">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Early pregnancy loss </w:t>
            </w:r>
          </w:p>
        </w:tc>
        <w:tc>
          <w:tcPr>
            <w:tcW w:w="613" w:type="pct"/>
            <w:tcBorders>
              <w:top w:val="nil"/>
              <w:left w:val="nil"/>
              <w:bottom w:val="nil"/>
              <w:right w:val="nil"/>
            </w:tcBorders>
            <w:tcMar>
              <w:top w:w="0" w:type="dxa"/>
              <w:left w:w="0" w:type="dxa"/>
              <w:bottom w:w="0" w:type="dxa"/>
              <w:right w:w="0" w:type="dxa"/>
            </w:tcMar>
            <w:vAlign w:val="bottom"/>
          </w:tcPr>
          <w:p w14:paraId="4889500B" w14:textId="6C699505"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121</w:t>
            </w:r>
          </w:p>
        </w:tc>
        <w:tc>
          <w:tcPr>
            <w:tcW w:w="394" w:type="pct"/>
            <w:tcBorders>
              <w:top w:val="nil"/>
              <w:left w:val="nil"/>
              <w:bottom w:val="nil"/>
              <w:right w:val="nil"/>
            </w:tcBorders>
            <w:tcMar>
              <w:top w:w="0" w:type="dxa"/>
              <w:left w:w="0" w:type="dxa"/>
              <w:bottom w:w="0" w:type="dxa"/>
              <w:right w:w="0" w:type="dxa"/>
            </w:tcMar>
            <w:vAlign w:val="bottom"/>
          </w:tcPr>
          <w:p w14:paraId="56D09575" w14:textId="3290BB50" w:rsidR="005E43D6" w:rsidRPr="0032580D"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20.1</w:t>
            </w:r>
          </w:p>
        </w:tc>
        <w:tc>
          <w:tcPr>
            <w:tcW w:w="25" w:type="pct"/>
            <w:tcBorders>
              <w:top w:val="nil"/>
              <w:left w:val="nil"/>
              <w:bottom w:val="nil"/>
              <w:right w:val="nil"/>
            </w:tcBorders>
            <w:tcMar>
              <w:top w:w="0" w:type="dxa"/>
              <w:left w:w="0" w:type="dxa"/>
              <w:bottom w:w="0" w:type="dxa"/>
              <w:right w:w="0" w:type="dxa"/>
            </w:tcMar>
            <w:vAlign w:val="center"/>
          </w:tcPr>
          <w:p w14:paraId="1B027A94" w14:textId="70448485" w:rsidR="005E43D6" w:rsidRPr="00FE584A"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599" w:type="pct"/>
            <w:tcBorders>
              <w:top w:val="nil"/>
              <w:left w:val="nil"/>
              <w:bottom w:val="nil"/>
              <w:right w:val="nil"/>
            </w:tcBorders>
            <w:tcMar>
              <w:top w:w="0" w:type="dxa"/>
              <w:left w:w="0" w:type="dxa"/>
              <w:bottom w:w="0" w:type="dxa"/>
              <w:right w:w="0" w:type="dxa"/>
            </w:tcMar>
            <w:vAlign w:val="bottom"/>
          </w:tcPr>
          <w:p w14:paraId="492547C5" w14:textId="29A3DE05" w:rsidR="005E43D6" w:rsidRPr="00FE584A"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336</w:t>
            </w:r>
          </w:p>
        </w:tc>
        <w:tc>
          <w:tcPr>
            <w:tcW w:w="471" w:type="pct"/>
            <w:tcBorders>
              <w:top w:val="nil"/>
              <w:left w:val="nil"/>
              <w:bottom w:val="nil"/>
              <w:right w:val="nil"/>
            </w:tcBorders>
            <w:tcMar>
              <w:top w:w="0" w:type="dxa"/>
              <w:left w:w="0" w:type="dxa"/>
              <w:bottom w:w="0" w:type="dxa"/>
              <w:right w:w="0" w:type="dxa"/>
            </w:tcMar>
            <w:vAlign w:val="bottom"/>
          </w:tcPr>
          <w:p w14:paraId="363F3FC3" w14:textId="40EBF242" w:rsidR="005E43D6" w:rsidRPr="00FE584A"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19.0</w:t>
            </w:r>
          </w:p>
        </w:tc>
        <w:tc>
          <w:tcPr>
            <w:tcW w:w="79" w:type="pct"/>
            <w:tcBorders>
              <w:top w:val="nil"/>
              <w:left w:val="nil"/>
              <w:bottom w:val="nil"/>
              <w:right w:val="nil"/>
            </w:tcBorders>
            <w:tcMar>
              <w:top w:w="0" w:type="dxa"/>
              <w:left w:w="0" w:type="dxa"/>
              <w:bottom w:w="0" w:type="dxa"/>
              <w:right w:w="0" w:type="dxa"/>
            </w:tcMar>
            <w:vAlign w:val="center"/>
          </w:tcPr>
          <w:p w14:paraId="337DE499" w14:textId="30C96EDC" w:rsidR="005E43D6" w:rsidRPr="00FE584A"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83" w:type="pct"/>
            <w:tcBorders>
              <w:top w:val="nil"/>
              <w:left w:val="nil"/>
              <w:bottom w:val="nil"/>
              <w:right w:val="nil"/>
            </w:tcBorders>
            <w:tcMar>
              <w:top w:w="0" w:type="dxa"/>
              <w:left w:w="0" w:type="dxa"/>
              <w:bottom w:w="0" w:type="dxa"/>
              <w:right w:w="0" w:type="dxa"/>
            </w:tcMar>
            <w:vAlign w:val="bottom"/>
          </w:tcPr>
          <w:p w14:paraId="7FB7835E" w14:textId="3CEAE194" w:rsidR="005E43D6" w:rsidRPr="00FE584A"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33</w:t>
            </w:r>
          </w:p>
        </w:tc>
        <w:tc>
          <w:tcPr>
            <w:tcW w:w="381" w:type="pct"/>
            <w:tcBorders>
              <w:top w:val="nil"/>
              <w:left w:val="nil"/>
              <w:bottom w:val="nil"/>
              <w:right w:val="nil"/>
            </w:tcBorders>
            <w:tcMar>
              <w:top w:w="0" w:type="dxa"/>
              <w:left w:w="0" w:type="dxa"/>
              <w:bottom w:w="0" w:type="dxa"/>
              <w:right w:w="0" w:type="dxa"/>
            </w:tcMar>
            <w:vAlign w:val="bottom"/>
          </w:tcPr>
          <w:p w14:paraId="3E37996C" w14:textId="44838A96" w:rsidR="005E43D6" w:rsidRPr="00FE584A"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21.0</w:t>
            </w:r>
          </w:p>
        </w:tc>
        <w:tc>
          <w:tcPr>
            <w:tcW w:w="25" w:type="pct"/>
            <w:tcBorders>
              <w:top w:val="nil"/>
              <w:left w:val="nil"/>
              <w:bottom w:val="nil"/>
              <w:right w:val="nil"/>
            </w:tcBorders>
            <w:tcMar>
              <w:top w:w="0" w:type="dxa"/>
              <w:left w:w="0" w:type="dxa"/>
              <w:bottom w:w="0" w:type="dxa"/>
              <w:right w:w="0" w:type="dxa"/>
            </w:tcMar>
            <w:vAlign w:val="center"/>
          </w:tcPr>
          <w:p w14:paraId="760589D7" w14:textId="2EC55062" w:rsidR="005E43D6" w:rsidRPr="00FE584A" w:rsidRDefault="005E43D6" w:rsidP="005E43D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376" w:type="pct"/>
            <w:tcBorders>
              <w:top w:val="nil"/>
              <w:left w:val="nil"/>
              <w:bottom w:val="nil"/>
              <w:right w:val="nil"/>
            </w:tcBorders>
            <w:tcMar>
              <w:top w:w="0" w:type="dxa"/>
              <w:left w:w="0" w:type="dxa"/>
              <w:bottom w:w="0" w:type="dxa"/>
              <w:right w:w="0" w:type="dxa"/>
            </w:tcMar>
            <w:vAlign w:val="bottom"/>
          </w:tcPr>
          <w:p w14:paraId="4D85F37E" w14:textId="15C41F4B" w:rsidR="005E43D6" w:rsidRPr="00FE584A"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490</w:t>
            </w:r>
          </w:p>
        </w:tc>
        <w:tc>
          <w:tcPr>
            <w:tcW w:w="383" w:type="pct"/>
            <w:tcBorders>
              <w:top w:val="nil"/>
              <w:left w:val="nil"/>
              <w:bottom w:val="nil"/>
              <w:right w:val="nil"/>
            </w:tcBorders>
            <w:tcMar>
              <w:top w:w="0" w:type="dxa"/>
              <w:left w:w="0" w:type="dxa"/>
              <w:bottom w:w="0" w:type="dxa"/>
              <w:right w:w="0" w:type="dxa"/>
            </w:tcMar>
            <w:vAlign w:val="bottom"/>
          </w:tcPr>
          <w:p w14:paraId="26DB0251" w14:textId="0417C959" w:rsidR="005E43D6" w:rsidRPr="00FE584A"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19.4</w:t>
            </w:r>
          </w:p>
        </w:tc>
      </w:tr>
      <w:tr w:rsidR="005E43D6" w:rsidRPr="00617599" w14:paraId="38CAB4D3" w14:textId="77777777" w:rsidTr="00952173">
        <w:trPr>
          <w:gridAfter w:val="1"/>
          <w:wAfter w:w="54" w:type="pct"/>
          <w:trHeight w:val="227"/>
          <w:tblCellSpacing w:w="0" w:type="dxa"/>
        </w:trPr>
        <w:tc>
          <w:tcPr>
            <w:tcW w:w="1117" w:type="pct"/>
            <w:tcBorders>
              <w:top w:val="nil"/>
              <w:left w:val="nil"/>
              <w:bottom w:val="nil"/>
              <w:right w:val="nil"/>
            </w:tcBorders>
            <w:tcMar>
              <w:top w:w="0" w:type="dxa"/>
              <w:left w:w="0" w:type="dxa"/>
              <w:bottom w:w="0" w:type="dxa"/>
              <w:right w:w="0" w:type="dxa"/>
            </w:tcMar>
            <w:vAlign w:val="center"/>
            <w:hideMark/>
          </w:tcPr>
          <w:p w14:paraId="53C0DB94" w14:textId="725BDA52" w:rsidR="005E43D6" w:rsidRPr="00617599" w:rsidRDefault="005E43D6" w:rsidP="005E43D6">
            <w:pPr>
              <w:spacing w:after="0" w:line="276" w:lineRule="auto"/>
              <w:rPr>
                <w:rFonts w:ascii="Arial" w:eastAsia="Times New Roman" w:hAnsi="Arial" w:cs="Arial"/>
                <w:i/>
                <w:sz w:val="16"/>
                <w:szCs w:val="16"/>
                <w:lang w:eastAsia="en-AU"/>
              </w:rPr>
            </w:pPr>
            <w:r>
              <w:rPr>
                <w:rFonts w:ascii="Arial" w:eastAsia="Times New Roman" w:hAnsi="Arial" w:cs="Arial"/>
                <w:i/>
                <w:sz w:val="16"/>
                <w:szCs w:val="16"/>
                <w:lang w:eastAsia="en-AU"/>
              </w:rPr>
              <w:t xml:space="preserve">   </w:t>
            </w:r>
            <w:r w:rsidRPr="00617599">
              <w:rPr>
                <w:rFonts w:ascii="Arial" w:eastAsia="Times New Roman" w:hAnsi="Arial" w:cs="Arial"/>
                <w:i/>
                <w:sz w:val="16"/>
                <w:szCs w:val="16"/>
                <w:lang w:eastAsia="en-AU"/>
              </w:rPr>
              <w:t xml:space="preserve">Miscarriage </w:t>
            </w:r>
          </w:p>
        </w:tc>
        <w:tc>
          <w:tcPr>
            <w:tcW w:w="613" w:type="pct"/>
            <w:tcBorders>
              <w:top w:val="nil"/>
              <w:left w:val="nil"/>
              <w:bottom w:val="nil"/>
              <w:right w:val="nil"/>
            </w:tcBorders>
            <w:tcMar>
              <w:top w:w="0" w:type="dxa"/>
              <w:left w:w="0" w:type="dxa"/>
              <w:bottom w:w="0" w:type="dxa"/>
              <w:right w:w="0" w:type="dxa"/>
            </w:tcMar>
            <w:vAlign w:val="bottom"/>
          </w:tcPr>
          <w:p w14:paraId="28B4AFDB" w14:textId="31DC8C6F" w:rsidR="005E43D6" w:rsidRPr="0032580D"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109</w:t>
            </w:r>
          </w:p>
        </w:tc>
        <w:tc>
          <w:tcPr>
            <w:tcW w:w="394" w:type="pct"/>
            <w:tcBorders>
              <w:top w:val="nil"/>
              <w:left w:val="nil"/>
              <w:bottom w:val="nil"/>
              <w:right w:val="nil"/>
            </w:tcBorders>
            <w:tcMar>
              <w:top w:w="0" w:type="dxa"/>
              <w:left w:w="0" w:type="dxa"/>
              <w:bottom w:w="0" w:type="dxa"/>
              <w:right w:w="0" w:type="dxa"/>
            </w:tcMar>
            <w:vAlign w:val="bottom"/>
          </w:tcPr>
          <w:p w14:paraId="36CB3E66" w14:textId="3F4D3C3F" w:rsidR="005E43D6" w:rsidRPr="0032580D"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18.1</w:t>
            </w:r>
          </w:p>
        </w:tc>
        <w:tc>
          <w:tcPr>
            <w:tcW w:w="25" w:type="pct"/>
            <w:tcBorders>
              <w:top w:val="nil"/>
              <w:left w:val="nil"/>
              <w:bottom w:val="nil"/>
              <w:right w:val="nil"/>
            </w:tcBorders>
            <w:tcMar>
              <w:top w:w="0" w:type="dxa"/>
              <w:left w:w="0" w:type="dxa"/>
              <w:bottom w:w="0" w:type="dxa"/>
              <w:right w:w="0" w:type="dxa"/>
            </w:tcMar>
            <w:vAlign w:val="bottom"/>
          </w:tcPr>
          <w:p w14:paraId="2E25A0BA" w14:textId="3B3C6AF0"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 </w:t>
            </w:r>
          </w:p>
        </w:tc>
        <w:tc>
          <w:tcPr>
            <w:tcW w:w="599" w:type="pct"/>
            <w:tcBorders>
              <w:top w:val="nil"/>
              <w:left w:val="nil"/>
              <w:bottom w:val="nil"/>
              <w:right w:val="nil"/>
            </w:tcBorders>
            <w:tcMar>
              <w:top w:w="0" w:type="dxa"/>
              <w:left w:w="0" w:type="dxa"/>
              <w:bottom w:w="0" w:type="dxa"/>
              <w:right w:w="0" w:type="dxa"/>
            </w:tcMar>
            <w:vAlign w:val="bottom"/>
          </w:tcPr>
          <w:p w14:paraId="7493D8F5" w14:textId="09E69FEE"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311</w:t>
            </w:r>
          </w:p>
        </w:tc>
        <w:tc>
          <w:tcPr>
            <w:tcW w:w="471" w:type="pct"/>
            <w:tcBorders>
              <w:top w:val="nil"/>
              <w:left w:val="nil"/>
              <w:bottom w:val="nil"/>
              <w:right w:val="nil"/>
            </w:tcBorders>
            <w:tcMar>
              <w:top w:w="0" w:type="dxa"/>
              <w:left w:w="0" w:type="dxa"/>
              <w:bottom w:w="0" w:type="dxa"/>
              <w:right w:w="0" w:type="dxa"/>
            </w:tcMar>
            <w:vAlign w:val="bottom"/>
          </w:tcPr>
          <w:p w14:paraId="66F72397" w14:textId="5639CF83"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17.6</w:t>
            </w:r>
          </w:p>
        </w:tc>
        <w:tc>
          <w:tcPr>
            <w:tcW w:w="79" w:type="pct"/>
            <w:tcBorders>
              <w:top w:val="nil"/>
              <w:left w:val="nil"/>
              <w:bottom w:val="nil"/>
              <w:right w:val="nil"/>
            </w:tcBorders>
            <w:tcMar>
              <w:top w:w="0" w:type="dxa"/>
              <w:left w:w="0" w:type="dxa"/>
              <w:bottom w:w="0" w:type="dxa"/>
              <w:right w:w="0" w:type="dxa"/>
            </w:tcMar>
            <w:vAlign w:val="bottom"/>
          </w:tcPr>
          <w:p w14:paraId="321D49F9" w14:textId="77777777" w:rsidR="005E43D6" w:rsidRPr="00A92C57" w:rsidRDefault="005E43D6" w:rsidP="005E43D6">
            <w:pPr>
              <w:spacing w:after="0" w:line="276" w:lineRule="auto"/>
              <w:jc w:val="right"/>
              <w:rPr>
                <w:rFonts w:ascii="Arial" w:eastAsia="Times New Roman" w:hAnsi="Arial" w:cs="Arial"/>
                <w:i/>
                <w:sz w:val="16"/>
                <w:szCs w:val="16"/>
                <w:lang w:eastAsia="en-AU"/>
              </w:rPr>
            </w:pPr>
          </w:p>
        </w:tc>
        <w:tc>
          <w:tcPr>
            <w:tcW w:w="483" w:type="pct"/>
            <w:tcBorders>
              <w:top w:val="nil"/>
              <w:left w:val="nil"/>
              <w:bottom w:val="nil"/>
              <w:right w:val="nil"/>
            </w:tcBorders>
            <w:tcMar>
              <w:top w:w="0" w:type="dxa"/>
              <w:left w:w="0" w:type="dxa"/>
              <w:bottom w:w="0" w:type="dxa"/>
              <w:right w:w="0" w:type="dxa"/>
            </w:tcMar>
            <w:vAlign w:val="bottom"/>
          </w:tcPr>
          <w:p w14:paraId="28ABA170" w14:textId="12657A01"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32</w:t>
            </w:r>
          </w:p>
        </w:tc>
        <w:tc>
          <w:tcPr>
            <w:tcW w:w="381" w:type="pct"/>
            <w:tcBorders>
              <w:top w:val="nil"/>
              <w:left w:val="nil"/>
              <w:bottom w:val="nil"/>
              <w:right w:val="nil"/>
            </w:tcBorders>
            <w:tcMar>
              <w:top w:w="0" w:type="dxa"/>
              <w:left w:w="0" w:type="dxa"/>
              <w:bottom w:w="0" w:type="dxa"/>
              <w:right w:w="0" w:type="dxa"/>
            </w:tcMar>
            <w:vAlign w:val="bottom"/>
          </w:tcPr>
          <w:p w14:paraId="5B5D0035" w14:textId="3AB85E2C"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20.4</w:t>
            </w:r>
          </w:p>
        </w:tc>
        <w:tc>
          <w:tcPr>
            <w:tcW w:w="25" w:type="pct"/>
            <w:tcBorders>
              <w:top w:val="nil"/>
              <w:left w:val="nil"/>
              <w:bottom w:val="nil"/>
              <w:right w:val="nil"/>
            </w:tcBorders>
            <w:tcMar>
              <w:top w:w="0" w:type="dxa"/>
              <w:left w:w="0" w:type="dxa"/>
              <w:bottom w:w="0" w:type="dxa"/>
              <w:right w:w="0" w:type="dxa"/>
            </w:tcMar>
            <w:vAlign w:val="bottom"/>
          </w:tcPr>
          <w:p w14:paraId="19DDC5C7" w14:textId="77777777" w:rsidR="005E43D6" w:rsidRPr="00A92C57" w:rsidRDefault="005E43D6" w:rsidP="005E43D6">
            <w:pPr>
              <w:spacing w:after="0" w:line="276" w:lineRule="auto"/>
              <w:jc w:val="right"/>
              <w:rPr>
                <w:rFonts w:ascii="Arial" w:eastAsia="Times New Roman" w:hAnsi="Arial" w:cs="Arial"/>
                <w:i/>
                <w:sz w:val="16"/>
                <w:szCs w:val="16"/>
                <w:lang w:eastAsia="en-AU"/>
              </w:rPr>
            </w:pPr>
          </w:p>
        </w:tc>
        <w:tc>
          <w:tcPr>
            <w:tcW w:w="376" w:type="pct"/>
            <w:tcBorders>
              <w:top w:val="nil"/>
              <w:left w:val="nil"/>
              <w:bottom w:val="nil"/>
              <w:right w:val="nil"/>
            </w:tcBorders>
            <w:tcMar>
              <w:top w:w="0" w:type="dxa"/>
              <w:left w:w="0" w:type="dxa"/>
              <w:bottom w:w="0" w:type="dxa"/>
              <w:right w:w="0" w:type="dxa"/>
            </w:tcMar>
            <w:vAlign w:val="bottom"/>
          </w:tcPr>
          <w:p w14:paraId="6BF91292" w14:textId="0D737399"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452</w:t>
            </w:r>
          </w:p>
        </w:tc>
        <w:tc>
          <w:tcPr>
            <w:tcW w:w="383" w:type="pct"/>
            <w:tcBorders>
              <w:top w:val="nil"/>
              <w:left w:val="nil"/>
              <w:bottom w:val="nil"/>
              <w:right w:val="nil"/>
            </w:tcBorders>
            <w:tcMar>
              <w:top w:w="0" w:type="dxa"/>
              <w:left w:w="0" w:type="dxa"/>
              <w:bottom w:w="0" w:type="dxa"/>
              <w:right w:w="0" w:type="dxa"/>
            </w:tcMar>
            <w:vAlign w:val="bottom"/>
          </w:tcPr>
          <w:p w14:paraId="4D4A5C7B" w14:textId="5CBFF319"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17.9</w:t>
            </w:r>
          </w:p>
        </w:tc>
      </w:tr>
      <w:tr w:rsidR="005E43D6" w:rsidRPr="00617599" w14:paraId="3A3CD3ED" w14:textId="77777777" w:rsidTr="00952173">
        <w:trPr>
          <w:gridAfter w:val="1"/>
          <w:wAfter w:w="54" w:type="pct"/>
          <w:trHeight w:val="227"/>
          <w:tblCellSpacing w:w="0" w:type="dxa"/>
        </w:trPr>
        <w:tc>
          <w:tcPr>
            <w:tcW w:w="1117" w:type="pct"/>
            <w:tcBorders>
              <w:top w:val="nil"/>
              <w:left w:val="nil"/>
              <w:bottom w:val="nil"/>
              <w:right w:val="nil"/>
            </w:tcBorders>
            <w:tcMar>
              <w:top w:w="0" w:type="dxa"/>
              <w:left w:w="0" w:type="dxa"/>
              <w:bottom w:w="0" w:type="dxa"/>
              <w:right w:w="0" w:type="dxa"/>
            </w:tcMar>
            <w:vAlign w:val="center"/>
            <w:hideMark/>
          </w:tcPr>
          <w:p w14:paraId="5387C9D5" w14:textId="314574D2" w:rsidR="005E43D6" w:rsidRPr="00617599" w:rsidRDefault="005E43D6" w:rsidP="005E43D6">
            <w:pPr>
              <w:spacing w:after="0" w:line="276" w:lineRule="auto"/>
              <w:rPr>
                <w:rFonts w:ascii="Arial" w:eastAsia="Times New Roman" w:hAnsi="Arial" w:cs="Arial"/>
                <w:i/>
                <w:sz w:val="16"/>
                <w:szCs w:val="16"/>
                <w:lang w:eastAsia="en-AU"/>
              </w:rPr>
            </w:pPr>
            <w:r>
              <w:rPr>
                <w:rFonts w:ascii="Arial" w:eastAsia="Times New Roman" w:hAnsi="Arial" w:cs="Arial"/>
                <w:i/>
                <w:sz w:val="16"/>
                <w:szCs w:val="16"/>
                <w:lang w:eastAsia="en-AU"/>
              </w:rPr>
              <w:t xml:space="preserve">   </w:t>
            </w:r>
            <w:r w:rsidRPr="00617599">
              <w:rPr>
                <w:rFonts w:ascii="Arial" w:eastAsia="Times New Roman" w:hAnsi="Arial" w:cs="Arial"/>
                <w:i/>
                <w:sz w:val="16"/>
                <w:szCs w:val="16"/>
                <w:lang w:eastAsia="en-AU"/>
              </w:rPr>
              <w:t xml:space="preserve">Termination </w:t>
            </w:r>
          </w:p>
        </w:tc>
        <w:tc>
          <w:tcPr>
            <w:tcW w:w="613" w:type="pct"/>
            <w:tcBorders>
              <w:top w:val="nil"/>
              <w:left w:val="nil"/>
              <w:bottom w:val="nil"/>
              <w:right w:val="nil"/>
            </w:tcBorders>
            <w:tcMar>
              <w:top w:w="0" w:type="dxa"/>
              <w:left w:w="0" w:type="dxa"/>
              <w:bottom w:w="0" w:type="dxa"/>
              <w:right w:w="0" w:type="dxa"/>
            </w:tcMar>
            <w:vAlign w:val="bottom"/>
          </w:tcPr>
          <w:p w14:paraId="1B56DFA6" w14:textId="3C284685" w:rsidR="005E43D6" w:rsidRPr="0032580D"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7</w:t>
            </w:r>
          </w:p>
        </w:tc>
        <w:tc>
          <w:tcPr>
            <w:tcW w:w="394" w:type="pct"/>
            <w:tcBorders>
              <w:top w:val="nil"/>
              <w:left w:val="nil"/>
              <w:bottom w:val="nil"/>
              <w:right w:val="nil"/>
            </w:tcBorders>
            <w:tcMar>
              <w:top w:w="0" w:type="dxa"/>
              <w:left w:w="0" w:type="dxa"/>
              <w:bottom w:w="0" w:type="dxa"/>
              <w:right w:w="0" w:type="dxa"/>
            </w:tcMar>
            <w:vAlign w:val="bottom"/>
          </w:tcPr>
          <w:p w14:paraId="6ECEB307" w14:textId="06D598BD" w:rsidR="005E43D6" w:rsidRPr="0032580D"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1.2</w:t>
            </w:r>
          </w:p>
        </w:tc>
        <w:tc>
          <w:tcPr>
            <w:tcW w:w="25" w:type="pct"/>
            <w:tcBorders>
              <w:top w:val="nil"/>
              <w:left w:val="nil"/>
              <w:bottom w:val="nil"/>
              <w:right w:val="nil"/>
            </w:tcBorders>
            <w:tcMar>
              <w:top w:w="0" w:type="dxa"/>
              <w:left w:w="0" w:type="dxa"/>
              <w:bottom w:w="0" w:type="dxa"/>
              <w:right w:w="0" w:type="dxa"/>
            </w:tcMar>
            <w:vAlign w:val="bottom"/>
          </w:tcPr>
          <w:p w14:paraId="0AB6F793" w14:textId="0B937B0A"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 </w:t>
            </w:r>
          </w:p>
        </w:tc>
        <w:tc>
          <w:tcPr>
            <w:tcW w:w="599" w:type="pct"/>
            <w:tcBorders>
              <w:top w:val="nil"/>
              <w:left w:val="nil"/>
              <w:bottom w:val="nil"/>
              <w:right w:val="nil"/>
            </w:tcBorders>
            <w:tcMar>
              <w:top w:w="0" w:type="dxa"/>
              <w:left w:w="0" w:type="dxa"/>
              <w:bottom w:w="0" w:type="dxa"/>
              <w:right w:w="0" w:type="dxa"/>
            </w:tcMar>
            <w:vAlign w:val="bottom"/>
          </w:tcPr>
          <w:p w14:paraId="284488C3" w14:textId="1A0687C6"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14</w:t>
            </w:r>
          </w:p>
        </w:tc>
        <w:tc>
          <w:tcPr>
            <w:tcW w:w="471" w:type="pct"/>
            <w:tcBorders>
              <w:top w:val="nil"/>
              <w:left w:val="nil"/>
              <w:bottom w:val="nil"/>
              <w:right w:val="nil"/>
            </w:tcBorders>
            <w:tcMar>
              <w:top w:w="0" w:type="dxa"/>
              <w:left w:w="0" w:type="dxa"/>
              <w:bottom w:w="0" w:type="dxa"/>
              <w:right w:w="0" w:type="dxa"/>
            </w:tcMar>
            <w:vAlign w:val="bottom"/>
          </w:tcPr>
          <w:p w14:paraId="683F69D1" w14:textId="3FD8A443"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0.8</w:t>
            </w:r>
          </w:p>
        </w:tc>
        <w:tc>
          <w:tcPr>
            <w:tcW w:w="79" w:type="pct"/>
            <w:tcBorders>
              <w:top w:val="nil"/>
              <w:left w:val="nil"/>
              <w:bottom w:val="nil"/>
              <w:right w:val="nil"/>
            </w:tcBorders>
            <w:tcMar>
              <w:top w:w="0" w:type="dxa"/>
              <w:left w:w="0" w:type="dxa"/>
              <w:bottom w:w="0" w:type="dxa"/>
              <w:right w:w="0" w:type="dxa"/>
            </w:tcMar>
            <w:vAlign w:val="bottom"/>
          </w:tcPr>
          <w:p w14:paraId="63CB73FB" w14:textId="77777777" w:rsidR="005E43D6" w:rsidRPr="00A92C57" w:rsidRDefault="005E43D6" w:rsidP="005E43D6">
            <w:pPr>
              <w:spacing w:after="0" w:line="276" w:lineRule="auto"/>
              <w:jc w:val="right"/>
              <w:rPr>
                <w:rFonts w:ascii="Arial" w:eastAsia="Times New Roman" w:hAnsi="Arial" w:cs="Arial"/>
                <w:i/>
                <w:sz w:val="16"/>
                <w:szCs w:val="16"/>
                <w:lang w:eastAsia="en-AU"/>
              </w:rPr>
            </w:pPr>
          </w:p>
        </w:tc>
        <w:tc>
          <w:tcPr>
            <w:tcW w:w="483" w:type="pct"/>
            <w:tcBorders>
              <w:top w:val="nil"/>
              <w:left w:val="nil"/>
              <w:bottom w:val="nil"/>
              <w:right w:val="nil"/>
            </w:tcBorders>
            <w:tcMar>
              <w:top w:w="0" w:type="dxa"/>
              <w:left w:w="0" w:type="dxa"/>
              <w:bottom w:w="0" w:type="dxa"/>
              <w:right w:w="0" w:type="dxa"/>
            </w:tcMar>
            <w:vAlign w:val="bottom"/>
          </w:tcPr>
          <w:p w14:paraId="0F2D4418" w14:textId="2F32BF6D"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0</w:t>
            </w:r>
          </w:p>
        </w:tc>
        <w:tc>
          <w:tcPr>
            <w:tcW w:w="381" w:type="pct"/>
            <w:tcBorders>
              <w:top w:val="nil"/>
              <w:left w:val="nil"/>
              <w:bottom w:val="nil"/>
              <w:right w:val="nil"/>
            </w:tcBorders>
            <w:tcMar>
              <w:top w:w="0" w:type="dxa"/>
              <w:left w:w="0" w:type="dxa"/>
              <w:bottom w:w="0" w:type="dxa"/>
              <w:right w:w="0" w:type="dxa"/>
            </w:tcMar>
            <w:vAlign w:val="bottom"/>
          </w:tcPr>
          <w:p w14:paraId="569A1360" w14:textId="5127DD60"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0.0</w:t>
            </w:r>
          </w:p>
        </w:tc>
        <w:tc>
          <w:tcPr>
            <w:tcW w:w="25" w:type="pct"/>
            <w:tcBorders>
              <w:top w:val="nil"/>
              <w:left w:val="nil"/>
              <w:bottom w:val="nil"/>
              <w:right w:val="nil"/>
            </w:tcBorders>
            <w:tcMar>
              <w:top w:w="0" w:type="dxa"/>
              <w:left w:w="0" w:type="dxa"/>
              <w:bottom w:w="0" w:type="dxa"/>
              <w:right w:w="0" w:type="dxa"/>
            </w:tcMar>
            <w:vAlign w:val="bottom"/>
          </w:tcPr>
          <w:p w14:paraId="6FE62EBA" w14:textId="77777777" w:rsidR="005E43D6" w:rsidRPr="00A92C57" w:rsidRDefault="005E43D6" w:rsidP="005E43D6">
            <w:pPr>
              <w:spacing w:after="0" w:line="276" w:lineRule="auto"/>
              <w:jc w:val="right"/>
              <w:rPr>
                <w:rFonts w:ascii="Arial" w:eastAsia="Times New Roman" w:hAnsi="Arial" w:cs="Arial"/>
                <w:i/>
                <w:sz w:val="16"/>
                <w:szCs w:val="16"/>
                <w:lang w:eastAsia="en-AU"/>
              </w:rPr>
            </w:pPr>
          </w:p>
        </w:tc>
        <w:tc>
          <w:tcPr>
            <w:tcW w:w="376" w:type="pct"/>
            <w:tcBorders>
              <w:top w:val="nil"/>
              <w:left w:val="nil"/>
              <w:bottom w:val="nil"/>
              <w:right w:val="nil"/>
            </w:tcBorders>
            <w:tcMar>
              <w:top w:w="0" w:type="dxa"/>
              <w:left w:w="0" w:type="dxa"/>
              <w:bottom w:w="0" w:type="dxa"/>
              <w:right w:w="0" w:type="dxa"/>
            </w:tcMar>
            <w:vAlign w:val="bottom"/>
          </w:tcPr>
          <w:p w14:paraId="6C9B8224" w14:textId="3F3A1782"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21</w:t>
            </w:r>
          </w:p>
        </w:tc>
        <w:tc>
          <w:tcPr>
            <w:tcW w:w="383" w:type="pct"/>
            <w:tcBorders>
              <w:top w:val="nil"/>
              <w:left w:val="nil"/>
              <w:bottom w:val="nil"/>
              <w:right w:val="nil"/>
            </w:tcBorders>
            <w:tcMar>
              <w:top w:w="0" w:type="dxa"/>
              <w:left w:w="0" w:type="dxa"/>
              <w:bottom w:w="0" w:type="dxa"/>
              <w:right w:w="0" w:type="dxa"/>
            </w:tcMar>
            <w:vAlign w:val="bottom"/>
          </w:tcPr>
          <w:p w14:paraId="24DC8090" w14:textId="70F82562"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0.8</w:t>
            </w:r>
          </w:p>
        </w:tc>
      </w:tr>
      <w:tr w:rsidR="005E43D6" w:rsidRPr="00617599" w14:paraId="4C375C15" w14:textId="77777777" w:rsidTr="00952173">
        <w:trPr>
          <w:gridAfter w:val="1"/>
          <w:wAfter w:w="54" w:type="pct"/>
          <w:trHeight w:val="227"/>
          <w:tblCellSpacing w:w="0" w:type="dxa"/>
        </w:trPr>
        <w:tc>
          <w:tcPr>
            <w:tcW w:w="1117" w:type="pct"/>
            <w:tcBorders>
              <w:top w:val="nil"/>
              <w:left w:val="nil"/>
              <w:bottom w:val="nil"/>
              <w:right w:val="nil"/>
            </w:tcBorders>
            <w:tcMar>
              <w:top w:w="0" w:type="dxa"/>
              <w:left w:w="0" w:type="dxa"/>
              <w:bottom w:w="0" w:type="dxa"/>
              <w:right w:w="0" w:type="dxa"/>
            </w:tcMar>
            <w:vAlign w:val="center"/>
            <w:hideMark/>
          </w:tcPr>
          <w:p w14:paraId="4A9B0D1B" w14:textId="1DE41263" w:rsidR="005E43D6" w:rsidRPr="00617599" w:rsidRDefault="005E43D6" w:rsidP="005E43D6">
            <w:pPr>
              <w:spacing w:after="0" w:line="276" w:lineRule="auto"/>
              <w:rPr>
                <w:rFonts w:ascii="Arial" w:eastAsia="Times New Roman" w:hAnsi="Arial" w:cs="Arial"/>
                <w:sz w:val="16"/>
                <w:szCs w:val="16"/>
                <w:lang w:eastAsia="en-AU"/>
              </w:rPr>
            </w:pPr>
            <w:r>
              <w:rPr>
                <w:rFonts w:ascii="Arial" w:eastAsia="Times New Roman" w:hAnsi="Arial" w:cs="Arial"/>
                <w:i/>
                <w:sz w:val="16"/>
                <w:szCs w:val="16"/>
                <w:lang w:eastAsia="en-AU"/>
              </w:rPr>
              <w:t xml:space="preserve">   </w:t>
            </w:r>
            <w:r w:rsidRPr="00617599">
              <w:rPr>
                <w:rFonts w:ascii="Arial" w:eastAsia="Times New Roman" w:hAnsi="Arial" w:cs="Arial"/>
                <w:i/>
                <w:sz w:val="16"/>
                <w:szCs w:val="16"/>
                <w:lang w:eastAsia="en-AU"/>
              </w:rPr>
              <w:t xml:space="preserve">Ectopic or heterotopic </w:t>
            </w:r>
            <w:r>
              <w:rPr>
                <w:rFonts w:ascii="Arial" w:eastAsia="Times New Roman" w:hAnsi="Arial" w:cs="Arial"/>
                <w:i/>
                <w:sz w:val="16"/>
                <w:szCs w:val="16"/>
                <w:lang w:eastAsia="en-AU"/>
              </w:rPr>
              <w:t xml:space="preserve">  </w:t>
            </w:r>
            <w:r w:rsidRPr="00617599">
              <w:rPr>
                <w:rFonts w:ascii="Arial" w:eastAsia="Times New Roman" w:hAnsi="Arial" w:cs="Arial"/>
                <w:i/>
                <w:sz w:val="16"/>
                <w:szCs w:val="16"/>
                <w:lang w:eastAsia="en-AU"/>
              </w:rPr>
              <w:t xml:space="preserve">pregnancy </w:t>
            </w:r>
          </w:p>
        </w:tc>
        <w:tc>
          <w:tcPr>
            <w:tcW w:w="613" w:type="pct"/>
            <w:tcBorders>
              <w:top w:val="nil"/>
              <w:left w:val="nil"/>
              <w:bottom w:val="nil"/>
              <w:right w:val="nil"/>
            </w:tcBorders>
            <w:tcMar>
              <w:top w:w="0" w:type="dxa"/>
              <w:left w:w="0" w:type="dxa"/>
              <w:bottom w:w="0" w:type="dxa"/>
              <w:right w:w="0" w:type="dxa"/>
            </w:tcMar>
            <w:vAlign w:val="bottom"/>
          </w:tcPr>
          <w:p w14:paraId="39528EC3" w14:textId="07AF8C0B"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5</w:t>
            </w:r>
          </w:p>
        </w:tc>
        <w:tc>
          <w:tcPr>
            <w:tcW w:w="394" w:type="pct"/>
            <w:tcBorders>
              <w:top w:val="nil"/>
              <w:left w:val="nil"/>
              <w:bottom w:val="nil"/>
              <w:right w:val="nil"/>
            </w:tcBorders>
            <w:tcMar>
              <w:top w:w="0" w:type="dxa"/>
              <w:left w:w="0" w:type="dxa"/>
              <w:bottom w:w="0" w:type="dxa"/>
              <w:right w:w="0" w:type="dxa"/>
            </w:tcMar>
            <w:vAlign w:val="bottom"/>
          </w:tcPr>
          <w:p w14:paraId="2F3BB365" w14:textId="2A00DA82"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0.8</w:t>
            </w:r>
          </w:p>
        </w:tc>
        <w:tc>
          <w:tcPr>
            <w:tcW w:w="25" w:type="pct"/>
            <w:tcBorders>
              <w:top w:val="nil"/>
              <w:left w:val="nil"/>
              <w:bottom w:val="nil"/>
              <w:right w:val="nil"/>
            </w:tcBorders>
            <w:tcMar>
              <w:top w:w="0" w:type="dxa"/>
              <w:left w:w="0" w:type="dxa"/>
              <w:bottom w:w="0" w:type="dxa"/>
              <w:right w:w="0" w:type="dxa"/>
            </w:tcMar>
            <w:vAlign w:val="bottom"/>
          </w:tcPr>
          <w:p w14:paraId="205DFA64" w14:textId="70DE35E4"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 </w:t>
            </w:r>
          </w:p>
        </w:tc>
        <w:tc>
          <w:tcPr>
            <w:tcW w:w="599" w:type="pct"/>
            <w:tcBorders>
              <w:top w:val="nil"/>
              <w:left w:val="nil"/>
              <w:bottom w:val="nil"/>
              <w:right w:val="nil"/>
            </w:tcBorders>
            <w:tcMar>
              <w:top w:w="0" w:type="dxa"/>
              <w:left w:w="0" w:type="dxa"/>
              <w:bottom w:w="0" w:type="dxa"/>
              <w:right w:w="0" w:type="dxa"/>
            </w:tcMar>
            <w:vAlign w:val="bottom"/>
          </w:tcPr>
          <w:p w14:paraId="505B99DB" w14:textId="4854D845"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11</w:t>
            </w:r>
          </w:p>
        </w:tc>
        <w:tc>
          <w:tcPr>
            <w:tcW w:w="471" w:type="pct"/>
            <w:tcBorders>
              <w:top w:val="nil"/>
              <w:left w:val="nil"/>
              <w:bottom w:val="nil"/>
              <w:right w:val="nil"/>
            </w:tcBorders>
            <w:tcMar>
              <w:top w:w="0" w:type="dxa"/>
              <w:left w:w="0" w:type="dxa"/>
              <w:bottom w:w="0" w:type="dxa"/>
              <w:right w:w="0" w:type="dxa"/>
            </w:tcMar>
            <w:vAlign w:val="bottom"/>
          </w:tcPr>
          <w:p w14:paraId="652A43FE" w14:textId="77A3F70A"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0.6</w:t>
            </w:r>
          </w:p>
        </w:tc>
        <w:tc>
          <w:tcPr>
            <w:tcW w:w="79" w:type="pct"/>
            <w:tcBorders>
              <w:top w:val="nil"/>
              <w:left w:val="nil"/>
              <w:bottom w:val="nil"/>
              <w:right w:val="nil"/>
            </w:tcBorders>
            <w:tcMar>
              <w:top w:w="0" w:type="dxa"/>
              <w:left w:w="0" w:type="dxa"/>
              <w:bottom w:w="0" w:type="dxa"/>
              <w:right w:w="0" w:type="dxa"/>
            </w:tcMar>
            <w:vAlign w:val="bottom"/>
          </w:tcPr>
          <w:p w14:paraId="217F5485" w14:textId="77777777" w:rsidR="005E43D6" w:rsidRPr="00A92C57" w:rsidRDefault="005E43D6" w:rsidP="005E43D6">
            <w:pPr>
              <w:spacing w:after="0" w:line="276" w:lineRule="auto"/>
              <w:jc w:val="right"/>
              <w:rPr>
                <w:rFonts w:ascii="Arial" w:eastAsia="Times New Roman" w:hAnsi="Arial" w:cs="Arial"/>
                <w:i/>
                <w:sz w:val="16"/>
                <w:szCs w:val="16"/>
                <w:lang w:eastAsia="en-AU"/>
              </w:rPr>
            </w:pPr>
          </w:p>
        </w:tc>
        <w:tc>
          <w:tcPr>
            <w:tcW w:w="483" w:type="pct"/>
            <w:tcBorders>
              <w:top w:val="nil"/>
              <w:left w:val="nil"/>
              <w:bottom w:val="nil"/>
              <w:right w:val="nil"/>
            </w:tcBorders>
            <w:tcMar>
              <w:top w:w="0" w:type="dxa"/>
              <w:left w:w="0" w:type="dxa"/>
              <w:bottom w:w="0" w:type="dxa"/>
              <w:right w:w="0" w:type="dxa"/>
            </w:tcMar>
            <w:vAlign w:val="bottom"/>
          </w:tcPr>
          <w:p w14:paraId="2CDA45B7" w14:textId="097E82BE"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1</w:t>
            </w:r>
          </w:p>
        </w:tc>
        <w:tc>
          <w:tcPr>
            <w:tcW w:w="381" w:type="pct"/>
            <w:tcBorders>
              <w:top w:val="nil"/>
              <w:left w:val="nil"/>
              <w:bottom w:val="nil"/>
              <w:right w:val="nil"/>
            </w:tcBorders>
            <w:tcMar>
              <w:top w:w="0" w:type="dxa"/>
              <w:left w:w="0" w:type="dxa"/>
              <w:bottom w:w="0" w:type="dxa"/>
              <w:right w:w="0" w:type="dxa"/>
            </w:tcMar>
            <w:vAlign w:val="bottom"/>
          </w:tcPr>
          <w:p w14:paraId="4CB13753" w14:textId="6C0DEF24"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0.6</w:t>
            </w:r>
          </w:p>
        </w:tc>
        <w:tc>
          <w:tcPr>
            <w:tcW w:w="25" w:type="pct"/>
            <w:tcBorders>
              <w:top w:val="nil"/>
              <w:left w:val="nil"/>
              <w:bottom w:val="nil"/>
              <w:right w:val="nil"/>
            </w:tcBorders>
            <w:tcMar>
              <w:top w:w="0" w:type="dxa"/>
              <w:left w:w="0" w:type="dxa"/>
              <w:bottom w:w="0" w:type="dxa"/>
              <w:right w:w="0" w:type="dxa"/>
            </w:tcMar>
            <w:vAlign w:val="bottom"/>
          </w:tcPr>
          <w:p w14:paraId="45A44DAF" w14:textId="77777777" w:rsidR="005E43D6" w:rsidRPr="00A92C57" w:rsidRDefault="005E43D6" w:rsidP="005E43D6">
            <w:pPr>
              <w:spacing w:after="0" w:line="276" w:lineRule="auto"/>
              <w:jc w:val="right"/>
              <w:rPr>
                <w:rFonts w:ascii="Arial" w:eastAsia="Times New Roman" w:hAnsi="Arial" w:cs="Arial"/>
                <w:i/>
                <w:sz w:val="16"/>
                <w:szCs w:val="16"/>
                <w:lang w:eastAsia="en-AU"/>
              </w:rPr>
            </w:pPr>
          </w:p>
        </w:tc>
        <w:tc>
          <w:tcPr>
            <w:tcW w:w="376" w:type="pct"/>
            <w:tcBorders>
              <w:top w:val="nil"/>
              <w:left w:val="nil"/>
              <w:bottom w:val="nil"/>
              <w:right w:val="nil"/>
            </w:tcBorders>
            <w:tcMar>
              <w:top w:w="0" w:type="dxa"/>
              <w:left w:w="0" w:type="dxa"/>
              <w:bottom w:w="0" w:type="dxa"/>
              <w:right w:w="0" w:type="dxa"/>
            </w:tcMar>
            <w:vAlign w:val="bottom"/>
          </w:tcPr>
          <w:p w14:paraId="4B4506F1" w14:textId="0EB3EF1B"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17</w:t>
            </w:r>
          </w:p>
        </w:tc>
        <w:tc>
          <w:tcPr>
            <w:tcW w:w="383" w:type="pct"/>
            <w:tcBorders>
              <w:top w:val="nil"/>
              <w:left w:val="nil"/>
              <w:bottom w:val="nil"/>
              <w:right w:val="nil"/>
            </w:tcBorders>
            <w:tcMar>
              <w:top w:w="0" w:type="dxa"/>
              <w:left w:w="0" w:type="dxa"/>
              <w:bottom w:w="0" w:type="dxa"/>
              <w:right w:w="0" w:type="dxa"/>
            </w:tcMar>
            <w:vAlign w:val="bottom"/>
          </w:tcPr>
          <w:p w14:paraId="3228399F" w14:textId="23432989" w:rsidR="005E43D6" w:rsidRPr="00A92C57" w:rsidRDefault="005E43D6" w:rsidP="005E43D6">
            <w:pPr>
              <w:spacing w:after="0" w:line="276" w:lineRule="auto"/>
              <w:jc w:val="right"/>
              <w:rPr>
                <w:rFonts w:ascii="Arial" w:eastAsia="Times New Roman" w:hAnsi="Arial" w:cs="Arial"/>
                <w:i/>
                <w:sz w:val="16"/>
                <w:szCs w:val="16"/>
                <w:lang w:eastAsia="en-AU"/>
              </w:rPr>
            </w:pPr>
            <w:r>
              <w:rPr>
                <w:rFonts w:ascii="Arial" w:hAnsi="Arial" w:cs="Arial"/>
                <w:i/>
                <w:iCs/>
                <w:sz w:val="16"/>
                <w:szCs w:val="16"/>
              </w:rPr>
              <w:t>0.7</w:t>
            </w:r>
          </w:p>
        </w:tc>
      </w:tr>
      <w:tr w:rsidR="005E43D6" w:rsidRPr="00617599" w14:paraId="2257460C" w14:textId="77777777" w:rsidTr="00952173">
        <w:trPr>
          <w:gridAfter w:val="1"/>
          <w:wAfter w:w="54" w:type="pct"/>
          <w:trHeight w:val="227"/>
          <w:tblCellSpacing w:w="0" w:type="dxa"/>
        </w:trPr>
        <w:tc>
          <w:tcPr>
            <w:tcW w:w="1117" w:type="pct"/>
            <w:tcBorders>
              <w:top w:val="nil"/>
              <w:left w:val="nil"/>
              <w:bottom w:val="nil"/>
              <w:right w:val="nil"/>
            </w:tcBorders>
            <w:tcMar>
              <w:top w:w="0" w:type="dxa"/>
              <w:left w:w="0" w:type="dxa"/>
              <w:bottom w:w="28" w:type="dxa"/>
              <w:right w:w="0" w:type="dxa"/>
            </w:tcMar>
            <w:vAlign w:val="center"/>
            <w:hideMark/>
          </w:tcPr>
          <w:p w14:paraId="02D46ADF" w14:textId="02BD2E25" w:rsidR="005E43D6" w:rsidRPr="00617599" w:rsidRDefault="005E43D6" w:rsidP="005E43D6">
            <w:pPr>
              <w:spacing w:after="0" w:line="276" w:lineRule="auto"/>
              <w:rPr>
                <w:rFonts w:ascii="Arial" w:eastAsia="Times New Roman" w:hAnsi="Arial" w:cs="Arial"/>
                <w:b/>
                <w:sz w:val="16"/>
                <w:szCs w:val="16"/>
                <w:lang w:eastAsia="en-AU"/>
              </w:rPr>
            </w:pPr>
            <w:r>
              <w:rPr>
                <w:rFonts w:ascii="Arial" w:eastAsia="Times New Roman" w:hAnsi="Arial" w:cs="Arial"/>
                <w:sz w:val="16"/>
                <w:szCs w:val="16"/>
                <w:lang w:eastAsia="en-AU"/>
              </w:rPr>
              <w:t>Birth</w:t>
            </w:r>
            <w:r w:rsidRPr="00617599">
              <w:rPr>
                <w:rFonts w:ascii="Arial" w:eastAsia="Times New Roman" w:hAnsi="Arial" w:cs="Arial"/>
                <w:sz w:val="16"/>
                <w:szCs w:val="16"/>
                <w:lang w:eastAsia="en-AU"/>
              </w:rPr>
              <w:t xml:space="preserve"> </w:t>
            </w:r>
          </w:p>
        </w:tc>
        <w:tc>
          <w:tcPr>
            <w:tcW w:w="613" w:type="pct"/>
            <w:tcBorders>
              <w:top w:val="nil"/>
              <w:left w:val="nil"/>
              <w:bottom w:val="nil"/>
              <w:right w:val="nil"/>
            </w:tcBorders>
            <w:tcMar>
              <w:top w:w="0" w:type="dxa"/>
              <w:left w:w="0" w:type="dxa"/>
              <w:bottom w:w="28" w:type="dxa"/>
              <w:right w:w="0" w:type="dxa"/>
            </w:tcMar>
            <w:vAlign w:val="bottom"/>
          </w:tcPr>
          <w:p w14:paraId="2A14AD4D" w14:textId="7FF317EB" w:rsidR="005E43D6" w:rsidRPr="00F63921"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480</w:t>
            </w:r>
          </w:p>
        </w:tc>
        <w:tc>
          <w:tcPr>
            <w:tcW w:w="394" w:type="pct"/>
            <w:tcBorders>
              <w:top w:val="nil"/>
              <w:left w:val="nil"/>
              <w:bottom w:val="nil"/>
              <w:right w:val="nil"/>
            </w:tcBorders>
            <w:tcMar>
              <w:top w:w="0" w:type="dxa"/>
              <w:left w:w="0" w:type="dxa"/>
              <w:bottom w:w="28" w:type="dxa"/>
              <w:right w:w="0" w:type="dxa"/>
            </w:tcMar>
            <w:vAlign w:val="bottom"/>
          </w:tcPr>
          <w:p w14:paraId="764936F7" w14:textId="3B32DCF1" w:rsidR="005E43D6" w:rsidRPr="00F63921"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79.7</w:t>
            </w:r>
          </w:p>
        </w:tc>
        <w:tc>
          <w:tcPr>
            <w:tcW w:w="25" w:type="pct"/>
            <w:tcBorders>
              <w:top w:val="nil"/>
              <w:left w:val="nil"/>
              <w:bottom w:val="nil"/>
              <w:right w:val="nil"/>
            </w:tcBorders>
            <w:tcMar>
              <w:top w:w="0" w:type="dxa"/>
              <w:left w:w="0" w:type="dxa"/>
              <w:bottom w:w="28" w:type="dxa"/>
              <w:right w:w="0" w:type="dxa"/>
            </w:tcMar>
            <w:vAlign w:val="bottom"/>
          </w:tcPr>
          <w:p w14:paraId="71CEAA52" w14:textId="41669C97" w:rsidR="005E43D6" w:rsidRPr="00F63921"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99" w:type="pct"/>
            <w:tcBorders>
              <w:top w:val="nil"/>
              <w:left w:val="nil"/>
              <w:bottom w:val="nil"/>
              <w:right w:val="nil"/>
            </w:tcBorders>
            <w:tcMar>
              <w:top w:w="0" w:type="dxa"/>
              <w:left w:w="0" w:type="dxa"/>
              <w:bottom w:w="28" w:type="dxa"/>
              <w:right w:w="0" w:type="dxa"/>
            </w:tcMar>
            <w:vAlign w:val="bottom"/>
          </w:tcPr>
          <w:p w14:paraId="20691117" w14:textId="5E93D826" w:rsidR="005E43D6" w:rsidRPr="00F63921"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w:t>
            </w:r>
            <w:r w:rsidR="008501EF">
              <w:rPr>
                <w:rFonts w:ascii="Arial" w:hAnsi="Arial" w:cs="Arial"/>
                <w:sz w:val="16"/>
                <w:szCs w:val="16"/>
              </w:rPr>
              <w:t>,</w:t>
            </w:r>
            <w:r>
              <w:rPr>
                <w:rFonts w:ascii="Arial" w:hAnsi="Arial" w:cs="Arial"/>
                <w:sz w:val="16"/>
                <w:szCs w:val="16"/>
              </w:rPr>
              <w:t>434</w:t>
            </w:r>
          </w:p>
        </w:tc>
        <w:tc>
          <w:tcPr>
            <w:tcW w:w="471" w:type="pct"/>
            <w:tcBorders>
              <w:top w:val="nil"/>
              <w:left w:val="nil"/>
              <w:bottom w:val="nil"/>
              <w:right w:val="nil"/>
            </w:tcBorders>
            <w:tcMar>
              <w:top w:w="0" w:type="dxa"/>
              <w:left w:w="0" w:type="dxa"/>
              <w:bottom w:w="28" w:type="dxa"/>
              <w:right w:w="0" w:type="dxa"/>
            </w:tcMar>
            <w:vAlign w:val="bottom"/>
          </w:tcPr>
          <w:p w14:paraId="79C15839" w14:textId="67FF69D3" w:rsidR="005E43D6" w:rsidRPr="00F63921"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81.0</w:t>
            </w:r>
          </w:p>
        </w:tc>
        <w:tc>
          <w:tcPr>
            <w:tcW w:w="79" w:type="pct"/>
            <w:tcBorders>
              <w:top w:val="nil"/>
              <w:left w:val="nil"/>
              <w:bottom w:val="nil"/>
              <w:right w:val="nil"/>
            </w:tcBorders>
            <w:tcMar>
              <w:top w:w="0" w:type="dxa"/>
              <w:left w:w="0" w:type="dxa"/>
              <w:bottom w:w="28" w:type="dxa"/>
              <w:right w:w="0" w:type="dxa"/>
            </w:tcMar>
            <w:vAlign w:val="bottom"/>
          </w:tcPr>
          <w:p w14:paraId="09627DBE" w14:textId="77777777" w:rsidR="005E43D6" w:rsidRPr="00F63921" w:rsidRDefault="005E43D6" w:rsidP="005E43D6">
            <w:pPr>
              <w:spacing w:after="0" w:line="276" w:lineRule="auto"/>
              <w:jc w:val="right"/>
              <w:rPr>
                <w:rFonts w:ascii="Arial" w:eastAsia="Times New Roman" w:hAnsi="Arial" w:cs="Arial"/>
                <w:sz w:val="16"/>
                <w:szCs w:val="16"/>
                <w:lang w:eastAsia="en-AU"/>
              </w:rPr>
            </w:pPr>
          </w:p>
        </w:tc>
        <w:tc>
          <w:tcPr>
            <w:tcW w:w="483" w:type="pct"/>
            <w:tcBorders>
              <w:top w:val="nil"/>
              <w:left w:val="nil"/>
              <w:bottom w:val="nil"/>
              <w:right w:val="nil"/>
            </w:tcBorders>
            <w:tcMar>
              <w:top w:w="0" w:type="dxa"/>
              <w:left w:w="0" w:type="dxa"/>
              <w:bottom w:w="28" w:type="dxa"/>
              <w:right w:w="0" w:type="dxa"/>
            </w:tcMar>
            <w:vAlign w:val="bottom"/>
          </w:tcPr>
          <w:p w14:paraId="227E9F64" w14:textId="189048E0" w:rsidR="005E43D6" w:rsidRPr="00F63921"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124</w:t>
            </w:r>
          </w:p>
        </w:tc>
        <w:tc>
          <w:tcPr>
            <w:tcW w:w="381" w:type="pct"/>
            <w:tcBorders>
              <w:top w:val="nil"/>
              <w:left w:val="nil"/>
              <w:bottom w:val="nil"/>
              <w:right w:val="nil"/>
            </w:tcBorders>
            <w:tcMar>
              <w:top w:w="0" w:type="dxa"/>
              <w:left w:w="0" w:type="dxa"/>
              <w:bottom w:w="28" w:type="dxa"/>
              <w:right w:w="0" w:type="dxa"/>
            </w:tcMar>
            <w:vAlign w:val="bottom"/>
          </w:tcPr>
          <w:p w14:paraId="6EB59019" w14:textId="612E25BA" w:rsidR="005E43D6" w:rsidRPr="00F63921"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79.0</w:t>
            </w:r>
          </w:p>
        </w:tc>
        <w:tc>
          <w:tcPr>
            <w:tcW w:w="25" w:type="pct"/>
            <w:tcBorders>
              <w:top w:val="nil"/>
              <w:left w:val="nil"/>
              <w:bottom w:val="nil"/>
              <w:right w:val="nil"/>
            </w:tcBorders>
            <w:tcMar>
              <w:top w:w="0" w:type="dxa"/>
              <w:left w:w="0" w:type="dxa"/>
              <w:bottom w:w="28" w:type="dxa"/>
              <w:right w:w="0" w:type="dxa"/>
            </w:tcMar>
            <w:vAlign w:val="bottom"/>
          </w:tcPr>
          <w:p w14:paraId="466607F1" w14:textId="77777777" w:rsidR="005E43D6" w:rsidRPr="00F63921" w:rsidRDefault="005E43D6" w:rsidP="005E43D6">
            <w:pPr>
              <w:spacing w:after="0" w:line="276" w:lineRule="auto"/>
              <w:jc w:val="right"/>
              <w:rPr>
                <w:rFonts w:ascii="Arial" w:eastAsia="Times New Roman" w:hAnsi="Arial" w:cs="Arial"/>
                <w:sz w:val="16"/>
                <w:szCs w:val="16"/>
                <w:lang w:eastAsia="en-AU"/>
              </w:rPr>
            </w:pPr>
          </w:p>
        </w:tc>
        <w:tc>
          <w:tcPr>
            <w:tcW w:w="376" w:type="pct"/>
            <w:tcBorders>
              <w:top w:val="nil"/>
              <w:left w:val="nil"/>
              <w:bottom w:val="nil"/>
              <w:right w:val="nil"/>
            </w:tcBorders>
            <w:tcMar>
              <w:top w:w="0" w:type="dxa"/>
              <w:left w:w="0" w:type="dxa"/>
              <w:bottom w:w="28" w:type="dxa"/>
              <w:right w:w="0" w:type="dxa"/>
            </w:tcMar>
            <w:vAlign w:val="bottom"/>
          </w:tcPr>
          <w:p w14:paraId="534B81F0" w14:textId="4210155E" w:rsidR="005E43D6" w:rsidRPr="00F63921"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2,038</w:t>
            </w:r>
          </w:p>
        </w:tc>
        <w:tc>
          <w:tcPr>
            <w:tcW w:w="383" w:type="pct"/>
            <w:tcBorders>
              <w:top w:val="nil"/>
              <w:left w:val="nil"/>
              <w:bottom w:val="nil"/>
              <w:right w:val="nil"/>
            </w:tcBorders>
            <w:tcMar>
              <w:top w:w="0" w:type="dxa"/>
              <w:left w:w="0" w:type="dxa"/>
              <w:bottom w:w="28" w:type="dxa"/>
              <w:right w:w="0" w:type="dxa"/>
            </w:tcMar>
            <w:vAlign w:val="bottom"/>
          </w:tcPr>
          <w:p w14:paraId="12C4C8C7" w14:textId="5CC50983" w:rsidR="005E43D6" w:rsidRPr="00F63921" w:rsidRDefault="005E43D6" w:rsidP="005E43D6">
            <w:pPr>
              <w:spacing w:after="0" w:line="276" w:lineRule="auto"/>
              <w:jc w:val="right"/>
              <w:rPr>
                <w:rFonts w:ascii="Arial" w:eastAsia="Times New Roman" w:hAnsi="Arial" w:cs="Arial"/>
                <w:sz w:val="16"/>
                <w:szCs w:val="16"/>
                <w:lang w:eastAsia="en-AU"/>
              </w:rPr>
            </w:pPr>
            <w:r>
              <w:rPr>
                <w:rFonts w:ascii="Arial" w:hAnsi="Arial" w:cs="Arial"/>
                <w:sz w:val="16"/>
                <w:szCs w:val="16"/>
              </w:rPr>
              <w:t>80.6</w:t>
            </w:r>
          </w:p>
        </w:tc>
      </w:tr>
      <w:tr w:rsidR="005E43D6" w:rsidRPr="00617599" w14:paraId="64BDAF6C" w14:textId="77777777" w:rsidTr="00952173">
        <w:trPr>
          <w:gridAfter w:val="1"/>
          <w:wAfter w:w="54" w:type="pct"/>
          <w:trHeight w:val="227"/>
          <w:tblCellSpacing w:w="0" w:type="dxa"/>
        </w:trPr>
        <w:tc>
          <w:tcPr>
            <w:tcW w:w="1117" w:type="pct"/>
            <w:tcBorders>
              <w:top w:val="nil"/>
              <w:left w:val="nil"/>
              <w:right w:val="nil"/>
            </w:tcBorders>
            <w:tcMar>
              <w:top w:w="0" w:type="dxa"/>
              <w:left w:w="0" w:type="dxa"/>
              <w:bottom w:w="28" w:type="dxa"/>
              <w:right w:w="0" w:type="dxa"/>
            </w:tcMar>
            <w:vAlign w:val="center"/>
          </w:tcPr>
          <w:p w14:paraId="09270657" w14:textId="77777777" w:rsidR="005E43D6" w:rsidRPr="00617599" w:rsidRDefault="005E43D6" w:rsidP="005E43D6">
            <w:pPr>
              <w:spacing w:after="0" w:line="276" w:lineRule="auto"/>
              <w:rPr>
                <w:rFonts w:ascii="Arial" w:eastAsia="Times New Roman" w:hAnsi="Arial" w:cs="Arial"/>
                <w:b/>
                <w:sz w:val="16"/>
                <w:szCs w:val="16"/>
                <w:lang w:eastAsia="en-AU"/>
              </w:rPr>
            </w:pPr>
            <w:r w:rsidRPr="00617599">
              <w:rPr>
                <w:rFonts w:ascii="Arial" w:eastAsia="Times New Roman" w:hAnsi="Arial" w:cs="Arial"/>
                <w:sz w:val="16"/>
                <w:szCs w:val="16"/>
                <w:lang w:eastAsia="en-AU"/>
              </w:rPr>
              <w:t xml:space="preserve">Not stated </w:t>
            </w:r>
          </w:p>
        </w:tc>
        <w:tc>
          <w:tcPr>
            <w:tcW w:w="613" w:type="pct"/>
            <w:tcBorders>
              <w:top w:val="nil"/>
              <w:left w:val="nil"/>
              <w:right w:val="nil"/>
            </w:tcBorders>
            <w:tcMar>
              <w:top w:w="0" w:type="dxa"/>
              <w:left w:w="0" w:type="dxa"/>
              <w:bottom w:w="28" w:type="dxa"/>
              <w:right w:w="0" w:type="dxa"/>
            </w:tcMar>
            <w:vAlign w:val="bottom"/>
          </w:tcPr>
          <w:p w14:paraId="392AF220" w14:textId="6BFE6418" w:rsidR="005E43D6" w:rsidRPr="00FE584A" w:rsidRDefault="005E43D6" w:rsidP="005E43D6">
            <w:pPr>
              <w:spacing w:after="0" w:line="276" w:lineRule="auto"/>
              <w:jc w:val="right"/>
              <w:rPr>
                <w:rFonts w:ascii="Arial" w:hAnsi="Arial" w:cs="Arial"/>
                <w:sz w:val="16"/>
                <w:szCs w:val="16"/>
              </w:rPr>
            </w:pPr>
            <w:r>
              <w:rPr>
                <w:rFonts w:ascii="Arial" w:hAnsi="Arial" w:cs="Arial"/>
                <w:sz w:val="16"/>
                <w:szCs w:val="16"/>
              </w:rPr>
              <w:t>1</w:t>
            </w:r>
          </w:p>
        </w:tc>
        <w:tc>
          <w:tcPr>
            <w:tcW w:w="394" w:type="pct"/>
            <w:tcBorders>
              <w:top w:val="nil"/>
              <w:left w:val="nil"/>
              <w:right w:val="nil"/>
            </w:tcBorders>
            <w:tcMar>
              <w:top w:w="0" w:type="dxa"/>
              <w:left w:w="0" w:type="dxa"/>
              <w:bottom w:w="28" w:type="dxa"/>
              <w:right w:w="0" w:type="dxa"/>
            </w:tcMar>
            <w:vAlign w:val="bottom"/>
          </w:tcPr>
          <w:p w14:paraId="3F978A25" w14:textId="18F3FDFA" w:rsidR="005E43D6" w:rsidRPr="00FE584A" w:rsidRDefault="005E43D6" w:rsidP="005E43D6">
            <w:pPr>
              <w:spacing w:after="0" w:line="276" w:lineRule="auto"/>
              <w:jc w:val="right"/>
              <w:rPr>
                <w:rFonts w:ascii="Arial" w:hAnsi="Arial" w:cs="Arial"/>
                <w:sz w:val="16"/>
                <w:szCs w:val="16"/>
              </w:rPr>
            </w:pPr>
            <w:r>
              <w:rPr>
                <w:rFonts w:ascii="Arial" w:hAnsi="Arial" w:cs="Arial"/>
                <w:sz w:val="16"/>
                <w:szCs w:val="16"/>
              </w:rPr>
              <w:t>0.2</w:t>
            </w:r>
          </w:p>
        </w:tc>
        <w:tc>
          <w:tcPr>
            <w:tcW w:w="25" w:type="pct"/>
            <w:tcBorders>
              <w:top w:val="nil"/>
              <w:left w:val="nil"/>
              <w:right w:val="nil"/>
            </w:tcBorders>
            <w:tcMar>
              <w:top w:w="0" w:type="dxa"/>
              <w:left w:w="0" w:type="dxa"/>
              <w:bottom w:w="28" w:type="dxa"/>
              <w:right w:w="0" w:type="dxa"/>
            </w:tcMar>
            <w:vAlign w:val="bottom"/>
          </w:tcPr>
          <w:p w14:paraId="339B8316" w14:textId="1F6C027C" w:rsidR="005E43D6" w:rsidRPr="00FE584A" w:rsidRDefault="005E43D6" w:rsidP="005E43D6">
            <w:pPr>
              <w:spacing w:after="0" w:line="276" w:lineRule="auto"/>
              <w:jc w:val="right"/>
              <w:rPr>
                <w:rFonts w:ascii="Arial" w:hAnsi="Arial" w:cs="Arial"/>
                <w:sz w:val="16"/>
                <w:szCs w:val="16"/>
              </w:rPr>
            </w:pPr>
            <w:r>
              <w:rPr>
                <w:rFonts w:ascii="Arial" w:hAnsi="Arial" w:cs="Arial"/>
                <w:sz w:val="16"/>
                <w:szCs w:val="16"/>
              </w:rPr>
              <w:t> </w:t>
            </w:r>
          </w:p>
        </w:tc>
        <w:tc>
          <w:tcPr>
            <w:tcW w:w="599" w:type="pct"/>
            <w:tcBorders>
              <w:top w:val="nil"/>
              <w:left w:val="nil"/>
              <w:right w:val="nil"/>
            </w:tcBorders>
            <w:tcMar>
              <w:top w:w="0" w:type="dxa"/>
              <w:left w:w="0" w:type="dxa"/>
              <w:bottom w:w="28" w:type="dxa"/>
              <w:right w:w="0" w:type="dxa"/>
            </w:tcMar>
            <w:vAlign w:val="bottom"/>
          </w:tcPr>
          <w:p w14:paraId="7000AE11" w14:textId="274D4C99" w:rsidR="005E43D6" w:rsidRPr="00FE584A" w:rsidRDefault="005E43D6" w:rsidP="005E43D6">
            <w:pPr>
              <w:spacing w:after="0" w:line="276" w:lineRule="auto"/>
              <w:jc w:val="right"/>
              <w:rPr>
                <w:rFonts w:ascii="Arial" w:hAnsi="Arial" w:cs="Arial"/>
                <w:sz w:val="16"/>
                <w:szCs w:val="16"/>
              </w:rPr>
            </w:pPr>
            <w:r>
              <w:rPr>
                <w:rFonts w:ascii="Arial" w:hAnsi="Arial" w:cs="Arial"/>
                <w:sz w:val="16"/>
                <w:szCs w:val="16"/>
              </w:rPr>
              <w:t>1</w:t>
            </w:r>
          </w:p>
        </w:tc>
        <w:tc>
          <w:tcPr>
            <w:tcW w:w="471" w:type="pct"/>
            <w:tcBorders>
              <w:top w:val="nil"/>
              <w:left w:val="nil"/>
              <w:right w:val="nil"/>
            </w:tcBorders>
            <w:tcMar>
              <w:top w:w="0" w:type="dxa"/>
              <w:left w:w="0" w:type="dxa"/>
              <w:bottom w:w="28" w:type="dxa"/>
              <w:right w:w="0" w:type="dxa"/>
            </w:tcMar>
            <w:vAlign w:val="bottom"/>
          </w:tcPr>
          <w:p w14:paraId="6522C287" w14:textId="6317AA15" w:rsidR="005E43D6" w:rsidRPr="00FE584A" w:rsidRDefault="005E43D6" w:rsidP="005E43D6">
            <w:pPr>
              <w:spacing w:after="0" w:line="276" w:lineRule="auto"/>
              <w:jc w:val="right"/>
              <w:rPr>
                <w:rFonts w:ascii="Arial" w:hAnsi="Arial" w:cs="Arial"/>
                <w:sz w:val="16"/>
                <w:szCs w:val="16"/>
              </w:rPr>
            </w:pPr>
            <w:r>
              <w:rPr>
                <w:rFonts w:ascii="Arial" w:hAnsi="Arial" w:cs="Arial"/>
                <w:sz w:val="16"/>
                <w:szCs w:val="16"/>
              </w:rPr>
              <w:t>0.1</w:t>
            </w:r>
          </w:p>
        </w:tc>
        <w:tc>
          <w:tcPr>
            <w:tcW w:w="79" w:type="pct"/>
            <w:tcBorders>
              <w:top w:val="nil"/>
              <w:left w:val="nil"/>
              <w:right w:val="nil"/>
            </w:tcBorders>
            <w:tcMar>
              <w:top w:w="0" w:type="dxa"/>
              <w:left w:w="0" w:type="dxa"/>
              <w:bottom w:w="28" w:type="dxa"/>
              <w:right w:w="0" w:type="dxa"/>
            </w:tcMar>
            <w:vAlign w:val="bottom"/>
          </w:tcPr>
          <w:p w14:paraId="018D94BB" w14:textId="77777777" w:rsidR="005E43D6" w:rsidRPr="00FE584A" w:rsidRDefault="005E43D6" w:rsidP="005E43D6">
            <w:pPr>
              <w:spacing w:after="0" w:line="276" w:lineRule="auto"/>
              <w:jc w:val="right"/>
              <w:rPr>
                <w:rFonts w:ascii="Arial" w:hAnsi="Arial" w:cs="Arial"/>
                <w:sz w:val="16"/>
                <w:szCs w:val="16"/>
              </w:rPr>
            </w:pPr>
          </w:p>
        </w:tc>
        <w:tc>
          <w:tcPr>
            <w:tcW w:w="483" w:type="pct"/>
            <w:tcBorders>
              <w:top w:val="nil"/>
              <w:left w:val="nil"/>
              <w:right w:val="nil"/>
            </w:tcBorders>
            <w:tcMar>
              <w:top w:w="0" w:type="dxa"/>
              <w:left w:w="0" w:type="dxa"/>
              <w:bottom w:w="28" w:type="dxa"/>
              <w:right w:w="0" w:type="dxa"/>
            </w:tcMar>
            <w:vAlign w:val="bottom"/>
          </w:tcPr>
          <w:p w14:paraId="2F8F7BB0" w14:textId="7E73C99B" w:rsidR="005E43D6" w:rsidRPr="00FE584A" w:rsidRDefault="005E43D6" w:rsidP="005E43D6">
            <w:pPr>
              <w:spacing w:after="0" w:line="276" w:lineRule="auto"/>
              <w:jc w:val="right"/>
              <w:rPr>
                <w:rFonts w:ascii="Arial" w:hAnsi="Arial" w:cs="Arial"/>
                <w:sz w:val="16"/>
                <w:szCs w:val="16"/>
              </w:rPr>
            </w:pPr>
            <w:r>
              <w:rPr>
                <w:rFonts w:ascii="Arial" w:hAnsi="Arial" w:cs="Arial"/>
                <w:sz w:val="16"/>
                <w:szCs w:val="16"/>
              </w:rPr>
              <w:t>0</w:t>
            </w:r>
          </w:p>
        </w:tc>
        <w:tc>
          <w:tcPr>
            <w:tcW w:w="381" w:type="pct"/>
            <w:tcBorders>
              <w:top w:val="nil"/>
              <w:left w:val="nil"/>
              <w:right w:val="nil"/>
            </w:tcBorders>
            <w:tcMar>
              <w:top w:w="0" w:type="dxa"/>
              <w:left w:w="0" w:type="dxa"/>
              <w:bottom w:w="28" w:type="dxa"/>
              <w:right w:w="0" w:type="dxa"/>
            </w:tcMar>
            <w:vAlign w:val="bottom"/>
          </w:tcPr>
          <w:p w14:paraId="2E88D9CB" w14:textId="123C2176" w:rsidR="005E43D6" w:rsidRPr="00FE584A" w:rsidRDefault="005E43D6" w:rsidP="005E43D6">
            <w:pPr>
              <w:spacing w:after="0" w:line="276" w:lineRule="auto"/>
              <w:jc w:val="right"/>
              <w:rPr>
                <w:rFonts w:ascii="Arial" w:hAnsi="Arial" w:cs="Arial"/>
                <w:sz w:val="16"/>
                <w:szCs w:val="16"/>
              </w:rPr>
            </w:pPr>
            <w:r>
              <w:rPr>
                <w:rFonts w:ascii="Arial" w:hAnsi="Arial" w:cs="Arial"/>
                <w:sz w:val="16"/>
                <w:szCs w:val="16"/>
              </w:rPr>
              <w:t>0.0</w:t>
            </w:r>
          </w:p>
        </w:tc>
        <w:tc>
          <w:tcPr>
            <w:tcW w:w="25" w:type="pct"/>
            <w:tcBorders>
              <w:top w:val="nil"/>
              <w:left w:val="nil"/>
              <w:right w:val="nil"/>
            </w:tcBorders>
            <w:tcMar>
              <w:top w:w="0" w:type="dxa"/>
              <w:left w:w="0" w:type="dxa"/>
              <w:bottom w:w="28" w:type="dxa"/>
              <w:right w:w="0" w:type="dxa"/>
            </w:tcMar>
            <w:vAlign w:val="bottom"/>
          </w:tcPr>
          <w:p w14:paraId="53181155" w14:textId="77777777" w:rsidR="005E43D6" w:rsidRPr="00FE584A" w:rsidRDefault="005E43D6" w:rsidP="005E43D6">
            <w:pPr>
              <w:spacing w:after="0" w:line="276" w:lineRule="auto"/>
              <w:jc w:val="right"/>
              <w:rPr>
                <w:rFonts w:ascii="Arial" w:hAnsi="Arial" w:cs="Arial"/>
                <w:sz w:val="16"/>
                <w:szCs w:val="16"/>
              </w:rPr>
            </w:pPr>
          </w:p>
        </w:tc>
        <w:tc>
          <w:tcPr>
            <w:tcW w:w="376" w:type="pct"/>
            <w:tcBorders>
              <w:top w:val="nil"/>
              <w:left w:val="nil"/>
              <w:right w:val="nil"/>
            </w:tcBorders>
            <w:tcMar>
              <w:top w:w="0" w:type="dxa"/>
              <w:left w:w="0" w:type="dxa"/>
              <w:bottom w:w="28" w:type="dxa"/>
              <w:right w:w="0" w:type="dxa"/>
            </w:tcMar>
            <w:vAlign w:val="bottom"/>
          </w:tcPr>
          <w:p w14:paraId="5D5DBE22" w14:textId="4F177B87" w:rsidR="005E43D6" w:rsidRPr="00FE584A" w:rsidRDefault="005E43D6" w:rsidP="005E43D6">
            <w:pPr>
              <w:spacing w:after="0" w:line="276" w:lineRule="auto"/>
              <w:jc w:val="right"/>
              <w:rPr>
                <w:rFonts w:ascii="Arial" w:hAnsi="Arial" w:cs="Arial"/>
                <w:sz w:val="16"/>
                <w:szCs w:val="16"/>
              </w:rPr>
            </w:pPr>
            <w:r>
              <w:rPr>
                <w:rFonts w:ascii="Arial" w:hAnsi="Arial" w:cs="Arial"/>
                <w:sz w:val="16"/>
                <w:szCs w:val="16"/>
              </w:rPr>
              <w:t>2</w:t>
            </w:r>
          </w:p>
        </w:tc>
        <w:tc>
          <w:tcPr>
            <w:tcW w:w="383" w:type="pct"/>
            <w:tcBorders>
              <w:top w:val="nil"/>
              <w:left w:val="nil"/>
              <w:right w:val="nil"/>
            </w:tcBorders>
            <w:tcMar>
              <w:top w:w="0" w:type="dxa"/>
              <w:left w:w="0" w:type="dxa"/>
              <w:bottom w:w="28" w:type="dxa"/>
              <w:right w:w="0" w:type="dxa"/>
            </w:tcMar>
            <w:vAlign w:val="bottom"/>
          </w:tcPr>
          <w:p w14:paraId="7054152F" w14:textId="131ECA24" w:rsidR="005E43D6" w:rsidRPr="00FE584A" w:rsidRDefault="005E43D6" w:rsidP="005E43D6">
            <w:pPr>
              <w:spacing w:after="0" w:line="276" w:lineRule="auto"/>
              <w:jc w:val="right"/>
              <w:rPr>
                <w:rFonts w:ascii="Arial" w:hAnsi="Arial" w:cs="Arial"/>
                <w:sz w:val="16"/>
                <w:szCs w:val="16"/>
              </w:rPr>
            </w:pPr>
            <w:r>
              <w:rPr>
                <w:rFonts w:ascii="Arial" w:hAnsi="Arial" w:cs="Arial"/>
                <w:sz w:val="16"/>
                <w:szCs w:val="16"/>
              </w:rPr>
              <w:t>0.1</w:t>
            </w:r>
          </w:p>
        </w:tc>
      </w:tr>
      <w:tr w:rsidR="005E43D6" w:rsidRPr="00617599" w14:paraId="0A58BAE5" w14:textId="77777777" w:rsidTr="00952173">
        <w:trPr>
          <w:gridAfter w:val="1"/>
          <w:wAfter w:w="54" w:type="pct"/>
          <w:trHeight w:val="227"/>
          <w:tblCellSpacing w:w="0" w:type="dxa"/>
        </w:trPr>
        <w:tc>
          <w:tcPr>
            <w:tcW w:w="1117" w:type="pct"/>
            <w:tcBorders>
              <w:top w:val="nil"/>
              <w:left w:val="nil"/>
              <w:bottom w:val="single" w:sz="12" w:space="0" w:color="auto"/>
              <w:right w:val="nil"/>
            </w:tcBorders>
            <w:tcMar>
              <w:top w:w="0" w:type="dxa"/>
              <w:left w:w="0" w:type="dxa"/>
              <w:bottom w:w="28" w:type="dxa"/>
              <w:right w:w="0" w:type="dxa"/>
            </w:tcMar>
            <w:vAlign w:val="center"/>
          </w:tcPr>
          <w:p w14:paraId="5BFFAC1B" w14:textId="77777777" w:rsidR="005E43D6" w:rsidRPr="00087467" w:rsidRDefault="005E43D6" w:rsidP="005E43D6">
            <w:pPr>
              <w:spacing w:after="0" w:line="276" w:lineRule="auto"/>
              <w:rPr>
                <w:rFonts w:ascii="Arial" w:eastAsia="Times New Roman" w:hAnsi="Arial" w:cs="Arial"/>
                <w:b/>
                <w:sz w:val="16"/>
                <w:szCs w:val="16"/>
                <w:lang w:eastAsia="en-AU"/>
              </w:rPr>
            </w:pPr>
            <w:r w:rsidRPr="00087467">
              <w:rPr>
                <w:rFonts w:ascii="Arial" w:eastAsia="Times New Roman" w:hAnsi="Arial" w:cs="Arial"/>
                <w:b/>
                <w:sz w:val="16"/>
                <w:szCs w:val="16"/>
                <w:lang w:eastAsia="en-AU"/>
              </w:rPr>
              <w:t xml:space="preserve">Total </w:t>
            </w:r>
          </w:p>
        </w:tc>
        <w:tc>
          <w:tcPr>
            <w:tcW w:w="613" w:type="pct"/>
            <w:tcBorders>
              <w:top w:val="nil"/>
              <w:left w:val="nil"/>
              <w:bottom w:val="single" w:sz="12" w:space="0" w:color="auto"/>
              <w:right w:val="nil"/>
            </w:tcBorders>
            <w:tcMar>
              <w:top w:w="0" w:type="dxa"/>
              <w:left w:w="0" w:type="dxa"/>
              <w:bottom w:w="28" w:type="dxa"/>
              <w:right w:w="0" w:type="dxa"/>
            </w:tcMar>
            <w:vAlign w:val="bottom"/>
          </w:tcPr>
          <w:p w14:paraId="7A7A7AE5" w14:textId="6AD9BCED" w:rsidR="005E43D6" w:rsidRPr="00087467" w:rsidRDefault="005E43D6" w:rsidP="005E43D6">
            <w:pPr>
              <w:spacing w:after="0" w:line="276" w:lineRule="auto"/>
              <w:jc w:val="right"/>
              <w:rPr>
                <w:rFonts w:ascii="Arial" w:hAnsi="Arial" w:cs="Arial"/>
                <w:b/>
                <w:sz w:val="16"/>
                <w:szCs w:val="16"/>
              </w:rPr>
            </w:pPr>
            <w:r>
              <w:rPr>
                <w:rFonts w:ascii="Arial" w:hAnsi="Arial" w:cs="Arial"/>
                <w:b/>
                <w:bCs/>
                <w:sz w:val="16"/>
                <w:szCs w:val="16"/>
              </w:rPr>
              <w:t>602</w:t>
            </w:r>
          </w:p>
        </w:tc>
        <w:tc>
          <w:tcPr>
            <w:tcW w:w="394" w:type="pct"/>
            <w:tcBorders>
              <w:top w:val="nil"/>
              <w:left w:val="nil"/>
              <w:bottom w:val="single" w:sz="12" w:space="0" w:color="auto"/>
              <w:right w:val="nil"/>
            </w:tcBorders>
            <w:tcMar>
              <w:top w:w="0" w:type="dxa"/>
              <w:left w:w="0" w:type="dxa"/>
              <w:bottom w:w="28" w:type="dxa"/>
              <w:right w:w="0" w:type="dxa"/>
            </w:tcMar>
            <w:vAlign w:val="bottom"/>
          </w:tcPr>
          <w:p w14:paraId="47C9A365" w14:textId="15566B13" w:rsidR="005E43D6" w:rsidRPr="00087467" w:rsidRDefault="005E43D6" w:rsidP="005E43D6">
            <w:pPr>
              <w:spacing w:after="0" w:line="276" w:lineRule="auto"/>
              <w:jc w:val="right"/>
              <w:rPr>
                <w:rFonts w:ascii="Arial" w:hAnsi="Arial" w:cs="Arial"/>
                <w:b/>
                <w:sz w:val="16"/>
                <w:szCs w:val="16"/>
              </w:rPr>
            </w:pPr>
            <w:r>
              <w:rPr>
                <w:rFonts w:ascii="Arial" w:hAnsi="Arial" w:cs="Arial"/>
                <w:b/>
                <w:bCs/>
                <w:sz w:val="16"/>
                <w:szCs w:val="16"/>
              </w:rPr>
              <w:t>100.0</w:t>
            </w:r>
          </w:p>
        </w:tc>
        <w:tc>
          <w:tcPr>
            <w:tcW w:w="25" w:type="pct"/>
            <w:tcBorders>
              <w:top w:val="nil"/>
              <w:left w:val="nil"/>
              <w:bottom w:val="single" w:sz="12" w:space="0" w:color="auto"/>
              <w:right w:val="nil"/>
            </w:tcBorders>
            <w:tcMar>
              <w:top w:w="0" w:type="dxa"/>
              <w:left w:w="0" w:type="dxa"/>
              <w:bottom w:w="28" w:type="dxa"/>
              <w:right w:w="0" w:type="dxa"/>
            </w:tcMar>
            <w:vAlign w:val="bottom"/>
          </w:tcPr>
          <w:p w14:paraId="1D8E2B71" w14:textId="528540BC" w:rsidR="005E43D6" w:rsidRPr="00087467" w:rsidRDefault="005E43D6" w:rsidP="005E43D6">
            <w:pPr>
              <w:spacing w:after="0" w:line="276" w:lineRule="auto"/>
              <w:jc w:val="right"/>
              <w:rPr>
                <w:rFonts w:ascii="Arial" w:hAnsi="Arial" w:cs="Arial"/>
                <w:b/>
                <w:sz w:val="16"/>
                <w:szCs w:val="16"/>
              </w:rPr>
            </w:pPr>
            <w:r>
              <w:rPr>
                <w:rFonts w:ascii="Arial" w:hAnsi="Arial" w:cs="Arial"/>
                <w:b/>
                <w:bCs/>
                <w:sz w:val="16"/>
                <w:szCs w:val="16"/>
              </w:rPr>
              <w:t> </w:t>
            </w:r>
          </w:p>
        </w:tc>
        <w:tc>
          <w:tcPr>
            <w:tcW w:w="599" w:type="pct"/>
            <w:tcBorders>
              <w:top w:val="nil"/>
              <w:left w:val="nil"/>
              <w:bottom w:val="single" w:sz="12" w:space="0" w:color="auto"/>
              <w:right w:val="nil"/>
            </w:tcBorders>
            <w:tcMar>
              <w:top w:w="0" w:type="dxa"/>
              <w:left w:w="0" w:type="dxa"/>
              <w:bottom w:w="28" w:type="dxa"/>
              <w:right w:w="0" w:type="dxa"/>
            </w:tcMar>
            <w:vAlign w:val="bottom"/>
          </w:tcPr>
          <w:p w14:paraId="7225480B" w14:textId="6FB5FE09" w:rsidR="005E43D6" w:rsidRPr="00087467" w:rsidRDefault="005E43D6" w:rsidP="005E43D6">
            <w:pPr>
              <w:spacing w:after="0" w:line="276" w:lineRule="auto"/>
              <w:jc w:val="right"/>
              <w:rPr>
                <w:rFonts w:ascii="Arial" w:hAnsi="Arial" w:cs="Arial"/>
                <w:b/>
                <w:sz w:val="16"/>
                <w:szCs w:val="16"/>
              </w:rPr>
            </w:pPr>
            <w:r>
              <w:rPr>
                <w:rFonts w:ascii="Arial" w:hAnsi="Arial" w:cs="Arial"/>
                <w:b/>
                <w:bCs/>
                <w:sz w:val="16"/>
                <w:szCs w:val="16"/>
              </w:rPr>
              <w:t>1,771</w:t>
            </w:r>
          </w:p>
        </w:tc>
        <w:tc>
          <w:tcPr>
            <w:tcW w:w="471" w:type="pct"/>
            <w:tcBorders>
              <w:top w:val="nil"/>
              <w:left w:val="nil"/>
              <w:bottom w:val="single" w:sz="12" w:space="0" w:color="auto"/>
              <w:right w:val="nil"/>
            </w:tcBorders>
            <w:tcMar>
              <w:top w:w="0" w:type="dxa"/>
              <w:left w:w="0" w:type="dxa"/>
              <w:bottom w:w="28" w:type="dxa"/>
              <w:right w:w="0" w:type="dxa"/>
            </w:tcMar>
            <w:vAlign w:val="bottom"/>
          </w:tcPr>
          <w:p w14:paraId="1B49BE77" w14:textId="20A5E85E" w:rsidR="005E43D6" w:rsidRPr="00087467" w:rsidRDefault="005E43D6" w:rsidP="005E43D6">
            <w:pPr>
              <w:spacing w:after="0" w:line="276" w:lineRule="auto"/>
              <w:jc w:val="right"/>
              <w:rPr>
                <w:rFonts w:ascii="Arial" w:hAnsi="Arial" w:cs="Arial"/>
                <w:b/>
                <w:sz w:val="16"/>
                <w:szCs w:val="16"/>
              </w:rPr>
            </w:pPr>
            <w:r>
              <w:rPr>
                <w:rFonts w:ascii="Arial" w:hAnsi="Arial" w:cs="Arial"/>
                <w:b/>
                <w:bCs/>
                <w:sz w:val="16"/>
                <w:szCs w:val="16"/>
              </w:rPr>
              <w:t>100.0</w:t>
            </w:r>
          </w:p>
        </w:tc>
        <w:tc>
          <w:tcPr>
            <w:tcW w:w="79" w:type="pct"/>
            <w:tcBorders>
              <w:top w:val="nil"/>
              <w:left w:val="nil"/>
              <w:bottom w:val="single" w:sz="12" w:space="0" w:color="auto"/>
              <w:right w:val="nil"/>
            </w:tcBorders>
            <w:tcMar>
              <w:top w:w="0" w:type="dxa"/>
              <w:left w:w="0" w:type="dxa"/>
              <w:bottom w:w="28" w:type="dxa"/>
              <w:right w:w="0" w:type="dxa"/>
            </w:tcMar>
            <w:vAlign w:val="bottom"/>
          </w:tcPr>
          <w:p w14:paraId="771CA76E" w14:textId="3F6D7B1A" w:rsidR="005E43D6" w:rsidRPr="00087467" w:rsidRDefault="005E43D6" w:rsidP="005E43D6">
            <w:pPr>
              <w:spacing w:after="0" w:line="276" w:lineRule="auto"/>
              <w:jc w:val="right"/>
              <w:rPr>
                <w:rFonts w:ascii="Arial" w:hAnsi="Arial" w:cs="Arial"/>
                <w:b/>
                <w:sz w:val="16"/>
                <w:szCs w:val="16"/>
              </w:rPr>
            </w:pPr>
            <w:r>
              <w:rPr>
                <w:rFonts w:ascii="Arial" w:hAnsi="Arial" w:cs="Arial"/>
                <w:b/>
                <w:bCs/>
                <w:sz w:val="16"/>
                <w:szCs w:val="16"/>
              </w:rPr>
              <w:t> </w:t>
            </w:r>
          </w:p>
        </w:tc>
        <w:tc>
          <w:tcPr>
            <w:tcW w:w="483" w:type="pct"/>
            <w:tcBorders>
              <w:top w:val="nil"/>
              <w:left w:val="nil"/>
              <w:bottom w:val="single" w:sz="12" w:space="0" w:color="auto"/>
              <w:right w:val="nil"/>
            </w:tcBorders>
            <w:tcMar>
              <w:top w:w="0" w:type="dxa"/>
              <w:left w:w="0" w:type="dxa"/>
              <w:bottom w:w="28" w:type="dxa"/>
              <w:right w:w="0" w:type="dxa"/>
            </w:tcMar>
            <w:vAlign w:val="bottom"/>
          </w:tcPr>
          <w:p w14:paraId="21501CC0" w14:textId="4E9B499C" w:rsidR="005E43D6" w:rsidRPr="00087467" w:rsidRDefault="005E43D6" w:rsidP="005E43D6">
            <w:pPr>
              <w:spacing w:after="0" w:line="276" w:lineRule="auto"/>
              <w:jc w:val="right"/>
              <w:rPr>
                <w:rFonts w:ascii="Arial" w:hAnsi="Arial" w:cs="Arial"/>
                <w:b/>
                <w:sz w:val="16"/>
                <w:szCs w:val="16"/>
              </w:rPr>
            </w:pPr>
            <w:r>
              <w:rPr>
                <w:rFonts w:ascii="Arial" w:hAnsi="Arial" w:cs="Arial"/>
                <w:b/>
                <w:bCs/>
                <w:sz w:val="16"/>
                <w:szCs w:val="16"/>
              </w:rPr>
              <w:t>157</w:t>
            </w:r>
          </w:p>
        </w:tc>
        <w:tc>
          <w:tcPr>
            <w:tcW w:w="381" w:type="pct"/>
            <w:tcBorders>
              <w:top w:val="nil"/>
              <w:left w:val="nil"/>
              <w:bottom w:val="single" w:sz="12" w:space="0" w:color="auto"/>
              <w:right w:val="nil"/>
            </w:tcBorders>
            <w:tcMar>
              <w:top w:w="0" w:type="dxa"/>
              <w:left w:w="0" w:type="dxa"/>
              <w:bottom w:w="28" w:type="dxa"/>
              <w:right w:w="0" w:type="dxa"/>
            </w:tcMar>
            <w:vAlign w:val="bottom"/>
          </w:tcPr>
          <w:p w14:paraId="196BB9E9" w14:textId="2ECD52B3" w:rsidR="005E43D6" w:rsidRPr="00087467" w:rsidRDefault="005E43D6" w:rsidP="005E43D6">
            <w:pPr>
              <w:spacing w:after="0" w:line="276" w:lineRule="auto"/>
              <w:jc w:val="right"/>
              <w:rPr>
                <w:rFonts w:ascii="Arial" w:hAnsi="Arial" w:cs="Arial"/>
                <w:b/>
                <w:sz w:val="16"/>
                <w:szCs w:val="16"/>
              </w:rPr>
            </w:pPr>
            <w:r>
              <w:rPr>
                <w:rFonts w:ascii="Arial" w:hAnsi="Arial" w:cs="Arial"/>
                <w:b/>
                <w:bCs/>
                <w:sz w:val="16"/>
                <w:szCs w:val="16"/>
              </w:rPr>
              <w:t>100.0</w:t>
            </w:r>
          </w:p>
        </w:tc>
        <w:tc>
          <w:tcPr>
            <w:tcW w:w="25" w:type="pct"/>
            <w:tcBorders>
              <w:top w:val="nil"/>
              <w:left w:val="nil"/>
              <w:bottom w:val="single" w:sz="12" w:space="0" w:color="auto"/>
              <w:right w:val="nil"/>
            </w:tcBorders>
            <w:tcMar>
              <w:top w:w="0" w:type="dxa"/>
              <w:left w:w="0" w:type="dxa"/>
              <w:bottom w:w="28" w:type="dxa"/>
              <w:right w:w="0" w:type="dxa"/>
            </w:tcMar>
            <w:vAlign w:val="bottom"/>
          </w:tcPr>
          <w:p w14:paraId="54C7D00C" w14:textId="327CB0CF" w:rsidR="005E43D6" w:rsidRPr="00087467" w:rsidRDefault="005E43D6" w:rsidP="005E43D6">
            <w:pPr>
              <w:spacing w:after="0" w:line="276" w:lineRule="auto"/>
              <w:jc w:val="right"/>
              <w:rPr>
                <w:rFonts w:ascii="Arial" w:hAnsi="Arial" w:cs="Arial"/>
                <w:b/>
                <w:sz w:val="16"/>
                <w:szCs w:val="16"/>
              </w:rPr>
            </w:pPr>
            <w:r>
              <w:rPr>
                <w:rFonts w:ascii="Arial" w:hAnsi="Arial" w:cs="Arial"/>
                <w:b/>
                <w:bCs/>
                <w:sz w:val="16"/>
                <w:szCs w:val="16"/>
              </w:rPr>
              <w:t> </w:t>
            </w:r>
          </w:p>
        </w:tc>
        <w:tc>
          <w:tcPr>
            <w:tcW w:w="376" w:type="pct"/>
            <w:tcBorders>
              <w:top w:val="nil"/>
              <w:left w:val="nil"/>
              <w:bottom w:val="single" w:sz="12" w:space="0" w:color="auto"/>
              <w:right w:val="nil"/>
            </w:tcBorders>
            <w:tcMar>
              <w:top w:w="0" w:type="dxa"/>
              <w:left w:w="0" w:type="dxa"/>
              <w:bottom w:w="28" w:type="dxa"/>
              <w:right w:w="0" w:type="dxa"/>
            </w:tcMar>
            <w:vAlign w:val="bottom"/>
          </w:tcPr>
          <w:p w14:paraId="1085433D" w14:textId="135179BF" w:rsidR="005E43D6" w:rsidRPr="00087467" w:rsidRDefault="005E43D6" w:rsidP="005E43D6">
            <w:pPr>
              <w:spacing w:after="0" w:line="276" w:lineRule="auto"/>
              <w:jc w:val="right"/>
              <w:rPr>
                <w:rFonts w:ascii="Arial" w:hAnsi="Arial" w:cs="Arial"/>
                <w:b/>
                <w:sz w:val="16"/>
                <w:szCs w:val="16"/>
              </w:rPr>
            </w:pPr>
            <w:r>
              <w:rPr>
                <w:rFonts w:ascii="Arial" w:hAnsi="Arial" w:cs="Arial"/>
                <w:b/>
                <w:bCs/>
                <w:sz w:val="16"/>
                <w:szCs w:val="16"/>
              </w:rPr>
              <w:t>2,530</w:t>
            </w:r>
          </w:p>
        </w:tc>
        <w:tc>
          <w:tcPr>
            <w:tcW w:w="383" w:type="pct"/>
            <w:tcBorders>
              <w:top w:val="nil"/>
              <w:left w:val="nil"/>
              <w:bottom w:val="single" w:sz="12" w:space="0" w:color="auto"/>
              <w:right w:val="nil"/>
            </w:tcBorders>
            <w:tcMar>
              <w:top w:w="0" w:type="dxa"/>
              <w:left w:w="0" w:type="dxa"/>
              <w:bottom w:w="28" w:type="dxa"/>
              <w:right w:w="0" w:type="dxa"/>
            </w:tcMar>
            <w:vAlign w:val="bottom"/>
          </w:tcPr>
          <w:p w14:paraId="63713DB2" w14:textId="33C679AA" w:rsidR="005E43D6" w:rsidRPr="00087467" w:rsidRDefault="005E43D6" w:rsidP="005E43D6">
            <w:pPr>
              <w:spacing w:after="0" w:line="276" w:lineRule="auto"/>
              <w:jc w:val="right"/>
              <w:rPr>
                <w:rFonts w:ascii="Arial" w:hAnsi="Arial" w:cs="Arial"/>
                <w:b/>
                <w:sz w:val="16"/>
                <w:szCs w:val="16"/>
              </w:rPr>
            </w:pPr>
            <w:r>
              <w:rPr>
                <w:rFonts w:ascii="Arial" w:hAnsi="Arial" w:cs="Arial"/>
                <w:b/>
                <w:bCs/>
                <w:sz w:val="16"/>
                <w:szCs w:val="16"/>
              </w:rPr>
              <w:t>100.0</w:t>
            </w:r>
          </w:p>
        </w:tc>
      </w:tr>
    </w:tbl>
    <w:p w14:paraId="6DC22CF2" w14:textId="09E4DE9D" w:rsidR="009303CD" w:rsidRPr="00617599" w:rsidRDefault="009303CD" w:rsidP="009303CD">
      <w:pPr>
        <w:pStyle w:val="NPESUbodytext"/>
        <w:rPr>
          <w:rFonts w:cs="Arial"/>
          <w:sz w:val="28"/>
        </w:rPr>
      </w:pPr>
      <w:r w:rsidRPr="00617599">
        <w:rPr>
          <w:rFonts w:cs="Arial"/>
        </w:rPr>
        <w:br w:type="page"/>
      </w:r>
    </w:p>
    <w:p w14:paraId="4D432CA2" w14:textId="4B555818" w:rsidR="009303CD" w:rsidRPr="00617599" w:rsidRDefault="00EC42AE" w:rsidP="009303CD">
      <w:pPr>
        <w:keepNext/>
        <w:keepLines/>
        <w:tabs>
          <w:tab w:val="left" w:pos="794"/>
          <w:tab w:val="left" w:pos="1191"/>
          <w:tab w:val="left" w:pos="2778"/>
        </w:tabs>
        <w:spacing w:before="300" w:after="120" w:line="320" w:lineRule="atLeast"/>
        <w:outlineLvl w:val="2"/>
        <w:rPr>
          <w:rFonts w:ascii="Arial" w:eastAsia="Times New Roman" w:hAnsi="Arial" w:cs="Arial"/>
          <w:b/>
          <w:sz w:val="28"/>
        </w:rPr>
      </w:pPr>
      <w:bookmarkStart w:id="328" w:name="_Toc453061480"/>
      <w:bookmarkStart w:id="329" w:name="_Toc453054847"/>
      <w:r>
        <w:rPr>
          <w:rFonts w:ascii="Arial" w:eastAsia="Times New Roman" w:hAnsi="Arial" w:cs="Arial"/>
          <w:b/>
          <w:sz w:val="28"/>
        </w:rPr>
        <w:lastRenderedPageBreak/>
        <w:t>Birth</w:t>
      </w:r>
      <w:r w:rsidR="009303CD" w:rsidRPr="00617599">
        <w:rPr>
          <w:rFonts w:ascii="Arial" w:eastAsia="Times New Roman" w:hAnsi="Arial" w:cs="Arial"/>
          <w:b/>
          <w:sz w:val="28"/>
        </w:rPr>
        <w:t xml:space="preserve"> outcomes and treatment type</w:t>
      </w:r>
      <w:bookmarkEnd w:id="328"/>
      <w:bookmarkEnd w:id="329"/>
    </w:p>
    <w:p w14:paraId="25143246" w14:textId="0B08C370" w:rsidR="009303CD" w:rsidRPr="00617599" w:rsidRDefault="009303CD" w:rsidP="009303CD">
      <w:pPr>
        <w:pStyle w:val="NPESUbodytext"/>
        <w:rPr>
          <w:rFonts w:cs="Arial"/>
          <w:lang w:eastAsia="en-AU"/>
        </w:rPr>
      </w:pPr>
      <w:r w:rsidRPr="005F5FB7">
        <w:rPr>
          <w:rFonts w:cs="Arial"/>
          <w:lang w:eastAsia="en-AU"/>
        </w:rPr>
        <w:t xml:space="preserve">There were </w:t>
      </w:r>
      <w:r w:rsidR="002B097F">
        <w:rPr>
          <w:rFonts w:cs="Arial"/>
          <w:lang w:eastAsia="en-AU"/>
        </w:rPr>
        <w:t>2,0</w:t>
      </w:r>
      <w:r w:rsidR="008B64E1">
        <w:rPr>
          <w:rFonts w:cs="Arial"/>
          <w:lang w:eastAsia="en-AU"/>
        </w:rPr>
        <w:t>38</w:t>
      </w:r>
      <w:r w:rsidR="00352638" w:rsidRPr="005F5FB7">
        <w:rPr>
          <w:rFonts w:cs="Arial"/>
          <w:lang w:eastAsia="en-AU"/>
        </w:rPr>
        <w:t xml:space="preserve"> </w:t>
      </w:r>
      <w:r w:rsidRPr="005F5FB7">
        <w:rPr>
          <w:rFonts w:cs="Arial"/>
          <w:lang w:eastAsia="en-AU"/>
        </w:rPr>
        <w:t xml:space="preserve">women who gave birth to at least one baby of 20 weeks or more gestation or at least 400 grams birthweight following embryo transfer cycles. Of these, </w:t>
      </w:r>
      <w:r w:rsidR="00297809">
        <w:rPr>
          <w:rFonts w:cs="Arial"/>
          <w:lang w:eastAsia="en-AU"/>
        </w:rPr>
        <w:t>9</w:t>
      </w:r>
      <w:r w:rsidR="002B097F">
        <w:rPr>
          <w:rFonts w:cs="Arial"/>
          <w:lang w:eastAsia="en-AU"/>
        </w:rPr>
        <w:t>8.</w:t>
      </w:r>
      <w:r w:rsidR="004C1545">
        <w:rPr>
          <w:rFonts w:cs="Arial"/>
          <w:lang w:eastAsia="en-AU"/>
        </w:rPr>
        <w:t>1</w:t>
      </w:r>
      <w:r w:rsidRPr="005F5FB7">
        <w:rPr>
          <w:rFonts w:cs="Arial"/>
          <w:lang w:eastAsia="en-AU"/>
        </w:rPr>
        <w:t>% (</w:t>
      </w:r>
      <w:r w:rsidR="002B097F">
        <w:rPr>
          <w:rFonts w:cs="Arial"/>
          <w:lang w:eastAsia="en-AU"/>
        </w:rPr>
        <w:t>2,000</w:t>
      </w:r>
      <w:r w:rsidRPr="005F5FB7">
        <w:rPr>
          <w:rFonts w:cs="Arial"/>
          <w:lang w:eastAsia="en-AU"/>
        </w:rPr>
        <w:t xml:space="preserve">) gave birth to at least one liveborn baby (live </w:t>
      </w:r>
      <w:r w:rsidR="00EC42AE">
        <w:rPr>
          <w:rFonts w:cs="Arial"/>
          <w:lang w:eastAsia="en-AU"/>
        </w:rPr>
        <w:t>birth</w:t>
      </w:r>
      <w:r w:rsidRPr="005F5FB7">
        <w:rPr>
          <w:rFonts w:cs="Arial"/>
          <w:lang w:eastAsia="en-AU"/>
        </w:rPr>
        <w:t>) (Table 2</w:t>
      </w:r>
      <w:r w:rsidR="005770B6">
        <w:rPr>
          <w:rFonts w:cs="Arial"/>
          <w:lang w:eastAsia="en-AU"/>
        </w:rPr>
        <w:t>2</w:t>
      </w:r>
      <w:r w:rsidRPr="005F5FB7">
        <w:rPr>
          <w:rFonts w:cs="Arial"/>
          <w:lang w:eastAsia="en-AU"/>
        </w:rPr>
        <w:t>).</w:t>
      </w:r>
    </w:p>
    <w:tbl>
      <w:tblPr>
        <w:tblW w:w="4865" w:type="pct"/>
        <w:tblCellSpacing w:w="0" w:type="dxa"/>
        <w:tblCellMar>
          <w:top w:w="30" w:type="dxa"/>
          <w:left w:w="30" w:type="dxa"/>
          <w:bottom w:w="30" w:type="dxa"/>
          <w:right w:w="30" w:type="dxa"/>
        </w:tblCellMar>
        <w:tblLook w:val="04A0" w:firstRow="1" w:lastRow="0" w:firstColumn="1" w:lastColumn="0" w:noHBand="0" w:noVBand="1"/>
      </w:tblPr>
      <w:tblGrid>
        <w:gridCol w:w="128"/>
        <w:gridCol w:w="1978"/>
        <w:gridCol w:w="790"/>
        <w:gridCol w:w="801"/>
        <w:gridCol w:w="95"/>
        <w:gridCol w:w="792"/>
        <w:gridCol w:w="801"/>
        <w:gridCol w:w="102"/>
        <w:gridCol w:w="792"/>
        <w:gridCol w:w="803"/>
        <w:gridCol w:w="102"/>
        <w:gridCol w:w="801"/>
        <w:gridCol w:w="797"/>
      </w:tblGrid>
      <w:tr w:rsidR="00A54A1F" w:rsidRPr="00617599" w14:paraId="3813E15C" w14:textId="77777777" w:rsidTr="00B9209C">
        <w:trPr>
          <w:tblHeader/>
          <w:tblCellSpacing w:w="0" w:type="dxa"/>
        </w:trPr>
        <w:tc>
          <w:tcPr>
            <w:tcW w:w="5000" w:type="pct"/>
            <w:gridSpan w:val="13"/>
            <w:tcBorders>
              <w:top w:val="nil"/>
              <w:left w:val="nil"/>
              <w:bottom w:val="nil"/>
              <w:right w:val="nil"/>
            </w:tcBorders>
            <w:tcMar>
              <w:top w:w="0" w:type="dxa"/>
              <w:left w:w="0" w:type="dxa"/>
              <w:bottom w:w="0" w:type="dxa"/>
              <w:right w:w="0" w:type="dxa"/>
            </w:tcMar>
            <w:vAlign w:val="center"/>
            <w:hideMark/>
          </w:tcPr>
          <w:p w14:paraId="12D95EBB" w14:textId="4A072EEC" w:rsidR="00DA4D6A" w:rsidRPr="00617599" w:rsidRDefault="00DA4D6A" w:rsidP="00360E75">
            <w:pPr>
              <w:pStyle w:val="Caption"/>
              <w:spacing w:before="60" w:line="260" w:lineRule="atLeast"/>
              <w:rPr>
                <w:rFonts w:eastAsia="Times New Roman"/>
                <w:lang w:eastAsia="en-AU"/>
              </w:rPr>
            </w:pPr>
            <w:bookmarkStart w:id="330" w:name="_Toc158026571"/>
            <w:r w:rsidRPr="00617599">
              <w:rPr>
                <w:rFonts w:eastAsia="Times New Roman"/>
                <w:lang w:eastAsia="en-AU"/>
              </w:rPr>
              <w:t xml:space="preserve">Table </w:t>
            </w:r>
            <w:r w:rsidR="00617599" w:rsidRPr="00617599">
              <w:rPr>
                <w:rFonts w:eastAsia="Times New Roman"/>
                <w:lang w:eastAsia="en-AU"/>
              </w:rPr>
              <w:t>2</w:t>
            </w:r>
            <w:r w:rsidR="00F400A5">
              <w:rPr>
                <w:rFonts w:eastAsia="Times New Roman"/>
                <w:lang w:eastAsia="en-AU"/>
              </w:rPr>
              <w:t>2</w:t>
            </w:r>
            <w:r w:rsidRPr="00617599">
              <w:rPr>
                <w:rFonts w:eastAsia="Times New Roman"/>
                <w:lang w:eastAsia="en-AU"/>
              </w:rPr>
              <w:t xml:space="preserve">: </w:t>
            </w:r>
            <w:r w:rsidR="00C736CE">
              <w:rPr>
                <w:rFonts w:eastAsia="Times New Roman"/>
                <w:lang w:eastAsia="en-AU"/>
              </w:rPr>
              <w:t>Births</w:t>
            </w:r>
            <w:r w:rsidRPr="00617599">
              <w:rPr>
                <w:rFonts w:eastAsia="Times New Roman"/>
                <w:lang w:eastAsia="en-AU"/>
              </w:rPr>
              <w:t xml:space="preserve"> by </w:t>
            </w:r>
            <w:r w:rsidR="00EC42AE">
              <w:rPr>
                <w:rFonts w:eastAsia="Times New Roman"/>
                <w:lang w:eastAsia="en-AU"/>
              </w:rPr>
              <w:t>birth</w:t>
            </w:r>
            <w:r w:rsidRPr="00617599">
              <w:rPr>
                <w:rFonts w:eastAsia="Times New Roman"/>
                <w:lang w:eastAsia="en-AU"/>
              </w:rPr>
              <w:t xml:space="preserve"> outcome and treatment type, </w:t>
            </w:r>
            <w:r w:rsidR="00A501CE">
              <w:rPr>
                <w:rFonts w:eastAsia="Times New Roman"/>
                <w:lang w:eastAsia="en-AU"/>
              </w:rPr>
              <w:t>New Zealand, 20</w:t>
            </w:r>
            <w:r w:rsidR="00E40B55">
              <w:rPr>
                <w:rFonts w:eastAsia="Times New Roman"/>
                <w:lang w:eastAsia="en-AU"/>
              </w:rPr>
              <w:t>2</w:t>
            </w:r>
            <w:r w:rsidR="00D4047A">
              <w:rPr>
                <w:rFonts w:eastAsia="Times New Roman"/>
                <w:lang w:eastAsia="en-AU"/>
              </w:rPr>
              <w:t>1</w:t>
            </w:r>
            <w:bookmarkEnd w:id="330"/>
            <w:r w:rsidR="00A501CE">
              <w:rPr>
                <w:rFonts w:eastAsia="Times New Roman"/>
                <w:lang w:eastAsia="en-AU"/>
              </w:rPr>
              <w:t xml:space="preserve"> </w:t>
            </w:r>
          </w:p>
        </w:tc>
      </w:tr>
      <w:tr w:rsidR="00B9209C" w:rsidRPr="00617599" w14:paraId="2ADCFA8B" w14:textId="77777777" w:rsidTr="00D4047A">
        <w:trPr>
          <w:trHeight w:val="227"/>
          <w:tblHeader/>
          <w:tblCellSpacing w:w="0" w:type="dxa"/>
        </w:trPr>
        <w:tc>
          <w:tcPr>
            <w:tcW w:w="1199" w:type="pct"/>
            <w:gridSpan w:val="2"/>
            <w:tcBorders>
              <w:top w:val="single" w:sz="12" w:space="0" w:color="000000"/>
              <w:left w:val="nil"/>
              <w:bottom w:val="nil"/>
              <w:right w:val="nil"/>
            </w:tcBorders>
            <w:tcMar>
              <w:top w:w="28" w:type="dxa"/>
              <w:left w:w="0" w:type="dxa"/>
              <w:bottom w:w="0" w:type="dxa"/>
              <w:right w:w="0" w:type="dxa"/>
            </w:tcMar>
            <w:vAlign w:val="center"/>
            <w:hideMark/>
          </w:tcPr>
          <w:p w14:paraId="6DB94D74" w14:textId="77777777" w:rsidR="00DA4D6A" w:rsidRPr="00617599" w:rsidRDefault="00DA4D6A" w:rsidP="00360E75">
            <w:pPr>
              <w:spacing w:after="0" w:line="276" w:lineRule="auto"/>
              <w:rPr>
                <w:rFonts w:ascii="Arial" w:eastAsia="Times New Roman" w:hAnsi="Arial" w:cs="Arial"/>
                <w:sz w:val="16"/>
                <w:szCs w:val="16"/>
                <w:lang w:eastAsia="en-AU"/>
              </w:rPr>
            </w:pPr>
          </w:p>
        </w:tc>
        <w:tc>
          <w:tcPr>
            <w:tcW w:w="1867" w:type="pct"/>
            <w:gridSpan w:val="5"/>
            <w:tcBorders>
              <w:top w:val="single" w:sz="12" w:space="0" w:color="000000"/>
              <w:left w:val="nil"/>
              <w:bottom w:val="single" w:sz="6" w:space="0" w:color="000000"/>
              <w:right w:val="nil"/>
            </w:tcBorders>
            <w:tcMar>
              <w:top w:w="28" w:type="dxa"/>
              <w:left w:w="0" w:type="dxa"/>
              <w:bottom w:w="28" w:type="dxa"/>
              <w:right w:w="0" w:type="dxa"/>
            </w:tcMar>
            <w:vAlign w:val="center"/>
            <w:hideMark/>
          </w:tcPr>
          <w:p w14:paraId="78DD3C78" w14:textId="77777777" w:rsidR="00DA4D6A" w:rsidRPr="00617599" w:rsidRDefault="00DA4D6A"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Autologous </w:t>
            </w:r>
          </w:p>
        </w:tc>
        <w:tc>
          <w:tcPr>
            <w:tcW w:w="58" w:type="pct"/>
            <w:tcBorders>
              <w:top w:val="single" w:sz="12" w:space="0" w:color="000000"/>
              <w:left w:val="nil"/>
              <w:bottom w:val="nil"/>
              <w:right w:val="nil"/>
            </w:tcBorders>
            <w:tcMar>
              <w:top w:w="28" w:type="dxa"/>
              <w:left w:w="0" w:type="dxa"/>
              <w:bottom w:w="0" w:type="dxa"/>
              <w:right w:w="0" w:type="dxa"/>
            </w:tcMar>
            <w:vAlign w:val="center"/>
            <w:hideMark/>
          </w:tcPr>
          <w:p w14:paraId="5A65C5FF" w14:textId="77777777" w:rsidR="00DA4D6A" w:rsidRPr="00617599" w:rsidRDefault="00DA4D6A"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1876" w:type="pct"/>
            <w:gridSpan w:val="5"/>
            <w:tcBorders>
              <w:top w:val="single" w:sz="12" w:space="0" w:color="000000"/>
              <w:left w:val="nil"/>
              <w:bottom w:val="nil"/>
              <w:right w:val="nil"/>
            </w:tcBorders>
            <w:tcMar>
              <w:top w:w="28" w:type="dxa"/>
              <w:left w:w="0" w:type="dxa"/>
              <w:bottom w:w="0" w:type="dxa"/>
              <w:right w:w="0" w:type="dxa"/>
            </w:tcMar>
            <w:vAlign w:val="center"/>
            <w:hideMark/>
          </w:tcPr>
          <w:p w14:paraId="0D69B1F7" w14:textId="77777777" w:rsidR="00DA4D6A" w:rsidRPr="00617599" w:rsidRDefault="00DA4D6A" w:rsidP="00360E75">
            <w:pPr>
              <w:spacing w:after="0" w:line="276" w:lineRule="auto"/>
              <w:rPr>
                <w:rFonts w:ascii="Arial" w:eastAsia="Times New Roman" w:hAnsi="Arial" w:cs="Arial"/>
                <w:b/>
                <w:bCs/>
                <w:sz w:val="16"/>
                <w:szCs w:val="16"/>
                <w:lang w:eastAsia="en-AU"/>
              </w:rPr>
            </w:pPr>
          </w:p>
        </w:tc>
      </w:tr>
      <w:tr w:rsidR="00B9209C" w:rsidRPr="00617599" w14:paraId="67CDD13A" w14:textId="77777777" w:rsidTr="00D4047A">
        <w:trPr>
          <w:trHeight w:val="227"/>
          <w:tblHeader/>
          <w:tblCellSpacing w:w="0" w:type="dxa"/>
        </w:trPr>
        <w:tc>
          <w:tcPr>
            <w:tcW w:w="1199" w:type="pct"/>
            <w:gridSpan w:val="2"/>
            <w:tcBorders>
              <w:top w:val="nil"/>
              <w:left w:val="nil"/>
              <w:bottom w:val="nil"/>
              <w:right w:val="nil"/>
            </w:tcBorders>
            <w:tcMar>
              <w:top w:w="0" w:type="dxa"/>
              <w:left w:w="0" w:type="dxa"/>
              <w:bottom w:w="0" w:type="dxa"/>
              <w:right w:w="0" w:type="dxa"/>
            </w:tcMar>
            <w:vAlign w:val="center"/>
            <w:hideMark/>
          </w:tcPr>
          <w:p w14:paraId="7A84679B" w14:textId="77777777" w:rsidR="00DA4D6A" w:rsidRPr="00617599" w:rsidRDefault="00DA4D6A" w:rsidP="00360E75">
            <w:pPr>
              <w:spacing w:after="0" w:line="276" w:lineRule="auto"/>
              <w:jc w:val="center"/>
              <w:rPr>
                <w:rFonts w:ascii="Arial" w:eastAsia="Times New Roman" w:hAnsi="Arial" w:cs="Arial"/>
                <w:sz w:val="16"/>
                <w:szCs w:val="16"/>
                <w:lang w:eastAsia="en-AU"/>
              </w:rPr>
            </w:pPr>
          </w:p>
        </w:tc>
        <w:tc>
          <w:tcPr>
            <w:tcW w:w="906" w:type="pct"/>
            <w:gridSpan w:val="2"/>
            <w:tcBorders>
              <w:top w:val="nil"/>
              <w:left w:val="nil"/>
              <w:bottom w:val="single" w:sz="6" w:space="0" w:color="000000"/>
              <w:right w:val="nil"/>
            </w:tcBorders>
            <w:tcMar>
              <w:top w:w="0" w:type="dxa"/>
              <w:left w:w="0" w:type="dxa"/>
              <w:bottom w:w="28" w:type="dxa"/>
              <w:right w:w="0" w:type="dxa"/>
            </w:tcMar>
            <w:vAlign w:val="center"/>
            <w:hideMark/>
          </w:tcPr>
          <w:p w14:paraId="44879F97" w14:textId="77777777" w:rsidR="00DA4D6A" w:rsidRPr="00617599" w:rsidRDefault="00DA4D6A"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Fresh </w:t>
            </w:r>
          </w:p>
        </w:tc>
        <w:tc>
          <w:tcPr>
            <w:tcW w:w="54" w:type="pct"/>
            <w:tcBorders>
              <w:top w:val="nil"/>
              <w:left w:val="nil"/>
              <w:bottom w:val="nil"/>
              <w:right w:val="nil"/>
            </w:tcBorders>
            <w:tcMar>
              <w:top w:w="0" w:type="dxa"/>
              <w:left w:w="0" w:type="dxa"/>
              <w:bottom w:w="0" w:type="dxa"/>
              <w:right w:w="0" w:type="dxa"/>
            </w:tcMar>
            <w:vAlign w:val="center"/>
            <w:hideMark/>
          </w:tcPr>
          <w:p w14:paraId="22024E7B" w14:textId="77777777" w:rsidR="00DA4D6A" w:rsidRPr="00617599" w:rsidRDefault="00DA4D6A"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907" w:type="pct"/>
            <w:gridSpan w:val="2"/>
            <w:tcBorders>
              <w:top w:val="nil"/>
              <w:left w:val="nil"/>
              <w:bottom w:val="single" w:sz="6" w:space="0" w:color="000000"/>
              <w:right w:val="nil"/>
            </w:tcBorders>
            <w:tcMar>
              <w:top w:w="0" w:type="dxa"/>
              <w:left w:w="0" w:type="dxa"/>
              <w:bottom w:w="28" w:type="dxa"/>
              <w:right w:w="0" w:type="dxa"/>
            </w:tcMar>
            <w:vAlign w:val="center"/>
            <w:hideMark/>
          </w:tcPr>
          <w:p w14:paraId="4D898A5E" w14:textId="77777777" w:rsidR="00DA4D6A" w:rsidRPr="00617599" w:rsidRDefault="00DA4D6A"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Thaw </w:t>
            </w:r>
          </w:p>
        </w:tc>
        <w:tc>
          <w:tcPr>
            <w:tcW w:w="58" w:type="pct"/>
            <w:tcBorders>
              <w:top w:val="nil"/>
              <w:left w:val="nil"/>
              <w:bottom w:val="nil"/>
              <w:right w:val="nil"/>
            </w:tcBorders>
            <w:tcMar>
              <w:top w:w="0" w:type="dxa"/>
              <w:left w:w="0" w:type="dxa"/>
              <w:bottom w:w="0" w:type="dxa"/>
              <w:right w:w="0" w:type="dxa"/>
            </w:tcMar>
            <w:vAlign w:val="center"/>
            <w:hideMark/>
          </w:tcPr>
          <w:p w14:paraId="308E0F24" w14:textId="77777777" w:rsidR="00DA4D6A" w:rsidRPr="00617599" w:rsidRDefault="00DA4D6A"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908" w:type="pct"/>
            <w:gridSpan w:val="2"/>
            <w:tcBorders>
              <w:top w:val="nil"/>
              <w:left w:val="nil"/>
              <w:bottom w:val="single" w:sz="6" w:space="0" w:color="000000"/>
              <w:right w:val="nil"/>
            </w:tcBorders>
            <w:tcMar>
              <w:top w:w="0" w:type="dxa"/>
              <w:left w:w="0" w:type="dxa"/>
              <w:bottom w:w="28" w:type="dxa"/>
              <w:right w:w="0" w:type="dxa"/>
            </w:tcMar>
            <w:vAlign w:val="center"/>
            <w:hideMark/>
          </w:tcPr>
          <w:p w14:paraId="54E7AD7F" w14:textId="77777777" w:rsidR="00DA4D6A" w:rsidRPr="00617599" w:rsidRDefault="003D3244"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Oocyte/embryo   </w:t>
            </w:r>
            <w:r w:rsidR="00DA4D6A" w:rsidRPr="00617599">
              <w:rPr>
                <w:rFonts w:ascii="Arial" w:eastAsia="Times New Roman" w:hAnsi="Arial" w:cs="Arial"/>
                <w:b/>
                <w:bCs/>
                <w:sz w:val="16"/>
                <w:szCs w:val="16"/>
                <w:lang w:eastAsia="en-AU"/>
              </w:rPr>
              <w:t xml:space="preserve">recipient </w:t>
            </w:r>
          </w:p>
        </w:tc>
        <w:tc>
          <w:tcPr>
            <w:tcW w:w="58" w:type="pct"/>
            <w:tcBorders>
              <w:top w:val="nil"/>
              <w:left w:val="nil"/>
              <w:bottom w:val="nil"/>
              <w:right w:val="nil"/>
            </w:tcBorders>
            <w:tcMar>
              <w:top w:w="0" w:type="dxa"/>
              <w:left w:w="0" w:type="dxa"/>
              <w:bottom w:w="0" w:type="dxa"/>
              <w:right w:w="0" w:type="dxa"/>
            </w:tcMar>
            <w:vAlign w:val="center"/>
            <w:hideMark/>
          </w:tcPr>
          <w:p w14:paraId="56F7BDAC" w14:textId="77777777" w:rsidR="00DA4D6A" w:rsidRPr="00617599" w:rsidRDefault="00DA4D6A"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910" w:type="pct"/>
            <w:gridSpan w:val="2"/>
            <w:tcBorders>
              <w:top w:val="nil"/>
              <w:left w:val="nil"/>
              <w:bottom w:val="single" w:sz="6" w:space="0" w:color="000000"/>
              <w:right w:val="nil"/>
            </w:tcBorders>
            <w:tcMar>
              <w:top w:w="0" w:type="dxa"/>
              <w:left w:w="0" w:type="dxa"/>
              <w:bottom w:w="28" w:type="dxa"/>
              <w:right w:w="0" w:type="dxa"/>
            </w:tcMar>
            <w:vAlign w:val="center"/>
            <w:hideMark/>
          </w:tcPr>
          <w:p w14:paraId="793455D5" w14:textId="77777777" w:rsidR="00DA4D6A" w:rsidRPr="00617599" w:rsidRDefault="00DA4D6A"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All </w:t>
            </w:r>
          </w:p>
        </w:tc>
      </w:tr>
      <w:tr w:rsidR="00B9209C" w:rsidRPr="00617599" w14:paraId="344C075E" w14:textId="77777777" w:rsidTr="00D4047A">
        <w:trPr>
          <w:trHeight w:val="227"/>
          <w:tblHeader/>
          <w:tblCellSpacing w:w="0" w:type="dxa"/>
        </w:trPr>
        <w:tc>
          <w:tcPr>
            <w:tcW w:w="1199" w:type="pct"/>
            <w:gridSpan w:val="2"/>
            <w:tcBorders>
              <w:top w:val="nil"/>
              <w:left w:val="nil"/>
              <w:bottom w:val="single" w:sz="6" w:space="0" w:color="000000"/>
              <w:right w:val="nil"/>
            </w:tcBorders>
            <w:tcMar>
              <w:top w:w="0" w:type="dxa"/>
              <w:left w:w="0" w:type="dxa"/>
              <w:bottom w:w="28" w:type="dxa"/>
              <w:right w:w="0" w:type="dxa"/>
            </w:tcMar>
            <w:vAlign w:val="center"/>
            <w:hideMark/>
          </w:tcPr>
          <w:p w14:paraId="5DE079DB" w14:textId="77777777" w:rsidR="000E2E9E" w:rsidRPr="00617599" w:rsidRDefault="000E2E9E" w:rsidP="00360E75">
            <w:pPr>
              <w:spacing w:after="0" w:line="276" w:lineRule="auto"/>
              <w:rPr>
                <w:rFonts w:ascii="Arial" w:eastAsia="Times New Roman" w:hAnsi="Arial" w:cs="Arial"/>
                <w:b/>
                <w:bCs/>
                <w:sz w:val="16"/>
                <w:szCs w:val="16"/>
                <w:lang w:eastAsia="en-AU"/>
              </w:rPr>
            </w:pPr>
          </w:p>
        </w:tc>
        <w:tc>
          <w:tcPr>
            <w:tcW w:w="450" w:type="pct"/>
            <w:tcBorders>
              <w:top w:val="nil"/>
              <w:left w:val="nil"/>
              <w:bottom w:val="single" w:sz="6" w:space="0" w:color="000000"/>
              <w:right w:val="nil"/>
            </w:tcBorders>
            <w:tcMar>
              <w:top w:w="0" w:type="dxa"/>
              <w:left w:w="0" w:type="dxa"/>
              <w:bottom w:w="28" w:type="dxa"/>
              <w:right w:w="0" w:type="dxa"/>
            </w:tcMar>
            <w:vAlign w:val="center"/>
            <w:hideMark/>
          </w:tcPr>
          <w:p w14:paraId="07AFB3F5" w14:textId="1ACA741F"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56" w:type="pct"/>
            <w:tcBorders>
              <w:top w:val="nil"/>
              <w:left w:val="nil"/>
              <w:bottom w:val="single" w:sz="6" w:space="0" w:color="000000"/>
              <w:right w:val="nil"/>
            </w:tcBorders>
            <w:tcMar>
              <w:top w:w="0" w:type="dxa"/>
              <w:left w:w="0" w:type="dxa"/>
              <w:bottom w:w="28" w:type="dxa"/>
              <w:right w:w="0" w:type="dxa"/>
            </w:tcMar>
            <w:vAlign w:val="center"/>
            <w:hideMark/>
          </w:tcPr>
          <w:p w14:paraId="7A9778F8" w14:textId="63D5801B"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54" w:type="pct"/>
            <w:tcBorders>
              <w:top w:val="nil"/>
              <w:left w:val="nil"/>
              <w:bottom w:val="single" w:sz="6" w:space="0" w:color="000000"/>
              <w:right w:val="nil"/>
            </w:tcBorders>
            <w:tcMar>
              <w:top w:w="0" w:type="dxa"/>
              <w:left w:w="0" w:type="dxa"/>
              <w:bottom w:w="28" w:type="dxa"/>
              <w:right w:w="0" w:type="dxa"/>
            </w:tcMar>
            <w:vAlign w:val="center"/>
            <w:hideMark/>
          </w:tcPr>
          <w:p w14:paraId="2008C06D" w14:textId="77777777" w:rsidR="000E2E9E" w:rsidRPr="00617599" w:rsidRDefault="000E2E9E"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451" w:type="pct"/>
            <w:tcBorders>
              <w:top w:val="nil"/>
              <w:left w:val="nil"/>
              <w:bottom w:val="single" w:sz="6" w:space="0" w:color="000000"/>
              <w:right w:val="nil"/>
            </w:tcBorders>
            <w:tcMar>
              <w:top w:w="0" w:type="dxa"/>
              <w:left w:w="0" w:type="dxa"/>
              <w:bottom w:w="28" w:type="dxa"/>
              <w:right w:w="0" w:type="dxa"/>
            </w:tcMar>
            <w:vAlign w:val="center"/>
            <w:hideMark/>
          </w:tcPr>
          <w:p w14:paraId="0ACAD2AB" w14:textId="10A08A84"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56" w:type="pct"/>
            <w:tcBorders>
              <w:top w:val="nil"/>
              <w:left w:val="nil"/>
              <w:bottom w:val="single" w:sz="6" w:space="0" w:color="000000"/>
              <w:right w:val="nil"/>
            </w:tcBorders>
            <w:tcMar>
              <w:top w:w="0" w:type="dxa"/>
              <w:left w:w="0" w:type="dxa"/>
              <w:bottom w:w="28" w:type="dxa"/>
              <w:right w:w="0" w:type="dxa"/>
            </w:tcMar>
            <w:vAlign w:val="center"/>
            <w:hideMark/>
          </w:tcPr>
          <w:p w14:paraId="22009F06" w14:textId="79EEA358"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58" w:type="pct"/>
            <w:tcBorders>
              <w:top w:val="nil"/>
              <w:left w:val="nil"/>
              <w:bottom w:val="single" w:sz="6" w:space="0" w:color="000000"/>
              <w:right w:val="nil"/>
            </w:tcBorders>
            <w:tcMar>
              <w:top w:w="0" w:type="dxa"/>
              <w:left w:w="0" w:type="dxa"/>
              <w:bottom w:w="28" w:type="dxa"/>
              <w:right w:w="0" w:type="dxa"/>
            </w:tcMar>
            <w:vAlign w:val="center"/>
            <w:hideMark/>
          </w:tcPr>
          <w:p w14:paraId="0CE165CD" w14:textId="77777777" w:rsidR="000E2E9E" w:rsidRPr="00617599" w:rsidRDefault="000E2E9E"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451" w:type="pct"/>
            <w:tcBorders>
              <w:top w:val="nil"/>
              <w:left w:val="nil"/>
              <w:bottom w:val="single" w:sz="6" w:space="0" w:color="000000"/>
              <w:right w:val="nil"/>
            </w:tcBorders>
            <w:tcMar>
              <w:top w:w="0" w:type="dxa"/>
              <w:left w:w="0" w:type="dxa"/>
              <w:bottom w:w="28" w:type="dxa"/>
              <w:right w:w="0" w:type="dxa"/>
            </w:tcMar>
            <w:vAlign w:val="center"/>
            <w:hideMark/>
          </w:tcPr>
          <w:p w14:paraId="3E0B1AED" w14:textId="52FD6C6A"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57" w:type="pct"/>
            <w:tcBorders>
              <w:top w:val="nil"/>
              <w:left w:val="nil"/>
              <w:bottom w:val="single" w:sz="6" w:space="0" w:color="000000"/>
              <w:right w:val="nil"/>
            </w:tcBorders>
            <w:tcMar>
              <w:top w:w="0" w:type="dxa"/>
              <w:left w:w="0" w:type="dxa"/>
              <w:bottom w:w="28" w:type="dxa"/>
              <w:right w:w="0" w:type="dxa"/>
            </w:tcMar>
            <w:vAlign w:val="center"/>
            <w:hideMark/>
          </w:tcPr>
          <w:p w14:paraId="4B14CB71" w14:textId="5F350BAD"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58" w:type="pct"/>
            <w:tcBorders>
              <w:top w:val="nil"/>
              <w:left w:val="nil"/>
              <w:bottom w:val="single" w:sz="6" w:space="0" w:color="000000"/>
              <w:right w:val="nil"/>
            </w:tcBorders>
            <w:tcMar>
              <w:top w:w="0" w:type="dxa"/>
              <w:left w:w="0" w:type="dxa"/>
              <w:bottom w:w="28" w:type="dxa"/>
              <w:right w:w="0" w:type="dxa"/>
            </w:tcMar>
            <w:vAlign w:val="center"/>
            <w:hideMark/>
          </w:tcPr>
          <w:p w14:paraId="77CD839E" w14:textId="77777777" w:rsidR="000E2E9E" w:rsidRPr="00617599" w:rsidRDefault="000E2E9E"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456" w:type="pct"/>
            <w:tcBorders>
              <w:top w:val="nil"/>
              <w:left w:val="nil"/>
              <w:bottom w:val="single" w:sz="6" w:space="0" w:color="000000"/>
              <w:right w:val="nil"/>
            </w:tcBorders>
            <w:tcMar>
              <w:top w:w="0" w:type="dxa"/>
              <w:left w:w="0" w:type="dxa"/>
              <w:bottom w:w="28" w:type="dxa"/>
              <w:right w:w="0" w:type="dxa"/>
            </w:tcMar>
            <w:vAlign w:val="center"/>
            <w:hideMark/>
          </w:tcPr>
          <w:p w14:paraId="223F2EE0" w14:textId="110DDEA4"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54" w:type="pct"/>
            <w:tcBorders>
              <w:top w:val="nil"/>
              <w:left w:val="nil"/>
              <w:bottom w:val="single" w:sz="6" w:space="0" w:color="000000"/>
              <w:right w:val="nil"/>
            </w:tcBorders>
            <w:tcMar>
              <w:top w:w="0" w:type="dxa"/>
              <w:left w:w="0" w:type="dxa"/>
              <w:bottom w:w="28" w:type="dxa"/>
              <w:right w:w="0" w:type="dxa"/>
            </w:tcMar>
            <w:vAlign w:val="center"/>
            <w:hideMark/>
          </w:tcPr>
          <w:p w14:paraId="6CF5FF32" w14:textId="5C22F78B"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r>
      <w:tr w:rsidR="00D4047A" w:rsidRPr="00617599" w14:paraId="001829B4" w14:textId="77777777" w:rsidTr="00D4047A">
        <w:trPr>
          <w:trHeight w:val="227"/>
          <w:tblCellSpacing w:w="0" w:type="dxa"/>
        </w:trPr>
        <w:tc>
          <w:tcPr>
            <w:tcW w:w="1199" w:type="pct"/>
            <w:gridSpan w:val="2"/>
            <w:tcBorders>
              <w:top w:val="nil"/>
              <w:left w:val="nil"/>
              <w:bottom w:val="nil"/>
              <w:right w:val="nil"/>
            </w:tcBorders>
            <w:tcMar>
              <w:top w:w="0" w:type="dxa"/>
              <w:left w:w="0" w:type="dxa"/>
              <w:bottom w:w="0" w:type="dxa"/>
              <w:right w:w="0" w:type="dxa"/>
            </w:tcMar>
            <w:vAlign w:val="center"/>
            <w:hideMark/>
          </w:tcPr>
          <w:p w14:paraId="63C371B2" w14:textId="74B17380" w:rsidR="00D4047A" w:rsidRPr="00617599" w:rsidRDefault="00D4047A" w:rsidP="00D4047A">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Live </w:t>
            </w:r>
            <w:r>
              <w:rPr>
                <w:rFonts w:ascii="Arial" w:eastAsia="Times New Roman" w:hAnsi="Arial" w:cs="Arial"/>
                <w:sz w:val="16"/>
                <w:szCs w:val="16"/>
                <w:lang w:eastAsia="en-AU"/>
              </w:rPr>
              <w:t>birth</w:t>
            </w:r>
            <w:r w:rsidRPr="00617599">
              <w:rPr>
                <w:rFonts w:ascii="Arial" w:eastAsia="Times New Roman" w:hAnsi="Arial" w:cs="Arial"/>
                <w:sz w:val="16"/>
                <w:szCs w:val="16"/>
                <w:lang w:eastAsia="en-AU"/>
              </w:rPr>
              <w:t xml:space="preserve"> </w:t>
            </w:r>
          </w:p>
        </w:tc>
        <w:tc>
          <w:tcPr>
            <w:tcW w:w="450" w:type="pct"/>
            <w:tcBorders>
              <w:top w:val="nil"/>
              <w:left w:val="nil"/>
              <w:bottom w:val="nil"/>
              <w:right w:val="nil"/>
            </w:tcBorders>
            <w:tcMar>
              <w:top w:w="0" w:type="dxa"/>
              <w:left w:w="0" w:type="dxa"/>
              <w:bottom w:w="0" w:type="dxa"/>
              <w:right w:w="0" w:type="dxa"/>
            </w:tcMar>
            <w:vAlign w:val="bottom"/>
            <w:hideMark/>
          </w:tcPr>
          <w:p w14:paraId="5BED9D9E" w14:textId="6755A8C2"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476</w:t>
            </w:r>
          </w:p>
        </w:tc>
        <w:tc>
          <w:tcPr>
            <w:tcW w:w="456" w:type="pct"/>
            <w:tcBorders>
              <w:top w:val="nil"/>
              <w:left w:val="nil"/>
              <w:bottom w:val="nil"/>
              <w:right w:val="nil"/>
            </w:tcBorders>
            <w:tcMar>
              <w:top w:w="0" w:type="dxa"/>
              <w:left w:w="0" w:type="dxa"/>
              <w:bottom w:w="0" w:type="dxa"/>
              <w:right w:w="0" w:type="dxa"/>
            </w:tcMar>
            <w:vAlign w:val="bottom"/>
            <w:hideMark/>
          </w:tcPr>
          <w:p w14:paraId="45C49C13" w14:textId="6BAFC18F"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99.2</w:t>
            </w:r>
          </w:p>
        </w:tc>
        <w:tc>
          <w:tcPr>
            <w:tcW w:w="54" w:type="pct"/>
            <w:tcBorders>
              <w:top w:val="nil"/>
              <w:left w:val="nil"/>
              <w:bottom w:val="nil"/>
              <w:right w:val="nil"/>
            </w:tcBorders>
            <w:tcMar>
              <w:top w:w="0" w:type="dxa"/>
              <w:left w:w="0" w:type="dxa"/>
              <w:bottom w:w="0" w:type="dxa"/>
              <w:right w:w="0" w:type="dxa"/>
            </w:tcMar>
            <w:vAlign w:val="center"/>
            <w:hideMark/>
          </w:tcPr>
          <w:p w14:paraId="22A47167" w14:textId="3B362AB0"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51" w:type="pct"/>
            <w:tcBorders>
              <w:top w:val="nil"/>
              <w:left w:val="nil"/>
              <w:bottom w:val="nil"/>
              <w:right w:val="nil"/>
            </w:tcBorders>
            <w:tcMar>
              <w:top w:w="0" w:type="dxa"/>
              <w:left w:w="0" w:type="dxa"/>
              <w:bottom w:w="0" w:type="dxa"/>
              <w:right w:w="0" w:type="dxa"/>
            </w:tcMar>
            <w:vAlign w:val="bottom"/>
            <w:hideMark/>
          </w:tcPr>
          <w:p w14:paraId="199F307F" w14:textId="33F9EB79"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1</w:t>
            </w:r>
            <w:r w:rsidR="008B64E1">
              <w:rPr>
                <w:rFonts w:ascii="Arial" w:hAnsi="Arial" w:cs="Arial"/>
                <w:sz w:val="16"/>
                <w:szCs w:val="16"/>
              </w:rPr>
              <w:t>,</w:t>
            </w:r>
            <w:r>
              <w:rPr>
                <w:rFonts w:ascii="Arial" w:hAnsi="Arial" w:cs="Arial"/>
                <w:sz w:val="16"/>
                <w:szCs w:val="16"/>
              </w:rPr>
              <w:t>403</w:t>
            </w:r>
          </w:p>
        </w:tc>
        <w:tc>
          <w:tcPr>
            <w:tcW w:w="456" w:type="pct"/>
            <w:tcBorders>
              <w:top w:val="nil"/>
              <w:left w:val="nil"/>
              <w:bottom w:val="nil"/>
              <w:right w:val="nil"/>
            </w:tcBorders>
            <w:tcMar>
              <w:top w:w="0" w:type="dxa"/>
              <w:left w:w="0" w:type="dxa"/>
              <w:bottom w:w="0" w:type="dxa"/>
              <w:right w:w="0" w:type="dxa"/>
            </w:tcMar>
            <w:vAlign w:val="bottom"/>
            <w:hideMark/>
          </w:tcPr>
          <w:p w14:paraId="0B1434D5" w14:textId="72D67165"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9</w:t>
            </w:r>
            <w:r w:rsidR="008B64E1">
              <w:rPr>
                <w:rFonts w:ascii="Arial" w:hAnsi="Arial" w:cs="Arial"/>
                <w:sz w:val="16"/>
                <w:szCs w:val="16"/>
              </w:rPr>
              <w:t>7.8</w:t>
            </w:r>
          </w:p>
        </w:tc>
        <w:tc>
          <w:tcPr>
            <w:tcW w:w="58" w:type="pct"/>
            <w:tcBorders>
              <w:top w:val="nil"/>
              <w:left w:val="nil"/>
              <w:bottom w:val="nil"/>
              <w:right w:val="nil"/>
            </w:tcBorders>
            <w:tcMar>
              <w:top w:w="0" w:type="dxa"/>
              <w:left w:w="0" w:type="dxa"/>
              <w:bottom w:w="0" w:type="dxa"/>
              <w:right w:w="0" w:type="dxa"/>
            </w:tcMar>
            <w:vAlign w:val="center"/>
            <w:hideMark/>
          </w:tcPr>
          <w:p w14:paraId="213B87CD" w14:textId="0347AE18"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51" w:type="pct"/>
            <w:tcBorders>
              <w:top w:val="nil"/>
              <w:left w:val="nil"/>
              <w:bottom w:val="nil"/>
              <w:right w:val="nil"/>
            </w:tcBorders>
            <w:tcMar>
              <w:top w:w="0" w:type="dxa"/>
              <w:left w:w="0" w:type="dxa"/>
              <w:bottom w:w="0" w:type="dxa"/>
              <w:right w:w="0" w:type="dxa"/>
            </w:tcMar>
            <w:vAlign w:val="bottom"/>
            <w:hideMark/>
          </w:tcPr>
          <w:p w14:paraId="03D594B3" w14:textId="20C469FD"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121</w:t>
            </w:r>
          </w:p>
        </w:tc>
        <w:tc>
          <w:tcPr>
            <w:tcW w:w="457" w:type="pct"/>
            <w:tcBorders>
              <w:top w:val="nil"/>
              <w:left w:val="nil"/>
              <w:bottom w:val="nil"/>
              <w:right w:val="nil"/>
            </w:tcBorders>
            <w:tcMar>
              <w:top w:w="0" w:type="dxa"/>
              <w:left w:w="0" w:type="dxa"/>
              <w:bottom w:w="0" w:type="dxa"/>
              <w:right w:w="0" w:type="dxa"/>
            </w:tcMar>
            <w:vAlign w:val="bottom"/>
            <w:hideMark/>
          </w:tcPr>
          <w:p w14:paraId="33B6469C" w14:textId="155F60EC"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97.6</w:t>
            </w:r>
          </w:p>
        </w:tc>
        <w:tc>
          <w:tcPr>
            <w:tcW w:w="58" w:type="pct"/>
            <w:tcBorders>
              <w:top w:val="nil"/>
              <w:left w:val="nil"/>
              <w:bottom w:val="nil"/>
              <w:right w:val="nil"/>
            </w:tcBorders>
            <w:tcMar>
              <w:top w:w="0" w:type="dxa"/>
              <w:left w:w="0" w:type="dxa"/>
              <w:bottom w:w="0" w:type="dxa"/>
              <w:right w:w="0" w:type="dxa"/>
            </w:tcMar>
            <w:vAlign w:val="center"/>
            <w:hideMark/>
          </w:tcPr>
          <w:p w14:paraId="72BF8F42" w14:textId="3A26CCEF"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56" w:type="pct"/>
            <w:tcBorders>
              <w:top w:val="nil"/>
              <w:left w:val="nil"/>
              <w:bottom w:val="nil"/>
              <w:right w:val="nil"/>
            </w:tcBorders>
            <w:tcMar>
              <w:top w:w="0" w:type="dxa"/>
              <w:left w:w="0" w:type="dxa"/>
              <w:bottom w:w="0" w:type="dxa"/>
              <w:right w:w="0" w:type="dxa"/>
            </w:tcMar>
            <w:vAlign w:val="bottom"/>
            <w:hideMark/>
          </w:tcPr>
          <w:p w14:paraId="39E7C6D8" w14:textId="3008920C"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2,000</w:t>
            </w:r>
          </w:p>
        </w:tc>
        <w:tc>
          <w:tcPr>
            <w:tcW w:w="454" w:type="pct"/>
            <w:tcBorders>
              <w:top w:val="nil"/>
              <w:left w:val="nil"/>
              <w:bottom w:val="nil"/>
              <w:right w:val="nil"/>
            </w:tcBorders>
            <w:tcMar>
              <w:top w:w="0" w:type="dxa"/>
              <w:left w:w="0" w:type="dxa"/>
              <w:bottom w:w="0" w:type="dxa"/>
              <w:right w:w="0" w:type="dxa"/>
            </w:tcMar>
            <w:vAlign w:val="bottom"/>
            <w:hideMark/>
          </w:tcPr>
          <w:p w14:paraId="0BC42DA7" w14:textId="08239AE2"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98.</w:t>
            </w:r>
            <w:r w:rsidR="008B64E1">
              <w:rPr>
                <w:rFonts w:ascii="Arial" w:hAnsi="Arial" w:cs="Arial"/>
                <w:sz w:val="16"/>
                <w:szCs w:val="16"/>
              </w:rPr>
              <w:t>1</w:t>
            </w:r>
          </w:p>
        </w:tc>
      </w:tr>
      <w:tr w:rsidR="00D4047A" w:rsidRPr="00617599" w14:paraId="7D454492" w14:textId="77777777" w:rsidTr="00D4047A">
        <w:trPr>
          <w:gridBefore w:val="1"/>
          <w:wBefore w:w="73" w:type="pct"/>
          <w:trHeight w:val="227"/>
          <w:tblCellSpacing w:w="0" w:type="dxa"/>
        </w:trPr>
        <w:tc>
          <w:tcPr>
            <w:tcW w:w="1126" w:type="pct"/>
            <w:tcBorders>
              <w:top w:val="nil"/>
              <w:left w:val="nil"/>
              <w:bottom w:val="nil"/>
              <w:right w:val="nil"/>
            </w:tcBorders>
            <w:tcMar>
              <w:top w:w="0" w:type="dxa"/>
              <w:left w:w="0" w:type="dxa"/>
              <w:bottom w:w="0" w:type="dxa"/>
              <w:right w:w="0" w:type="dxa"/>
            </w:tcMar>
            <w:vAlign w:val="center"/>
            <w:hideMark/>
          </w:tcPr>
          <w:p w14:paraId="3A047D30" w14:textId="77777777" w:rsidR="00D4047A" w:rsidRPr="00617599" w:rsidRDefault="00D4047A" w:rsidP="00D4047A">
            <w:pPr>
              <w:spacing w:after="0" w:line="276" w:lineRule="auto"/>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&lt; 37 weeks </w:t>
            </w:r>
          </w:p>
        </w:tc>
        <w:tc>
          <w:tcPr>
            <w:tcW w:w="450" w:type="pct"/>
            <w:tcBorders>
              <w:top w:val="nil"/>
              <w:left w:val="nil"/>
              <w:bottom w:val="nil"/>
              <w:right w:val="nil"/>
            </w:tcBorders>
            <w:tcMar>
              <w:top w:w="0" w:type="dxa"/>
              <w:left w:w="0" w:type="dxa"/>
              <w:bottom w:w="0" w:type="dxa"/>
              <w:right w:w="0" w:type="dxa"/>
            </w:tcMar>
            <w:vAlign w:val="bottom"/>
            <w:hideMark/>
          </w:tcPr>
          <w:p w14:paraId="59436704" w14:textId="5D284E29"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55</w:t>
            </w:r>
          </w:p>
        </w:tc>
        <w:tc>
          <w:tcPr>
            <w:tcW w:w="456" w:type="pct"/>
            <w:tcBorders>
              <w:top w:val="nil"/>
              <w:left w:val="nil"/>
              <w:bottom w:val="nil"/>
              <w:right w:val="nil"/>
            </w:tcBorders>
            <w:tcMar>
              <w:top w:w="0" w:type="dxa"/>
              <w:left w:w="0" w:type="dxa"/>
              <w:bottom w:w="0" w:type="dxa"/>
              <w:right w:w="0" w:type="dxa"/>
            </w:tcMar>
            <w:vAlign w:val="bottom"/>
            <w:hideMark/>
          </w:tcPr>
          <w:p w14:paraId="09D3DDFF" w14:textId="5B9C9ADB"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11.5</w:t>
            </w:r>
          </w:p>
        </w:tc>
        <w:tc>
          <w:tcPr>
            <w:tcW w:w="54" w:type="pct"/>
            <w:tcBorders>
              <w:top w:val="nil"/>
              <w:left w:val="nil"/>
              <w:bottom w:val="nil"/>
              <w:right w:val="nil"/>
            </w:tcBorders>
            <w:tcMar>
              <w:top w:w="0" w:type="dxa"/>
              <w:left w:w="0" w:type="dxa"/>
              <w:bottom w:w="0" w:type="dxa"/>
              <w:right w:w="0" w:type="dxa"/>
            </w:tcMar>
            <w:vAlign w:val="bottom"/>
            <w:hideMark/>
          </w:tcPr>
          <w:p w14:paraId="1FF83570" w14:textId="7C2E98E8"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 </w:t>
            </w:r>
          </w:p>
        </w:tc>
        <w:tc>
          <w:tcPr>
            <w:tcW w:w="451" w:type="pct"/>
            <w:tcBorders>
              <w:top w:val="nil"/>
              <w:left w:val="nil"/>
              <w:bottom w:val="nil"/>
              <w:right w:val="nil"/>
            </w:tcBorders>
            <w:tcMar>
              <w:top w:w="0" w:type="dxa"/>
              <w:left w:w="0" w:type="dxa"/>
              <w:bottom w:w="0" w:type="dxa"/>
              <w:right w:w="0" w:type="dxa"/>
            </w:tcMar>
            <w:vAlign w:val="bottom"/>
            <w:hideMark/>
          </w:tcPr>
          <w:p w14:paraId="1026CD33" w14:textId="63FA9957"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105</w:t>
            </w:r>
          </w:p>
        </w:tc>
        <w:tc>
          <w:tcPr>
            <w:tcW w:w="456" w:type="pct"/>
            <w:tcBorders>
              <w:top w:val="nil"/>
              <w:left w:val="nil"/>
              <w:bottom w:val="nil"/>
              <w:right w:val="nil"/>
            </w:tcBorders>
            <w:tcMar>
              <w:top w:w="0" w:type="dxa"/>
              <w:left w:w="0" w:type="dxa"/>
              <w:bottom w:w="0" w:type="dxa"/>
              <w:right w:w="0" w:type="dxa"/>
            </w:tcMar>
            <w:vAlign w:val="bottom"/>
            <w:hideMark/>
          </w:tcPr>
          <w:p w14:paraId="3B9AEA41" w14:textId="5F4A7488"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7.</w:t>
            </w:r>
            <w:r w:rsidR="008B64E1">
              <w:rPr>
                <w:rFonts w:ascii="Arial" w:hAnsi="Arial" w:cs="Arial"/>
                <w:i/>
                <w:iCs/>
                <w:sz w:val="16"/>
                <w:szCs w:val="16"/>
              </w:rPr>
              <w:t>3</w:t>
            </w:r>
          </w:p>
        </w:tc>
        <w:tc>
          <w:tcPr>
            <w:tcW w:w="58" w:type="pct"/>
            <w:tcBorders>
              <w:top w:val="nil"/>
              <w:left w:val="nil"/>
              <w:bottom w:val="nil"/>
              <w:right w:val="nil"/>
            </w:tcBorders>
            <w:tcMar>
              <w:top w:w="0" w:type="dxa"/>
              <w:left w:w="0" w:type="dxa"/>
              <w:bottom w:w="0" w:type="dxa"/>
              <w:right w:w="0" w:type="dxa"/>
            </w:tcMar>
            <w:vAlign w:val="bottom"/>
            <w:hideMark/>
          </w:tcPr>
          <w:p w14:paraId="41199974" w14:textId="4F76D528" w:rsidR="00D4047A" w:rsidRPr="005772CE" w:rsidRDefault="00D4047A" w:rsidP="00D4047A">
            <w:pPr>
              <w:spacing w:after="0" w:line="276" w:lineRule="auto"/>
              <w:jc w:val="right"/>
              <w:rPr>
                <w:rFonts w:ascii="Arial" w:eastAsia="Times New Roman" w:hAnsi="Arial" w:cs="Arial"/>
                <w:i/>
                <w:sz w:val="16"/>
                <w:szCs w:val="16"/>
                <w:lang w:eastAsia="en-AU"/>
              </w:rPr>
            </w:pPr>
          </w:p>
        </w:tc>
        <w:tc>
          <w:tcPr>
            <w:tcW w:w="451" w:type="pct"/>
            <w:tcBorders>
              <w:top w:val="nil"/>
              <w:left w:val="nil"/>
              <w:bottom w:val="nil"/>
              <w:right w:val="nil"/>
            </w:tcBorders>
            <w:tcMar>
              <w:top w:w="0" w:type="dxa"/>
              <w:left w:w="0" w:type="dxa"/>
              <w:bottom w:w="0" w:type="dxa"/>
              <w:right w:w="0" w:type="dxa"/>
            </w:tcMar>
            <w:vAlign w:val="bottom"/>
            <w:hideMark/>
          </w:tcPr>
          <w:p w14:paraId="0E20C8D1" w14:textId="6EBCA2D5"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10</w:t>
            </w:r>
          </w:p>
        </w:tc>
        <w:tc>
          <w:tcPr>
            <w:tcW w:w="457" w:type="pct"/>
            <w:tcBorders>
              <w:top w:val="nil"/>
              <w:left w:val="nil"/>
              <w:bottom w:val="nil"/>
              <w:right w:val="nil"/>
            </w:tcBorders>
            <w:tcMar>
              <w:top w:w="0" w:type="dxa"/>
              <w:left w:w="0" w:type="dxa"/>
              <w:bottom w:w="0" w:type="dxa"/>
              <w:right w:w="0" w:type="dxa"/>
            </w:tcMar>
            <w:vAlign w:val="bottom"/>
            <w:hideMark/>
          </w:tcPr>
          <w:p w14:paraId="1AC4ACF4" w14:textId="35A4BDFD"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8.1</w:t>
            </w:r>
          </w:p>
        </w:tc>
        <w:tc>
          <w:tcPr>
            <w:tcW w:w="58" w:type="pct"/>
            <w:tcBorders>
              <w:top w:val="nil"/>
              <w:left w:val="nil"/>
              <w:bottom w:val="nil"/>
              <w:right w:val="nil"/>
            </w:tcBorders>
            <w:tcMar>
              <w:top w:w="0" w:type="dxa"/>
              <w:left w:w="0" w:type="dxa"/>
              <w:bottom w:w="0" w:type="dxa"/>
              <w:right w:w="0" w:type="dxa"/>
            </w:tcMar>
            <w:vAlign w:val="bottom"/>
            <w:hideMark/>
          </w:tcPr>
          <w:p w14:paraId="062BDADF" w14:textId="2E6630F9" w:rsidR="00D4047A" w:rsidRPr="005772CE" w:rsidRDefault="00D4047A" w:rsidP="00D4047A">
            <w:pPr>
              <w:spacing w:after="0" w:line="276" w:lineRule="auto"/>
              <w:jc w:val="right"/>
              <w:rPr>
                <w:rFonts w:ascii="Arial" w:eastAsia="Times New Roman" w:hAnsi="Arial" w:cs="Arial"/>
                <w:i/>
                <w:sz w:val="16"/>
                <w:szCs w:val="16"/>
                <w:lang w:eastAsia="en-AU"/>
              </w:rPr>
            </w:pPr>
          </w:p>
        </w:tc>
        <w:tc>
          <w:tcPr>
            <w:tcW w:w="456" w:type="pct"/>
            <w:tcBorders>
              <w:top w:val="nil"/>
              <w:left w:val="nil"/>
              <w:bottom w:val="nil"/>
              <w:right w:val="nil"/>
            </w:tcBorders>
            <w:tcMar>
              <w:top w:w="0" w:type="dxa"/>
              <w:left w:w="0" w:type="dxa"/>
              <w:bottom w:w="0" w:type="dxa"/>
              <w:right w:w="0" w:type="dxa"/>
            </w:tcMar>
            <w:vAlign w:val="bottom"/>
            <w:hideMark/>
          </w:tcPr>
          <w:p w14:paraId="5B784266" w14:textId="5F22896D"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170</w:t>
            </w:r>
          </w:p>
        </w:tc>
        <w:tc>
          <w:tcPr>
            <w:tcW w:w="454" w:type="pct"/>
            <w:tcBorders>
              <w:top w:val="nil"/>
              <w:left w:val="nil"/>
              <w:bottom w:val="nil"/>
              <w:right w:val="nil"/>
            </w:tcBorders>
            <w:tcMar>
              <w:top w:w="0" w:type="dxa"/>
              <w:left w:w="0" w:type="dxa"/>
              <w:bottom w:w="0" w:type="dxa"/>
              <w:right w:w="0" w:type="dxa"/>
            </w:tcMar>
            <w:vAlign w:val="bottom"/>
            <w:hideMark/>
          </w:tcPr>
          <w:p w14:paraId="2F983566" w14:textId="7919A0D6"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8.</w:t>
            </w:r>
            <w:r w:rsidR="008B64E1">
              <w:rPr>
                <w:rFonts w:ascii="Arial" w:hAnsi="Arial" w:cs="Arial"/>
                <w:i/>
                <w:iCs/>
                <w:sz w:val="16"/>
                <w:szCs w:val="16"/>
              </w:rPr>
              <w:t>3</w:t>
            </w:r>
          </w:p>
        </w:tc>
      </w:tr>
      <w:tr w:rsidR="00D4047A" w:rsidRPr="00617599" w14:paraId="45B8E9E8" w14:textId="77777777" w:rsidTr="00D4047A">
        <w:trPr>
          <w:gridBefore w:val="1"/>
          <w:wBefore w:w="73" w:type="pct"/>
          <w:trHeight w:val="227"/>
          <w:tblCellSpacing w:w="0" w:type="dxa"/>
        </w:trPr>
        <w:tc>
          <w:tcPr>
            <w:tcW w:w="1126" w:type="pct"/>
            <w:tcBorders>
              <w:top w:val="nil"/>
              <w:left w:val="nil"/>
              <w:bottom w:val="nil"/>
              <w:right w:val="nil"/>
            </w:tcBorders>
            <w:tcMar>
              <w:top w:w="0" w:type="dxa"/>
              <w:left w:w="0" w:type="dxa"/>
              <w:bottom w:w="0" w:type="dxa"/>
              <w:right w:w="0" w:type="dxa"/>
            </w:tcMar>
            <w:vAlign w:val="center"/>
            <w:hideMark/>
          </w:tcPr>
          <w:p w14:paraId="65648FEB" w14:textId="77777777" w:rsidR="00D4047A" w:rsidRPr="00617599" w:rsidRDefault="00D4047A" w:rsidP="00D4047A">
            <w:pPr>
              <w:spacing w:after="0" w:line="276" w:lineRule="auto"/>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 37 weeks </w:t>
            </w:r>
          </w:p>
        </w:tc>
        <w:tc>
          <w:tcPr>
            <w:tcW w:w="450" w:type="pct"/>
            <w:tcBorders>
              <w:top w:val="nil"/>
              <w:left w:val="nil"/>
              <w:bottom w:val="nil"/>
              <w:right w:val="nil"/>
            </w:tcBorders>
            <w:tcMar>
              <w:top w:w="0" w:type="dxa"/>
              <w:left w:w="0" w:type="dxa"/>
              <w:bottom w:w="0" w:type="dxa"/>
              <w:right w:w="0" w:type="dxa"/>
            </w:tcMar>
            <w:vAlign w:val="bottom"/>
            <w:hideMark/>
          </w:tcPr>
          <w:p w14:paraId="5DF22660" w14:textId="3434DE4C"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421</w:t>
            </w:r>
          </w:p>
        </w:tc>
        <w:tc>
          <w:tcPr>
            <w:tcW w:w="456" w:type="pct"/>
            <w:tcBorders>
              <w:top w:val="nil"/>
              <w:left w:val="nil"/>
              <w:bottom w:val="nil"/>
              <w:right w:val="nil"/>
            </w:tcBorders>
            <w:tcMar>
              <w:top w:w="0" w:type="dxa"/>
              <w:left w:w="0" w:type="dxa"/>
              <w:bottom w:w="0" w:type="dxa"/>
              <w:right w:w="0" w:type="dxa"/>
            </w:tcMar>
            <w:vAlign w:val="bottom"/>
            <w:hideMark/>
          </w:tcPr>
          <w:p w14:paraId="2DB72251" w14:textId="3060271C"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87.7</w:t>
            </w:r>
          </w:p>
        </w:tc>
        <w:tc>
          <w:tcPr>
            <w:tcW w:w="54" w:type="pct"/>
            <w:tcBorders>
              <w:top w:val="nil"/>
              <w:left w:val="nil"/>
              <w:bottom w:val="nil"/>
              <w:right w:val="nil"/>
            </w:tcBorders>
            <w:tcMar>
              <w:top w:w="0" w:type="dxa"/>
              <w:left w:w="0" w:type="dxa"/>
              <w:bottom w:w="0" w:type="dxa"/>
              <w:right w:w="0" w:type="dxa"/>
            </w:tcMar>
            <w:vAlign w:val="bottom"/>
            <w:hideMark/>
          </w:tcPr>
          <w:p w14:paraId="65AC576A" w14:textId="797C10A3" w:rsidR="00D4047A" w:rsidRPr="005772CE" w:rsidRDefault="00D4047A" w:rsidP="00D4047A">
            <w:pPr>
              <w:spacing w:after="0" w:line="276" w:lineRule="auto"/>
              <w:rPr>
                <w:rFonts w:ascii="Arial" w:eastAsia="Times New Roman" w:hAnsi="Arial" w:cs="Arial"/>
                <w:i/>
                <w:sz w:val="16"/>
                <w:szCs w:val="16"/>
                <w:lang w:eastAsia="en-AU"/>
              </w:rPr>
            </w:pPr>
            <w:r>
              <w:rPr>
                <w:rFonts w:ascii="Arial" w:hAnsi="Arial" w:cs="Arial"/>
                <w:i/>
                <w:iCs/>
                <w:sz w:val="16"/>
                <w:szCs w:val="16"/>
              </w:rPr>
              <w:t> </w:t>
            </w:r>
          </w:p>
        </w:tc>
        <w:tc>
          <w:tcPr>
            <w:tcW w:w="451" w:type="pct"/>
            <w:tcBorders>
              <w:top w:val="nil"/>
              <w:left w:val="nil"/>
              <w:bottom w:val="nil"/>
              <w:right w:val="nil"/>
            </w:tcBorders>
            <w:tcMar>
              <w:top w:w="0" w:type="dxa"/>
              <w:left w:w="0" w:type="dxa"/>
              <w:bottom w:w="0" w:type="dxa"/>
              <w:right w:w="0" w:type="dxa"/>
            </w:tcMar>
            <w:vAlign w:val="bottom"/>
            <w:hideMark/>
          </w:tcPr>
          <w:p w14:paraId="1FA25D1E" w14:textId="780FFD6B"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1,298</w:t>
            </w:r>
          </w:p>
        </w:tc>
        <w:tc>
          <w:tcPr>
            <w:tcW w:w="456" w:type="pct"/>
            <w:tcBorders>
              <w:top w:val="nil"/>
              <w:left w:val="nil"/>
              <w:bottom w:val="nil"/>
              <w:right w:val="nil"/>
            </w:tcBorders>
            <w:tcMar>
              <w:top w:w="0" w:type="dxa"/>
              <w:left w:w="0" w:type="dxa"/>
              <w:bottom w:w="0" w:type="dxa"/>
              <w:right w:w="0" w:type="dxa"/>
            </w:tcMar>
            <w:vAlign w:val="bottom"/>
            <w:hideMark/>
          </w:tcPr>
          <w:p w14:paraId="32DB190C" w14:textId="027B9185"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9</w:t>
            </w:r>
            <w:r w:rsidR="008B64E1">
              <w:rPr>
                <w:rFonts w:ascii="Arial" w:hAnsi="Arial" w:cs="Arial"/>
                <w:i/>
                <w:iCs/>
                <w:sz w:val="16"/>
                <w:szCs w:val="16"/>
              </w:rPr>
              <w:t>0.5</w:t>
            </w:r>
          </w:p>
        </w:tc>
        <w:tc>
          <w:tcPr>
            <w:tcW w:w="58" w:type="pct"/>
            <w:tcBorders>
              <w:top w:val="nil"/>
              <w:left w:val="nil"/>
              <w:bottom w:val="nil"/>
              <w:right w:val="nil"/>
            </w:tcBorders>
            <w:tcMar>
              <w:top w:w="0" w:type="dxa"/>
              <w:left w:w="0" w:type="dxa"/>
              <w:bottom w:w="0" w:type="dxa"/>
              <w:right w:w="0" w:type="dxa"/>
            </w:tcMar>
            <w:vAlign w:val="bottom"/>
            <w:hideMark/>
          </w:tcPr>
          <w:p w14:paraId="1A5CB056" w14:textId="5B99DFC2"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 </w:t>
            </w:r>
          </w:p>
        </w:tc>
        <w:tc>
          <w:tcPr>
            <w:tcW w:w="451" w:type="pct"/>
            <w:tcBorders>
              <w:top w:val="nil"/>
              <w:left w:val="nil"/>
              <w:bottom w:val="nil"/>
              <w:right w:val="nil"/>
            </w:tcBorders>
            <w:tcMar>
              <w:top w:w="0" w:type="dxa"/>
              <w:left w:w="0" w:type="dxa"/>
              <w:bottom w:w="0" w:type="dxa"/>
              <w:right w:w="0" w:type="dxa"/>
            </w:tcMar>
            <w:vAlign w:val="bottom"/>
            <w:hideMark/>
          </w:tcPr>
          <w:p w14:paraId="70E597F3" w14:textId="43C49212"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111</w:t>
            </w:r>
          </w:p>
        </w:tc>
        <w:tc>
          <w:tcPr>
            <w:tcW w:w="457" w:type="pct"/>
            <w:tcBorders>
              <w:top w:val="nil"/>
              <w:left w:val="nil"/>
              <w:bottom w:val="nil"/>
              <w:right w:val="nil"/>
            </w:tcBorders>
            <w:tcMar>
              <w:top w:w="0" w:type="dxa"/>
              <w:left w:w="0" w:type="dxa"/>
              <w:bottom w:w="0" w:type="dxa"/>
              <w:right w:w="0" w:type="dxa"/>
            </w:tcMar>
            <w:vAlign w:val="bottom"/>
            <w:hideMark/>
          </w:tcPr>
          <w:p w14:paraId="330334C6" w14:textId="043C1B4C"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89.5</w:t>
            </w:r>
          </w:p>
        </w:tc>
        <w:tc>
          <w:tcPr>
            <w:tcW w:w="58" w:type="pct"/>
            <w:tcBorders>
              <w:top w:val="nil"/>
              <w:left w:val="nil"/>
              <w:bottom w:val="nil"/>
              <w:right w:val="nil"/>
            </w:tcBorders>
            <w:tcMar>
              <w:top w:w="0" w:type="dxa"/>
              <w:left w:w="0" w:type="dxa"/>
              <w:bottom w:w="0" w:type="dxa"/>
              <w:right w:w="0" w:type="dxa"/>
            </w:tcMar>
            <w:vAlign w:val="bottom"/>
            <w:hideMark/>
          </w:tcPr>
          <w:p w14:paraId="1D0C4E33" w14:textId="307E9B88"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 </w:t>
            </w:r>
          </w:p>
        </w:tc>
        <w:tc>
          <w:tcPr>
            <w:tcW w:w="456" w:type="pct"/>
            <w:tcBorders>
              <w:top w:val="nil"/>
              <w:left w:val="nil"/>
              <w:bottom w:val="nil"/>
              <w:right w:val="nil"/>
            </w:tcBorders>
            <w:tcMar>
              <w:top w:w="0" w:type="dxa"/>
              <w:left w:w="0" w:type="dxa"/>
              <w:bottom w:w="0" w:type="dxa"/>
              <w:right w:w="0" w:type="dxa"/>
            </w:tcMar>
            <w:vAlign w:val="bottom"/>
            <w:hideMark/>
          </w:tcPr>
          <w:p w14:paraId="7C20ABD4" w14:textId="444CDAE5" w:rsidR="00D4047A" w:rsidRPr="005772CE"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1,830</w:t>
            </w:r>
          </w:p>
        </w:tc>
        <w:tc>
          <w:tcPr>
            <w:tcW w:w="454" w:type="pct"/>
            <w:tcBorders>
              <w:top w:val="nil"/>
              <w:left w:val="nil"/>
              <w:bottom w:val="nil"/>
              <w:right w:val="nil"/>
            </w:tcBorders>
            <w:tcMar>
              <w:top w:w="0" w:type="dxa"/>
              <w:left w:w="0" w:type="dxa"/>
              <w:bottom w:w="0" w:type="dxa"/>
              <w:right w:w="0" w:type="dxa"/>
            </w:tcMar>
            <w:vAlign w:val="bottom"/>
            <w:hideMark/>
          </w:tcPr>
          <w:p w14:paraId="0C6CD1CA" w14:textId="2D867B7F" w:rsidR="00D4047A" w:rsidRPr="005772CE" w:rsidRDefault="008B64E1"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89.8</w:t>
            </w:r>
          </w:p>
        </w:tc>
      </w:tr>
      <w:tr w:rsidR="00D4047A" w:rsidRPr="00617599" w14:paraId="3294D54A" w14:textId="77777777" w:rsidTr="00D4047A">
        <w:trPr>
          <w:trHeight w:val="227"/>
          <w:tblCellSpacing w:w="0" w:type="dxa"/>
        </w:trPr>
        <w:tc>
          <w:tcPr>
            <w:tcW w:w="1199" w:type="pct"/>
            <w:gridSpan w:val="2"/>
            <w:tcBorders>
              <w:top w:val="nil"/>
              <w:left w:val="nil"/>
              <w:bottom w:val="nil"/>
              <w:right w:val="nil"/>
            </w:tcBorders>
            <w:tcMar>
              <w:top w:w="0" w:type="dxa"/>
              <w:left w:w="0" w:type="dxa"/>
              <w:bottom w:w="0" w:type="dxa"/>
              <w:right w:w="0" w:type="dxa"/>
            </w:tcMar>
            <w:vAlign w:val="center"/>
          </w:tcPr>
          <w:p w14:paraId="22656F57" w14:textId="03EF0CA6" w:rsidR="00D4047A" w:rsidRPr="00617599" w:rsidRDefault="00D4047A" w:rsidP="00D4047A">
            <w:pPr>
              <w:spacing w:after="0" w:line="276" w:lineRule="auto"/>
              <w:ind w:left="142"/>
              <w:rPr>
                <w:rFonts w:ascii="Arial" w:eastAsia="Times New Roman" w:hAnsi="Arial" w:cs="Arial"/>
                <w:sz w:val="16"/>
                <w:szCs w:val="16"/>
                <w:lang w:eastAsia="en-AU"/>
              </w:rPr>
            </w:pPr>
            <w:r w:rsidRPr="00584635">
              <w:rPr>
                <w:rFonts w:ascii="Arial" w:eastAsia="Times New Roman" w:hAnsi="Arial" w:cs="Arial"/>
                <w:i/>
                <w:sz w:val="16"/>
                <w:szCs w:val="16"/>
                <w:lang w:eastAsia="en-AU"/>
              </w:rPr>
              <w:t>Gestational age unknown</w:t>
            </w:r>
          </w:p>
        </w:tc>
        <w:tc>
          <w:tcPr>
            <w:tcW w:w="450" w:type="pct"/>
            <w:tcBorders>
              <w:top w:val="nil"/>
              <w:left w:val="nil"/>
              <w:bottom w:val="nil"/>
              <w:right w:val="nil"/>
            </w:tcBorders>
            <w:tcMar>
              <w:top w:w="0" w:type="dxa"/>
              <w:left w:w="0" w:type="dxa"/>
              <w:bottom w:w="0" w:type="dxa"/>
              <w:right w:w="0" w:type="dxa"/>
            </w:tcMar>
            <w:vAlign w:val="bottom"/>
          </w:tcPr>
          <w:p w14:paraId="286D1002" w14:textId="080E4E40" w:rsidR="00D4047A" w:rsidRPr="00584635" w:rsidRDefault="00D4047A" w:rsidP="00D4047A">
            <w:pPr>
              <w:spacing w:after="0" w:line="276" w:lineRule="auto"/>
              <w:jc w:val="right"/>
              <w:rPr>
                <w:rFonts w:ascii="Arial" w:hAnsi="Arial" w:cs="Arial"/>
                <w:i/>
                <w:sz w:val="16"/>
                <w:szCs w:val="16"/>
              </w:rPr>
            </w:pPr>
            <w:r>
              <w:rPr>
                <w:rFonts w:ascii="Arial" w:hAnsi="Arial" w:cs="Arial"/>
                <w:i/>
                <w:iCs/>
                <w:sz w:val="16"/>
                <w:szCs w:val="16"/>
              </w:rPr>
              <w:t>0</w:t>
            </w:r>
          </w:p>
        </w:tc>
        <w:tc>
          <w:tcPr>
            <w:tcW w:w="456" w:type="pct"/>
            <w:tcBorders>
              <w:top w:val="nil"/>
              <w:left w:val="nil"/>
              <w:bottom w:val="nil"/>
              <w:right w:val="nil"/>
            </w:tcBorders>
            <w:tcMar>
              <w:top w:w="0" w:type="dxa"/>
              <w:left w:w="0" w:type="dxa"/>
              <w:bottom w:w="0" w:type="dxa"/>
              <w:right w:w="0" w:type="dxa"/>
            </w:tcMar>
            <w:vAlign w:val="bottom"/>
          </w:tcPr>
          <w:p w14:paraId="7B0BE76D" w14:textId="56314FB0" w:rsidR="00D4047A" w:rsidRPr="00584635" w:rsidRDefault="00D4047A" w:rsidP="00D4047A">
            <w:pPr>
              <w:spacing w:after="0" w:line="276" w:lineRule="auto"/>
              <w:jc w:val="right"/>
              <w:rPr>
                <w:rFonts w:ascii="Arial" w:hAnsi="Arial" w:cs="Arial"/>
                <w:i/>
                <w:sz w:val="16"/>
                <w:szCs w:val="16"/>
              </w:rPr>
            </w:pPr>
            <w:r>
              <w:rPr>
                <w:rFonts w:ascii="Arial" w:hAnsi="Arial" w:cs="Arial"/>
                <w:i/>
                <w:iCs/>
                <w:sz w:val="16"/>
                <w:szCs w:val="16"/>
              </w:rPr>
              <w:t>0.0</w:t>
            </w:r>
          </w:p>
        </w:tc>
        <w:tc>
          <w:tcPr>
            <w:tcW w:w="54" w:type="pct"/>
            <w:tcBorders>
              <w:top w:val="nil"/>
              <w:left w:val="nil"/>
              <w:bottom w:val="nil"/>
              <w:right w:val="nil"/>
            </w:tcBorders>
            <w:tcMar>
              <w:top w:w="0" w:type="dxa"/>
              <w:left w:w="0" w:type="dxa"/>
              <w:bottom w:w="0" w:type="dxa"/>
              <w:right w:w="0" w:type="dxa"/>
            </w:tcMar>
            <w:vAlign w:val="bottom"/>
          </w:tcPr>
          <w:p w14:paraId="12BA4479" w14:textId="31CD0456" w:rsidR="00D4047A" w:rsidRPr="00584635" w:rsidRDefault="00D4047A" w:rsidP="00D4047A">
            <w:pPr>
              <w:spacing w:after="0" w:line="276" w:lineRule="auto"/>
              <w:jc w:val="right"/>
              <w:rPr>
                <w:rFonts w:ascii="Arial" w:hAnsi="Arial" w:cs="Arial"/>
                <w:i/>
                <w:sz w:val="16"/>
                <w:szCs w:val="16"/>
              </w:rPr>
            </w:pPr>
            <w:r>
              <w:rPr>
                <w:rFonts w:ascii="Arial" w:hAnsi="Arial" w:cs="Arial"/>
                <w:i/>
                <w:iCs/>
                <w:sz w:val="16"/>
                <w:szCs w:val="16"/>
              </w:rPr>
              <w:t> </w:t>
            </w:r>
          </w:p>
        </w:tc>
        <w:tc>
          <w:tcPr>
            <w:tcW w:w="451" w:type="pct"/>
            <w:tcBorders>
              <w:top w:val="nil"/>
              <w:left w:val="nil"/>
              <w:bottom w:val="nil"/>
              <w:right w:val="nil"/>
            </w:tcBorders>
            <w:tcMar>
              <w:top w:w="0" w:type="dxa"/>
              <w:left w:w="0" w:type="dxa"/>
              <w:bottom w:w="0" w:type="dxa"/>
              <w:right w:w="0" w:type="dxa"/>
            </w:tcMar>
            <w:vAlign w:val="bottom"/>
          </w:tcPr>
          <w:p w14:paraId="0EE1A3D0" w14:textId="0940294E" w:rsidR="00D4047A" w:rsidRPr="00584635" w:rsidRDefault="00D4047A" w:rsidP="00D4047A">
            <w:pPr>
              <w:spacing w:after="0" w:line="276" w:lineRule="auto"/>
              <w:jc w:val="right"/>
              <w:rPr>
                <w:rFonts w:ascii="Arial" w:hAnsi="Arial" w:cs="Arial"/>
                <w:i/>
                <w:sz w:val="16"/>
                <w:szCs w:val="16"/>
              </w:rPr>
            </w:pPr>
            <w:r>
              <w:rPr>
                <w:rFonts w:ascii="Arial" w:hAnsi="Arial" w:cs="Arial"/>
                <w:i/>
                <w:iCs/>
                <w:sz w:val="16"/>
                <w:szCs w:val="16"/>
              </w:rPr>
              <w:t>0</w:t>
            </w:r>
          </w:p>
        </w:tc>
        <w:tc>
          <w:tcPr>
            <w:tcW w:w="456" w:type="pct"/>
            <w:tcBorders>
              <w:top w:val="nil"/>
              <w:left w:val="nil"/>
              <w:bottom w:val="nil"/>
              <w:right w:val="nil"/>
            </w:tcBorders>
            <w:tcMar>
              <w:top w:w="0" w:type="dxa"/>
              <w:left w:w="0" w:type="dxa"/>
              <w:bottom w:w="0" w:type="dxa"/>
              <w:right w:w="0" w:type="dxa"/>
            </w:tcMar>
            <w:vAlign w:val="bottom"/>
          </w:tcPr>
          <w:p w14:paraId="01560B7A" w14:textId="48EC55EB" w:rsidR="00D4047A" w:rsidRPr="00584635" w:rsidRDefault="00D4047A" w:rsidP="00D4047A">
            <w:pPr>
              <w:spacing w:after="0" w:line="276" w:lineRule="auto"/>
              <w:jc w:val="right"/>
              <w:rPr>
                <w:rFonts w:ascii="Arial" w:hAnsi="Arial" w:cs="Arial"/>
                <w:i/>
                <w:sz w:val="16"/>
                <w:szCs w:val="16"/>
              </w:rPr>
            </w:pPr>
            <w:r>
              <w:rPr>
                <w:rFonts w:ascii="Arial" w:hAnsi="Arial" w:cs="Arial"/>
                <w:i/>
                <w:iCs/>
                <w:sz w:val="16"/>
                <w:szCs w:val="16"/>
              </w:rPr>
              <w:t>0.0</w:t>
            </w:r>
          </w:p>
        </w:tc>
        <w:tc>
          <w:tcPr>
            <w:tcW w:w="58" w:type="pct"/>
            <w:tcBorders>
              <w:top w:val="nil"/>
              <w:left w:val="nil"/>
              <w:bottom w:val="nil"/>
              <w:right w:val="nil"/>
            </w:tcBorders>
            <w:tcMar>
              <w:top w:w="0" w:type="dxa"/>
              <w:left w:w="0" w:type="dxa"/>
              <w:bottom w:w="0" w:type="dxa"/>
              <w:right w:w="0" w:type="dxa"/>
            </w:tcMar>
            <w:vAlign w:val="bottom"/>
          </w:tcPr>
          <w:p w14:paraId="5D03018A" w14:textId="77777777" w:rsidR="00D4047A" w:rsidRPr="00584635" w:rsidRDefault="00D4047A" w:rsidP="00D4047A">
            <w:pPr>
              <w:spacing w:after="0" w:line="276" w:lineRule="auto"/>
              <w:jc w:val="right"/>
              <w:rPr>
                <w:rFonts w:ascii="Arial" w:hAnsi="Arial" w:cs="Arial"/>
                <w:i/>
                <w:sz w:val="16"/>
                <w:szCs w:val="16"/>
              </w:rPr>
            </w:pPr>
          </w:p>
        </w:tc>
        <w:tc>
          <w:tcPr>
            <w:tcW w:w="451" w:type="pct"/>
            <w:tcBorders>
              <w:top w:val="nil"/>
              <w:left w:val="nil"/>
              <w:bottom w:val="nil"/>
              <w:right w:val="nil"/>
            </w:tcBorders>
            <w:tcMar>
              <w:top w:w="0" w:type="dxa"/>
              <w:left w:w="0" w:type="dxa"/>
              <w:bottom w:w="0" w:type="dxa"/>
              <w:right w:w="0" w:type="dxa"/>
            </w:tcMar>
            <w:vAlign w:val="bottom"/>
          </w:tcPr>
          <w:p w14:paraId="575EEA24" w14:textId="6096B1ED" w:rsidR="00D4047A" w:rsidRPr="00584635" w:rsidRDefault="00D4047A" w:rsidP="00D4047A">
            <w:pPr>
              <w:spacing w:after="0" w:line="276" w:lineRule="auto"/>
              <w:jc w:val="right"/>
              <w:rPr>
                <w:rFonts w:ascii="Arial" w:hAnsi="Arial" w:cs="Arial"/>
                <w:i/>
                <w:sz w:val="16"/>
                <w:szCs w:val="16"/>
              </w:rPr>
            </w:pPr>
            <w:r>
              <w:rPr>
                <w:rFonts w:ascii="Arial" w:hAnsi="Arial" w:cs="Arial"/>
                <w:i/>
                <w:iCs/>
                <w:sz w:val="16"/>
                <w:szCs w:val="16"/>
              </w:rPr>
              <w:t>0</w:t>
            </w:r>
          </w:p>
        </w:tc>
        <w:tc>
          <w:tcPr>
            <w:tcW w:w="457" w:type="pct"/>
            <w:tcBorders>
              <w:top w:val="nil"/>
              <w:left w:val="nil"/>
              <w:bottom w:val="nil"/>
              <w:right w:val="nil"/>
            </w:tcBorders>
            <w:tcMar>
              <w:top w:w="0" w:type="dxa"/>
              <w:left w:w="0" w:type="dxa"/>
              <w:bottom w:w="0" w:type="dxa"/>
              <w:right w:w="0" w:type="dxa"/>
            </w:tcMar>
            <w:vAlign w:val="bottom"/>
          </w:tcPr>
          <w:p w14:paraId="6F4958AB" w14:textId="53124261" w:rsidR="00D4047A" w:rsidRPr="00584635" w:rsidRDefault="00D4047A" w:rsidP="00D4047A">
            <w:pPr>
              <w:spacing w:after="0" w:line="276" w:lineRule="auto"/>
              <w:jc w:val="right"/>
              <w:rPr>
                <w:rFonts w:ascii="Arial" w:hAnsi="Arial" w:cs="Arial"/>
                <w:i/>
                <w:sz w:val="16"/>
                <w:szCs w:val="16"/>
              </w:rPr>
            </w:pPr>
            <w:r>
              <w:rPr>
                <w:rFonts w:ascii="Arial" w:hAnsi="Arial" w:cs="Arial"/>
                <w:i/>
                <w:iCs/>
                <w:sz w:val="16"/>
                <w:szCs w:val="16"/>
              </w:rPr>
              <w:t>0.0</w:t>
            </w:r>
          </w:p>
        </w:tc>
        <w:tc>
          <w:tcPr>
            <w:tcW w:w="58" w:type="pct"/>
            <w:tcBorders>
              <w:top w:val="nil"/>
              <w:left w:val="nil"/>
              <w:bottom w:val="nil"/>
              <w:right w:val="nil"/>
            </w:tcBorders>
            <w:tcMar>
              <w:top w:w="0" w:type="dxa"/>
              <w:left w:w="0" w:type="dxa"/>
              <w:bottom w:w="0" w:type="dxa"/>
              <w:right w:w="0" w:type="dxa"/>
            </w:tcMar>
            <w:vAlign w:val="bottom"/>
          </w:tcPr>
          <w:p w14:paraId="6BDB800B" w14:textId="77777777" w:rsidR="00D4047A" w:rsidRPr="00584635" w:rsidRDefault="00D4047A" w:rsidP="00D4047A">
            <w:pPr>
              <w:spacing w:after="0" w:line="276" w:lineRule="auto"/>
              <w:jc w:val="right"/>
              <w:rPr>
                <w:rFonts w:ascii="Arial" w:hAnsi="Arial" w:cs="Arial"/>
                <w:i/>
                <w:sz w:val="16"/>
                <w:szCs w:val="16"/>
              </w:rPr>
            </w:pPr>
          </w:p>
        </w:tc>
        <w:tc>
          <w:tcPr>
            <w:tcW w:w="456" w:type="pct"/>
            <w:tcBorders>
              <w:top w:val="nil"/>
              <w:left w:val="nil"/>
              <w:bottom w:val="nil"/>
              <w:right w:val="nil"/>
            </w:tcBorders>
            <w:tcMar>
              <w:top w:w="0" w:type="dxa"/>
              <w:left w:w="0" w:type="dxa"/>
              <w:bottom w:w="0" w:type="dxa"/>
              <w:right w:w="0" w:type="dxa"/>
            </w:tcMar>
            <w:vAlign w:val="bottom"/>
          </w:tcPr>
          <w:p w14:paraId="5ECC23CD" w14:textId="5E33D348" w:rsidR="00D4047A" w:rsidRPr="00584635" w:rsidRDefault="00D4047A" w:rsidP="00D4047A">
            <w:pPr>
              <w:spacing w:after="0" w:line="276" w:lineRule="auto"/>
              <w:jc w:val="right"/>
              <w:rPr>
                <w:rFonts w:ascii="Arial" w:hAnsi="Arial" w:cs="Arial"/>
                <w:i/>
                <w:sz w:val="16"/>
                <w:szCs w:val="16"/>
              </w:rPr>
            </w:pPr>
            <w:r>
              <w:rPr>
                <w:rFonts w:ascii="Arial" w:hAnsi="Arial" w:cs="Arial"/>
                <w:i/>
                <w:iCs/>
                <w:sz w:val="16"/>
                <w:szCs w:val="16"/>
              </w:rPr>
              <w:t>0</w:t>
            </w:r>
          </w:p>
        </w:tc>
        <w:tc>
          <w:tcPr>
            <w:tcW w:w="454" w:type="pct"/>
            <w:tcBorders>
              <w:top w:val="nil"/>
              <w:left w:val="nil"/>
              <w:bottom w:val="nil"/>
              <w:right w:val="nil"/>
            </w:tcBorders>
            <w:tcMar>
              <w:top w:w="0" w:type="dxa"/>
              <w:left w:w="0" w:type="dxa"/>
              <w:bottom w:w="0" w:type="dxa"/>
              <w:right w:w="0" w:type="dxa"/>
            </w:tcMar>
            <w:vAlign w:val="bottom"/>
          </w:tcPr>
          <w:p w14:paraId="58864869" w14:textId="1DA37118" w:rsidR="00D4047A" w:rsidRPr="00584635" w:rsidRDefault="00D4047A" w:rsidP="00D4047A">
            <w:pPr>
              <w:spacing w:after="0" w:line="276" w:lineRule="auto"/>
              <w:jc w:val="right"/>
              <w:rPr>
                <w:rFonts w:ascii="Arial" w:hAnsi="Arial" w:cs="Arial"/>
                <w:i/>
                <w:sz w:val="16"/>
                <w:szCs w:val="16"/>
              </w:rPr>
            </w:pPr>
            <w:r>
              <w:rPr>
                <w:rFonts w:ascii="Arial" w:hAnsi="Arial" w:cs="Arial"/>
                <w:i/>
                <w:iCs/>
                <w:sz w:val="16"/>
                <w:szCs w:val="16"/>
              </w:rPr>
              <w:t>0.0</w:t>
            </w:r>
          </w:p>
        </w:tc>
      </w:tr>
      <w:tr w:rsidR="00D4047A" w:rsidRPr="00617599" w14:paraId="39F0B797" w14:textId="77777777" w:rsidTr="00D4047A">
        <w:trPr>
          <w:trHeight w:val="227"/>
          <w:tblCellSpacing w:w="0" w:type="dxa"/>
        </w:trPr>
        <w:tc>
          <w:tcPr>
            <w:tcW w:w="1199" w:type="pct"/>
            <w:gridSpan w:val="2"/>
            <w:tcBorders>
              <w:top w:val="nil"/>
              <w:left w:val="nil"/>
              <w:bottom w:val="nil"/>
              <w:right w:val="nil"/>
            </w:tcBorders>
            <w:tcMar>
              <w:top w:w="0" w:type="dxa"/>
              <w:left w:w="0" w:type="dxa"/>
              <w:bottom w:w="0" w:type="dxa"/>
              <w:right w:w="0" w:type="dxa"/>
            </w:tcMar>
            <w:vAlign w:val="center"/>
            <w:hideMark/>
          </w:tcPr>
          <w:p w14:paraId="4D4B6F4B" w14:textId="5D74FCB8" w:rsidR="00D4047A" w:rsidRPr="00617599" w:rsidRDefault="00D4047A" w:rsidP="00D4047A">
            <w:pPr>
              <w:spacing w:after="0" w:line="276" w:lineRule="auto"/>
              <w:rPr>
                <w:rFonts w:ascii="Arial" w:eastAsia="Times New Roman" w:hAnsi="Arial" w:cs="Arial"/>
                <w:sz w:val="16"/>
                <w:szCs w:val="16"/>
                <w:lang w:eastAsia="en-AU"/>
              </w:rPr>
            </w:pPr>
            <w:r>
              <w:rPr>
                <w:rFonts w:ascii="Arial" w:eastAsia="Times New Roman" w:hAnsi="Arial" w:cs="Arial"/>
                <w:sz w:val="16"/>
                <w:szCs w:val="16"/>
                <w:lang w:eastAsia="en-AU"/>
              </w:rPr>
              <w:t>S</w:t>
            </w:r>
            <w:r w:rsidRPr="00617599">
              <w:rPr>
                <w:rFonts w:ascii="Arial" w:eastAsia="Times New Roman" w:hAnsi="Arial" w:cs="Arial"/>
                <w:sz w:val="16"/>
                <w:szCs w:val="16"/>
                <w:lang w:eastAsia="en-AU"/>
              </w:rPr>
              <w:t>tillbirth</w:t>
            </w:r>
            <w:r w:rsidRPr="00617599">
              <w:rPr>
                <w:rFonts w:ascii="Arial" w:eastAsia="Times New Roman" w:hAnsi="Arial" w:cs="Arial"/>
                <w:sz w:val="16"/>
                <w:szCs w:val="16"/>
                <w:vertAlign w:val="superscript"/>
                <w:lang w:eastAsia="en-AU"/>
              </w:rPr>
              <w:t>(a)</w:t>
            </w:r>
            <w:r w:rsidRPr="00617599">
              <w:rPr>
                <w:rFonts w:ascii="Arial" w:eastAsia="Times New Roman" w:hAnsi="Arial" w:cs="Arial"/>
                <w:sz w:val="16"/>
                <w:szCs w:val="16"/>
                <w:lang w:eastAsia="en-AU"/>
              </w:rPr>
              <w:t xml:space="preserve"> </w:t>
            </w:r>
          </w:p>
        </w:tc>
        <w:tc>
          <w:tcPr>
            <w:tcW w:w="450" w:type="pct"/>
            <w:tcBorders>
              <w:top w:val="nil"/>
              <w:left w:val="nil"/>
              <w:bottom w:val="nil"/>
              <w:right w:val="nil"/>
            </w:tcBorders>
            <w:tcMar>
              <w:top w:w="0" w:type="dxa"/>
              <w:left w:w="0" w:type="dxa"/>
              <w:bottom w:w="0" w:type="dxa"/>
              <w:right w:w="0" w:type="dxa"/>
            </w:tcMar>
            <w:vAlign w:val="bottom"/>
            <w:hideMark/>
          </w:tcPr>
          <w:p w14:paraId="61F97EB0" w14:textId="53EF71AA"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3</w:t>
            </w:r>
          </w:p>
        </w:tc>
        <w:tc>
          <w:tcPr>
            <w:tcW w:w="456" w:type="pct"/>
            <w:tcBorders>
              <w:top w:val="nil"/>
              <w:left w:val="nil"/>
              <w:bottom w:val="nil"/>
              <w:right w:val="nil"/>
            </w:tcBorders>
            <w:tcMar>
              <w:top w:w="0" w:type="dxa"/>
              <w:left w:w="0" w:type="dxa"/>
              <w:bottom w:w="0" w:type="dxa"/>
              <w:right w:w="0" w:type="dxa"/>
            </w:tcMar>
            <w:vAlign w:val="bottom"/>
            <w:hideMark/>
          </w:tcPr>
          <w:p w14:paraId="3B7E1C1A" w14:textId="27DC7C14"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0.6</w:t>
            </w:r>
          </w:p>
        </w:tc>
        <w:tc>
          <w:tcPr>
            <w:tcW w:w="54" w:type="pct"/>
            <w:tcBorders>
              <w:top w:val="nil"/>
              <w:left w:val="nil"/>
              <w:bottom w:val="nil"/>
              <w:right w:val="nil"/>
            </w:tcBorders>
            <w:tcMar>
              <w:top w:w="0" w:type="dxa"/>
              <w:left w:w="0" w:type="dxa"/>
              <w:bottom w:w="0" w:type="dxa"/>
              <w:right w:w="0" w:type="dxa"/>
            </w:tcMar>
            <w:vAlign w:val="bottom"/>
            <w:hideMark/>
          </w:tcPr>
          <w:p w14:paraId="7008D614" w14:textId="119F063D"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51" w:type="pct"/>
            <w:tcBorders>
              <w:top w:val="nil"/>
              <w:left w:val="nil"/>
              <w:bottom w:val="nil"/>
              <w:right w:val="nil"/>
            </w:tcBorders>
            <w:tcMar>
              <w:top w:w="0" w:type="dxa"/>
              <w:left w:w="0" w:type="dxa"/>
              <w:bottom w:w="0" w:type="dxa"/>
              <w:right w:w="0" w:type="dxa"/>
            </w:tcMar>
            <w:vAlign w:val="bottom"/>
            <w:hideMark/>
          </w:tcPr>
          <w:p w14:paraId="1E09A5CB" w14:textId="44809D60"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13</w:t>
            </w:r>
          </w:p>
        </w:tc>
        <w:tc>
          <w:tcPr>
            <w:tcW w:w="456" w:type="pct"/>
            <w:tcBorders>
              <w:top w:val="nil"/>
              <w:left w:val="nil"/>
              <w:bottom w:val="nil"/>
              <w:right w:val="nil"/>
            </w:tcBorders>
            <w:tcMar>
              <w:top w:w="0" w:type="dxa"/>
              <w:left w:w="0" w:type="dxa"/>
              <w:bottom w:w="0" w:type="dxa"/>
              <w:right w:w="0" w:type="dxa"/>
            </w:tcMar>
            <w:vAlign w:val="bottom"/>
            <w:hideMark/>
          </w:tcPr>
          <w:p w14:paraId="732A1F34" w14:textId="60F5B6D6"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0.9</w:t>
            </w:r>
          </w:p>
        </w:tc>
        <w:tc>
          <w:tcPr>
            <w:tcW w:w="58" w:type="pct"/>
            <w:tcBorders>
              <w:top w:val="nil"/>
              <w:left w:val="nil"/>
              <w:bottom w:val="nil"/>
              <w:right w:val="nil"/>
            </w:tcBorders>
            <w:tcMar>
              <w:top w:w="0" w:type="dxa"/>
              <w:left w:w="0" w:type="dxa"/>
              <w:bottom w:w="0" w:type="dxa"/>
              <w:right w:w="0" w:type="dxa"/>
            </w:tcMar>
            <w:vAlign w:val="bottom"/>
            <w:hideMark/>
          </w:tcPr>
          <w:p w14:paraId="31FC1284" w14:textId="624FB7A8" w:rsidR="00D4047A" w:rsidRPr="00FE584A" w:rsidRDefault="00D4047A" w:rsidP="00D4047A">
            <w:pPr>
              <w:spacing w:after="0" w:line="276" w:lineRule="auto"/>
              <w:jc w:val="right"/>
              <w:rPr>
                <w:rFonts w:ascii="Arial" w:eastAsia="Times New Roman" w:hAnsi="Arial" w:cs="Arial"/>
                <w:sz w:val="16"/>
                <w:szCs w:val="16"/>
                <w:lang w:eastAsia="en-AU"/>
              </w:rPr>
            </w:pPr>
          </w:p>
        </w:tc>
        <w:tc>
          <w:tcPr>
            <w:tcW w:w="451" w:type="pct"/>
            <w:tcBorders>
              <w:top w:val="nil"/>
              <w:left w:val="nil"/>
              <w:bottom w:val="nil"/>
              <w:right w:val="nil"/>
            </w:tcBorders>
            <w:tcMar>
              <w:top w:w="0" w:type="dxa"/>
              <w:left w:w="0" w:type="dxa"/>
              <w:bottom w:w="0" w:type="dxa"/>
              <w:right w:w="0" w:type="dxa"/>
            </w:tcMar>
            <w:vAlign w:val="bottom"/>
            <w:hideMark/>
          </w:tcPr>
          <w:p w14:paraId="2E5F18E9" w14:textId="78DE21C0"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3</w:t>
            </w:r>
          </w:p>
        </w:tc>
        <w:tc>
          <w:tcPr>
            <w:tcW w:w="457" w:type="pct"/>
            <w:tcBorders>
              <w:top w:val="nil"/>
              <w:left w:val="nil"/>
              <w:bottom w:val="nil"/>
              <w:right w:val="nil"/>
            </w:tcBorders>
            <w:tcMar>
              <w:top w:w="0" w:type="dxa"/>
              <w:left w:w="0" w:type="dxa"/>
              <w:bottom w:w="0" w:type="dxa"/>
              <w:right w:w="0" w:type="dxa"/>
            </w:tcMar>
            <w:vAlign w:val="bottom"/>
            <w:hideMark/>
          </w:tcPr>
          <w:p w14:paraId="114B7D03" w14:textId="2FD122DB"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2.4</w:t>
            </w:r>
          </w:p>
        </w:tc>
        <w:tc>
          <w:tcPr>
            <w:tcW w:w="58" w:type="pct"/>
            <w:tcBorders>
              <w:top w:val="nil"/>
              <w:left w:val="nil"/>
              <w:bottom w:val="nil"/>
              <w:right w:val="nil"/>
            </w:tcBorders>
            <w:tcMar>
              <w:top w:w="0" w:type="dxa"/>
              <w:left w:w="0" w:type="dxa"/>
              <w:bottom w:w="0" w:type="dxa"/>
              <w:right w:w="0" w:type="dxa"/>
            </w:tcMar>
            <w:vAlign w:val="bottom"/>
            <w:hideMark/>
          </w:tcPr>
          <w:p w14:paraId="180791D1" w14:textId="06B2DFA2" w:rsidR="00D4047A" w:rsidRPr="00FE584A" w:rsidRDefault="00D4047A" w:rsidP="00D4047A">
            <w:pPr>
              <w:spacing w:after="0" w:line="276" w:lineRule="auto"/>
              <w:jc w:val="right"/>
              <w:rPr>
                <w:rFonts w:ascii="Arial" w:eastAsia="Times New Roman" w:hAnsi="Arial" w:cs="Arial"/>
                <w:sz w:val="16"/>
                <w:szCs w:val="16"/>
                <w:lang w:eastAsia="en-AU"/>
              </w:rPr>
            </w:pPr>
          </w:p>
        </w:tc>
        <w:tc>
          <w:tcPr>
            <w:tcW w:w="456" w:type="pct"/>
            <w:tcBorders>
              <w:top w:val="nil"/>
              <w:left w:val="nil"/>
              <w:bottom w:val="nil"/>
              <w:right w:val="nil"/>
            </w:tcBorders>
            <w:tcMar>
              <w:top w:w="0" w:type="dxa"/>
              <w:left w:w="0" w:type="dxa"/>
              <w:bottom w:w="0" w:type="dxa"/>
              <w:right w:w="0" w:type="dxa"/>
            </w:tcMar>
            <w:vAlign w:val="bottom"/>
            <w:hideMark/>
          </w:tcPr>
          <w:p w14:paraId="7571BB77" w14:textId="1A45021F"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19</w:t>
            </w:r>
          </w:p>
        </w:tc>
        <w:tc>
          <w:tcPr>
            <w:tcW w:w="454" w:type="pct"/>
            <w:tcBorders>
              <w:top w:val="nil"/>
              <w:left w:val="nil"/>
              <w:bottom w:val="nil"/>
              <w:right w:val="nil"/>
            </w:tcBorders>
            <w:tcMar>
              <w:top w:w="0" w:type="dxa"/>
              <w:left w:w="0" w:type="dxa"/>
              <w:bottom w:w="0" w:type="dxa"/>
              <w:right w:w="0" w:type="dxa"/>
            </w:tcMar>
            <w:vAlign w:val="bottom"/>
            <w:hideMark/>
          </w:tcPr>
          <w:p w14:paraId="2731BB71" w14:textId="18649DD6" w:rsidR="00D4047A" w:rsidRPr="00FE584A"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0.9</w:t>
            </w:r>
          </w:p>
        </w:tc>
      </w:tr>
      <w:tr w:rsidR="00D4047A" w:rsidRPr="00617599" w14:paraId="1D40D6FA" w14:textId="77777777" w:rsidTr="00D4047A">
        <w:trPr>
          <w:trHeight w:val="227"/>
          <w:tblCellSpacing w:w="0" w:type="dxa"/>
        </w:trPr>
        <w:tc>
          <w:tcPr>
            <w:tcW w:w="1199" w:type="pct"/>
            <w:gridSpan w:val="2"/>
            <w:tcBorders>
              <w:top w:val="nil"/>
              <w:left w:val="nil"/>
              <w:right w:val="nil"/>
            </w:tcBorders>
            <w:tcMar>
              <w:top w:w="0" w:type="dxa"/>
              <w:left w:w="0" w:type="dxa"/>
              <w:bottom w:w="28" w:type="dxa"/>
              <w:right w:w="0" w:type="dxa"/>
            </w:tcMar>
            <w:vAlign w:val="center"/>
          </w:tcPr>
          <w:p w14:paraId="7B665007" w14:textId="6D1EF163" w:rsidR="00D4047A" w:rsidRPr="00584635" w:rsidRDefault="00D4047A" w:rsidP="00D4047A">
            <w:pPr>
              <w:spacing w:after="0" w:line="276" w:lineRule="auto"/>
              <w:rPr>
                <w:rFonts w:ascii="Arial" w:eastAsia="Times New Roman" w:hAnsi="Arial" w:cs="Arial"/>
                <w:sz w:val="16"/>
                <w:szCs w:val="16"/>
                <w:lang w:eastAsia="en-AU"/>
              </w:rPr>
            </w:pPr>
            <w:r w:rsidRPr="00584635">
              <w:rPr>
                <w:rFonts w:ascii="Arial" w:eastAsia="Times New Roman" w:hAnsi="Arial" w:cs="Arial"/>
                <w:sz w:val="16"/>
                <w:szCs w:val="16"/>
                <w:lang w:eastAsia="en-AU"/>
              </w:rPr>
              <w:t>Not stated</w:t>
            </w:r>
          </w:p>
        </w:tc>
        <w:tc>
          <w:tcPr>
            <w:tcW w:w="450" w:type="pct"/>
            <w:tcBorders>
              <w:top w:val="nil"/>
              <w:left w:val="nil"/>
              <w:right w:val="nil"/>
            </w:tcBorders>
            <w:tcMar>
              <w:top w:w="0" w:type="dxa"/>
              <w:left w:w="0" w:type="dxa"/>
              <w:bottom w:w="28" w:type="dxa"/>
              <w:right w:w="0" w:type="dxa"/>
            </w:tcMar>
            <w:vAlign w:val="bottom"/>
          </w:tcPr>
          <w:p w14:paraId="1F1922B0" w14:textId="605EDDBD" w:rsidR="00D4047A" w:rsidRPr="00584635" w:rsidRDefault="00D4047A" w:rsidP="00D4047A">
            <w:pPr>
              <w:spacing w:after="0" w:line="276" w:lineRule="auto"/>
              <w:jc w:val="right"/>
              <w:rPr>
                <w:rFonts w:ascii="Arial" w:hAnsi="Arial" w:cs="Arial"/>
                <w:bCs/>
                <w:sz w:val="16"/>
                <w:szCs w:val="16"/>
              </w:rPr>
            </w:pPr>
            <w:r>
              <w:rPr>
                <w:rFonts w:ascii="Arial" w:hAnsi="Arial" w:cs="Arial"/>
                <w:sz w:val="16"/>
                <w:szCs w:val="16"/>
              </w:rPr>
              <w:t>1</w:t>
            </w:r>
          </w:p>
        </w:tc>
        <w:tc>
          <w:tcPr>
            <w:tcW w:w="456" w:type="pct"/>
            <w:tcBorders>
              <w:top w:val="nil"/>
              <w:left w:val="nil"/>
              <w:right w:val="nil"/>
            </w:tcBorders>
            <w:tcMar>
              <w:top w:w="0" w:type="dxa"/>
              <w:left w:w="0" w:type="dxa"/>
              <w:bottom w:w="28" w:type="dxa"/>
              <w:right w:w="0" w:type="dxa"/>
            </w:tcMar>
            <w:vAlign w:val="bottom"/>
          </w:tcPr>
          <w:p w14:paraId="22546ADE" w14:textId="3012D534" w:rsidR="00D4047A" w:rsidRPr="00584635" w:rsidRDefault="00D4047A" w:rsidP="00D4047A">
            <w:pPr>
              <w:spacing w:after="0" w:line="276" w:lineRule="auto"/>
              <w:jc w:val="right"/>
              <w:rPr>
                <w:rFonts w:ascii="Arial" w:hAnsi="Arial" w:cs="Arial"/>
                <w:bCs/>
                <w:sz w:val="16"/>
                <w:szCs w:val="16"/>
              </w:rPr>
            </w:pPr>
            <w:r>
              <w:rPr>
                <w:rFonts w:ascii="Arial" w:hAnsi="Arial" w:cs="Arial"/>
                <w:sz w:val="16"/>
                <w:szCs w:val="16"/>
              </w:rPr>
              <w:t>0.2</w:t>
            </w:r>
          </w:p>
        </w:tc>
        <w:tc>
          <w:tcPr>
            <w:tcW w:w="54" w:type="pct"/>
            <w:tcBorders>
              <w:top w:val="nil"/>
              <w:left w:val="nil"/>
              <w:right w:val="nil"/>
            </w:tcBorders>
            <w:tcMar>
              <w:top w:w="0" w:type="dxa"/>
              <w:left w:w="0" w:type="dxa"/>
              <w:bottom w:w="28" w:type="dxa"/>
              <w:right w:w="0" w:type="dxa"/>
            </w:tcMar>
            <w:vAlign w:val="bottom"/>
          </w:tcPr>
          <w:p w14:paraId="1B949194" w14:textId="42669298" w:rsidR="00D4047A" w:rsidRPr="00584635" w:rsidRDefault="00D4047A" w:rsidP="00D4047A">
            <w:pPr>
              <w:spacing w:after="0" w:line="276" w:lineRule="auto"/>
              <w:jc w:val="right"/>
              <w:rPr>
                <w:rFonts w:ascii="Arial" w:hAnsi="Arial" w:cs="Arial"/>
                <w:sz w:val="16"/>
                <w:szCs w:val="16"/>
              </w:rPr>
            </w:pPr>
            <w:r>
              <w:rPr>
                <w:rFonts w:ascii="Arial" w:hAnsi="Arial" w:cs="Arial"/>
                <w:sz w:val="16"/>
                <w:szCs w:val="16"/>
              </w:rPr>
              <w:t> </w:t>
            </w:r>
          </w:p>
        </w:tc>
        <w:tc>
          <w:tcPr>
            <w:tcW w:w="451" w:type="pct"/>
            <w:tcBorders>
              <w:top w:val="nil"/>
              <w:left w:val="nil"/>
              <w:right w:val="nil"/>
            </w:tcBorders>
            <w:tcMar>
              <w:top w:w="0" w:type="dxa"/>
              <w:left w:w="0" w:type="dxa"/>
              <w:bottom w:w="28" w:type="dxa"/>
              <w:right w:w="0" w:type="dxa"/>
            </w:tcMar>
            <w:vAlign w:val="bottom"/>
          </w:tcPr>
          <w:p w14:paraId="2DA1A6D2" w14:textId="7F6341C0" w:rsidR="00D4047A" w:rsidRPr="00584635" w:rsidRDefault="008B64E1" w:rsidP="00D4047A">
            <w:pPr>
              <w:spacing w:after="0" w:line="276" w:lineRule="auto"/>
              <w:jc w:val="right"/>
              <w:rPr>
                <w:rFonts w:ascii="Arial" w:hAnsi="Arial" w:cs="Arial"/>
                <w:bCs/>
                <w:sz w:val="16"/>
                <w:szCs w:val="16"/>
              </w:rPr>
            </w:pPr>
            <w:r>
              <w:rPr>
                <w:rFonts w:ascii="Arial" w:hAnsi="Arial" w:cs="Arial"/>
                <w:bCs/>
                <w:sz w:val="16"/>
                <w:szCs w:val="16"/>
              </w:rPr>
              <w:t>18</w:t>
            </w:r>
          </w:p>
        </w:tc>
        <w:tc>
          <w:tcPr>
            <w:tcW w:w="456" w:type="pct"/>
            <w:tcBorders>
              <w:top w:val="nil"/>
              <w:left w:val="nil"/>
              <w:right w:val="nil"/>
            </w:tcBorders>
            <w:tcMar>
              <w:top w:w="0" w:type="dxa"/>
              <w:left w:w="0" w:type="dxa"/>
              <w:bottom w:w="28" w:type="dxa"/>
              <w:right w:w="0" w:type="dxa"/>
            </w:tcMar>
            <w:vAlign w:val="bottom"/>
          </w:tcPr>
          <w:p w14:paraId="2D8987C7" w14:textId="77C3F77A" w:rsidR="00D4047A" w:rsidRPr="00584635" w:rsidRDefault="008B64E1" w:rsidP="00D4047A">
            <w:pPr>
              <w:spacing w:after="0" w:line="276" w:lineRule="auto"/>
              <w:jc w:val="right"/>
              <w:rPr>
                <w:rFonts w:ascii="Arial" w:hAnsi="Arial" w:cs="Arial"/>
                <w:bCs/>
                <w:sz w:val="16"/>
                <w:szCs w:val="16"/>
              </w:rPr>
            </w:pPr>
            <w:r>
              <w:rPr>
                <w:rFonts w:ascii="Arial" w:hAnsi="Arial" w:cs="Arial"/>
                <w:bCs/>
                <w:sz w:val="16"/>
                <w:szCs w:val="16"/>
              </w:rPr>
              <w:t>1.3</w:t>
            </w:r>
          </w:p>
        </w:tc>
        <w:tc>
          <w:tcPr>
            <w:tcW w:w="58" w:type="pct"/>
            <w:tcBorders>
              <w:top w:val="nil"/>
              <w:left w:val="nil"/>
              <w:right w:val="nil"/>
            </w:tcBorders>
            <w:tcMar>
              <w:top w:w="0" w:type="dxa"/>
              <w:left w:w="0" w:type="dxa"/>
              <w:bottom w:w="28" w:type="dxa"/>
              <w:right w:w="0" w:type="dxa"/>
            </w:tcMar>
            <w:vAlign w:val="bottom"/>
          </w:tcPr>
          <w:p w14:paraId="102AADB2" w14:textId="54FC9979" w:rsidR="00D4047A" w:rsidRPr="00584635" w:rsidRDefault="00D4047A" w:rsidP="00D4047A">
            <w:pPr>
              <w:spacing w:after="0" w:line="276" w:lineRule="auto"/>
              <w:jc w:val="right"/>
              <w:rPr>
                <w:rFonts w:ascii="Arial" w:hAnsi="Arial" w:cs="Arial"/>
                <w:sz w:val="16"/>
                <w:szCs w:val="16"/>
              </w:rPr>
            </w:pPr>
            <w:r>
              <w:rPr>
                <w:rFonts w:ascii="Arial" w:hAnsi="Arial" w:cs="Arial"/>
                <w:sz w:val="16"/>
                <w:szCs w:val="16"/>
              </w:rPr>
              <w:t> </w:t>
            </w:r>
          </w:p>
        </w:tc>
        <w:tc>
          <w:tcPr>
            <w:tcW w:w="451" w:type="pct"/>
            <w:tcBorders>
              <w:top w:val="nil"/>
              <w:left w:val="nil"/>
              <w:right w:val="nil"/>
            </w:tcBorders>
            <w:tcMar>
              <w:top w:w="0" w:type="dxa"/>
              <w:left w:w="0" w:type="dxa"/>
              <w:bottom w:w="28" w:type="dxa"/>
              <w:right w:w="0" w:type="dxa"/>
            </w:tcMar>
            <w:vAlign w:val="bottom"/>
          </w:tcPr>
          <w:p w14:paraId="50563551" w14:textId="0EC249FE" w:rsidR="00D4047A" w:rsidRPr="00584635" w:rsidRDefault="00D4047A" w:rsidP="00D4047A">
            <w:pPr>
              <w:spacing w:after="0" w:line="276" w:lineRule="auto"/>
              <w:jc w:val="right"/>
              <w:rPr>
                <w:rFonts w:ascii="Arial" w:hAnsi="Arial" w:cs="Arial"/>
                <w:bCs/>
                <w:sz w:val="16"/>
                <w:szCs w:val="16"/>
              </w:rPr>
            </w:pPr>
            <w:r>
              <w:rPr>
                <w:rFonts w:ascii="Arial" w:hAnsi="Arial" w:cs="Arial"/>
                <w:sz w:val="16"/>
                <w:szCs w:val="16"/>
              </w:rPr>
              <w:t>0</w:t>
            </w:r>
          </w:p>
        </w:tc>
        <w:tc>
          <w:tcPr>
            <w:tcW w:w="457" w:type="pct"/>
            <w:tcBorders>
              <w:top w:val="nil"/>
              <w:left w:val="nil"/>
              <w:right w:val="nil"/>
            </w:tcBorders>
            <w:tcMar>
              <w:top w:w="0" w:type="dxa"/>
              <w:left w:w="0" w:type="dxa"/>
              <w:bottom w:w="28" w:type="dxa"/>
              <w:right w:w="0" w:type="dxa"/>
            </w:tcMar>
            <w:vAlign w:val="bottom"/>
          </w:tcPr>
          <w:p w14:paraId="16485259" w14:textId="03B4B726" w:rsidR="00D4047A" w:rsidRPr="00584635" w:rsidRDefault="00D4047A" w:rsidP="00D4047A">
            <w:pPr>
              <w:spacing w:after="0" w:line="276" w:lineRule="auto"/>
              <w:jc w:val="right"/>
              <w:rPr>
                <w:rFonts w:ascii="Arial" w:hAnsi="Arial" w:cs="Arial"/>
                <w:bCs/>
                <w:sz w:val="16"/>
                <w:szCs w:val="16"/>
              </w:rPr>
            </w:pPr>
            <w:r>
              <w:rPr>
                <w:rFonts w:ascii="Arial" w:hAnsi="Arial" w:cs="Arial"/>
                <w:sz w:val="16"/>
                <w:szCs w:val="16"/>
              </w:rPr>
              <w:t>0.0</w:t>
            </w:r>
          </w:p>
        </w:tc>
        <w:tc>
          <w:tcPr>
            <w:tcW w:w="58" w:type="pct"/>
            <w:tcBorders>
              <w:top w:val="nil"/>
              <w:left w:val="nil"/>
              <w:right w:val="nil"/>
            </w:tcBorders>
            <w:tcMar>
              <w:top w:w="0" w:type="dxa"/>
              <w:left w:w="0" w:type="dxa"/>
              <w:bottom w:w="28" w:type="dxa"/>
              <w:right w:w="0" w:type="dxa"/>
            </w:tcMar>
            <w:vAlign w:val="bottom"/>
          </w:tcPr>
          <w:p w14:paraId="6F8BE5B7" w14:textId="54D7DFB8" w:rsidR="00D4047A" w:rsidRPr="00584635" w:rsidRDefault="00D4047A" w:rsidP="00D4047A">
            <w:pPr>
              <w:spacing w:after="0" w:line="276" w:lineRule="auto"/>
              <w:jc w:val="right"/>
              <w:rPr>
                <w:rFonts w:ascii="Arial" w:hAnsi="Arial" w:cs="Arial"/>
                <w:sz w:val="16"/>
                <w:szCs w:val="16"/>
              </w:rPr>
            </w:pPr>
            <w:r>
              <w:rPr>
                <w:rFonts w:ascii="Arial" w:hAnsi="Arial" w:cs="Arial"/>
                <w:sz w:val="16"/>
                <w:szCs w:val="16"/>
              </w:rPr>
              <w:t> </w:t>
            </w:r>
          </w:p>
        </w:tc>
        <w:tc>
          <w:tcPr>
            <w:tcW w:w="456" w:type="pct"/>
            <w:tcBorders>
              <w:top w:val="nil"/>
              <w:left w:val="nil"/>
              <w:right w:val="nil"/>
            </w:tcBorders>
            <w:tcMar>
              <w:top w:w="0" w:type="dxa"/>
              <w:left w:w="0" w:type="dxa"/>
              <w:bottom w:w="28" w:type="dxa"/>
              <w:right w:w="0" w:type="dxa"/>
            </w:tcMar>
            <w:vAlign w:val="bottom"/>
          </w:tcPr>
          <w:p w14:paraId="64F87EF6" w14:textId="161E3FEA" w:rsidR="00D4047A" w:rsidRPr="00584635" w:rsidRDefault="008B64E1" w:rsidP="00D4047A">
            <w:pPr>
              <w:spacing w:after="0" w:line="276" w:lineRule="auto"/>
              <w:jc w:val="right"/>
              <w:rPr>
                <w:rFonts w:ascii="Arial" w:hAnsi="Arial" w:cs="Arial"/>
                <w:bCs/>
                <w:sz w:val="16"/>
                <w:szCs w:val="16"/>
              </w:rPr>
            </w:pPr>
            <w:r>
              <w:rPr>
                <w:rFonts w:ascii="Arial" w:hAnsi="Arial" w:cs="Arial"/>
                <w:bCs/>
                <w:sz w:val="16"/>
                <w:szCs w:val="16"/>
              </w:rPr>
              <w:t>19</w:t>
            </w:r>
          </w:p>
        </w:tc>
        <w:tc>
          <w:tcPr>
            <w:tcW w:w="454" w:type="pct"/>
            <w:tcBorders>
              <w:top w:val="nil"/>
              <w:left w:val="nil"/>
              <w:right w:val="nil"/>
            </w:tcBorders>
            <w:tcMar>
              <w:top w:w="0" w:type="dxa"/>
              <w:left w:w="0" w:type="dxa"/>
              <w:bottom w:w="28" w:type="dxa"/>
              <w:right w:w="0" w:type="dxa"/>
            </w:tcMar>
            <w:vAlign w:val="bottom"/>
          </w:tcPr>
          <w:p w14:paraId="2C2B8959" w14:textId="770380B9" w:rsidR="00D4047A" w:rsidRPr="00584635" w:rsidRDefault="00D4047A" w:rsidP="00D4047A">
            <w:pPr>
              <w:spacing w:after="0" w:line="276" w:lineRule="auto"/>
              <w:jc w:val="right"/>
              <w:rPr>
                <w:rFonts w:ascii="Arial" w:hAnsi="Arial" w:cs="Arial"/>
                <w:bCs/>
                <w:sz w:val="16"/>
                <w:szCs w:val="16"/>
              </w:rPr>
            </w:pPr>
            <w:r>
              <w:rPr>
                <w:rFonts w:ascii="Arial" w:hAnsi="Arial" w:cs="Arial"/>
                <w:sz w:val="16"/>
                <w:szCs w:val="16"/>
              </w:rPr>
              <w:t>0.</w:t>
            </w:r>
            <w:r w:rsidR="008B64E1">
              <w:rPr>
                <w:rFonts w:ascii="Arial" w:hAnsi="Arial" w:cs="Arial"/>
                <w:sz w:val="16"/>
                <w:szCs w:val="16"/>
              </w:rPr>
              <w:t>9</w:t>
            </w:r>
          </w:p>
        </w:tc>
      </w:tr>
      <w:tr w:rsidR="00D4047A" w:rsidRPr="00617599" w14:paraId="468BB9EF" w14:textId="77777777" w:rsidTr="00D4047A">
        <w:trPr>
          <w:trHeight w:val="227"/>
          <w:tblCellSpacing w:w="0" w:type="dxa"/>
        </w:trPr>
        <w:tc>
          <w:tcPr>
            <w:tcW w:w="1199" w:type="pct"/>
            <w:gridSpan w:val="2"/>
            <w:tcBorders>
              <w:top w:val="nil"/>
              <w:left w:val="nil"/>
              <w:bottom w:val="single" w:sz="12" w:space="0" w:color="000000"/>
              <w:right w:val="nil"/>
            </w:tcBorders>
            <w:tcMar>
              <w:top w:w="0" w:type="dxa"/>
              <w:left w:w="0" w:type="dxa"/>
              <w:bottom w:w="28" w:type="dxa"/>
              <w:right w:w="0" w:type="dxa"/>
            </w:tcMar>
            <w:vAlign w:val="center"/>
            <w:hideMark/>
          </w:tcPr>
          <w:p w14:paraId="69A368C8" w14:textId="77777777" w:rsidR="00D4047A" w:rsidRPr="00087467" w:rsidRDefault="00D4047A" w:rsidP="00D4047A">
            <w:pPr>
              <w:spacing w:after="0" w:line="276" w:lineRule="auto"/>
              <w:rPr>
                <w:rFonts w:ascii="Arial" w:eastAsia="Times New Roman" w:hAnsi="Arial" w:cs="Arial"/>
                <w:b/>
                <w:sz w:val="16"/>
                <w:szCs w:val="16"/>
                <w:lang w:eastAsia="en-AU"/>
              </w:rPr>
            </w:pPr>
            <w:r w:rsidRPr="00087467">
              <w:rPr>
                <w:rFonts w:ascii="Arial" w:eastAsia="Times New Roman" w:hAnsi="Arial" w:cs="Arial"/>
                <w:b/>
                <w:sz w:val="16"/>
                <w:szCs w:val="16"/>
                <w:lang w:eastAsia="en-AU"/>
              </w:rPr>
              <w:t xml:space="preserve">Total </w:t>
            </w:r>
          </w:p>
        </w:tc>
        <w:tc>
          <w:tcPr>
            <w:tcW w:w="450" w:type="pct"/>
            <w:tcBorders>
              <w:top w:val="nil"/>
              <w:left w:val="nil"/>
              <w:bottom w:val="single" w:sz="12" w:space="0" w:color="000000"/>
              <w:right w:val="nil"/>
            </w:tcBorders>
            <w:tcMar>
              <w:top w:w="0" w:type="dxa"/>
              <w:left w:w="0" w:type="dxa"/>
              <w:bottom w:w="28" w:type="dxa"/>
              <w:right w:w="0" w:type="dxa"/>
            </w:tcMar>
            <w:vAlign w:val="bottom"/>
            <w:hideMark/>
          </w:tcPr>
          <w:p w14:paraId="3CF7A669" w14:textId="0FF70C0B"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480</w:t>
            </w:r>
          </w:p>
        </w:tc>
        <w:tc>
          <w:tcPr>
            <w:tcW w:w="456" w:type="pct"/>
            <w:tcBorders>
              <w:top w:val="nil"/>
              <w:left w:val="nil"/>
              <w:bottom w:val="single" w:sz="12" w:space="0" w:color="000000"/>
              <w:right w:val="nil"/>
            </w:tcBorders>
            <w:tcMar>
              <w:top w:w="0" w:type="dxa"/>
              <w:left w:w="0" w:type="dxa"/>
              <w:bottom w:w="28" w:type="dxa"/>
              <w:right w:w="0" w:type="dxa"/>
            </w:tcMar>
            <w:vAlign w:val="bottom"/>
            <w:hideMark/>
          </w:tcPr>
          <w:p w14:paraId="03B7D740" w14:textId="73CC98B1"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54" w:type="pct"/>
            <w:tcBorders>
              <w:top w:val="nil"/>
              <w:left w:val="nil"/>
              <w:bottom w:val="single" w:sz="12" w:space="0" w:color="000000"/>
              <w:right w:val="nil"/>
            </w:tcBorders>
            <w:tcMar>
              <w:top w:w="0" w:type="dxa"/>
              <w:left w:w="0" w:type="dxa"/>
              <w:bottom w:w="28" w:type="dxa"/>
              <w:right w:w="0" w:type="dxa"/>
            </w:tcMar>
            <w:vAlign w:val="bottom"/>
            <w:hideMark/>
          </w:tcPr>
          <w:p w14:paraId="3EC96234" w14:textId="4B4ED634"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51" w:type="pct"/>
            <w:tcBorders>
              <w:top w:val="nil"/>
              <w:left w:val="nil"/>
              <w:bottom w:val="single" w:sz="12" w:space="0" w:color="000000"/>
              <w:right w:val="nil"/>
            </w:tcBorders>
            <w:tcMar>
              <w:top w:w="0" w:type="dxa"/>
              <w:left w:w="0" w:type="dxa"/>
              <w:bottom w:w="28" w:type="dxa"/>
              <w:right w:w="0" w:type="dxa"/>
            </w:tcMar>
            <w:vAlign w:val="bottom"/>
            <w:hideMark/>
          </w:tcPr>
          <w:p w14:paraId="4EC94852" w14:textId="2758680D"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1,4</w:t>
            </w:r>
            <w:r w:rsidR="008B64E1">
              <w:rPr>
                <w:rFonts w:ascii="Arial" w:hAnsi="Arial" w:cs="Arial"/>
                <w:b/>
                <w:bCs/>
                <w:sz w:val="16"/>
                <w:szCs w:val="16"/>
              </w:rPr>
              <w:t>34</w:t>
            </w:r>
          </w:p>
        </w:tc>
        <w:tc>
          <w:tcPr>
            <w:tcW w:w="456" w:type="pct"/>
            <w:tcBorders>
              <w:top w:val="nil"/>
              <w:left w:val="nil"/>
              <w:bottom w:val="single" w:sz="12" w:space="0" w:color="000000"/>
              <w:right w:val="nil"/>
            </w:tcBorders>
            <w:tcMar>
              <w:top w:w="0" w:type="dxa"/>
              <w:left w:w="0" w:type="dxa"/>
              <w:bottom w:w="28" w:type="dxa"/>
              <w:right w:w="0" w:type="dxa"/>
            </w:tcMar>
            <w:vAlign w:val="bottom"/>
            <w:hideMark/>
          </w:tcPr>
          <w:p w14:paraId="1AE84D0E" w14:textId="3C6707C7"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58" w:type="pct"/>
            <w:tcBorders>
              <w:top w:val="nil"/>
              <w:left w:val="nil"/>
              <w:bottom w:val="single" w:sz="12" w:space="0" w:color="000000"/>
              <w:right w:val="nil"/>
            </w:tcBorders>
            <w:tcMar>
              <w:top w:w="0" w:type="dxa"/>
              <w:left w:w="0" w:type="dxa"/>
              <w:bottom w:w="28" w:type="dxa"/>
              <w:right w:w="0" w:type="dxa"/>
            </w:tcMar>
            <w:vAlign w:val="bottom"/>
            <w:hideMark/>
          </w:tcPr>
          <w:p w14:paraId="5CE0CEB4" w14:textId="0C330023"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51" w:type="pct"/>
            <w:tcBorders>
              <w:top w:val="nil"/>
              <w:left w:val="nil"/>
              <w:bottom w:val="single" w:sz="12" w:space="0" w:color="000000"/>
              <w:right w:val="nil"/>
            </w:tcBorders>
            <w:tcMar>
              <w:top w:w="0" w:type="dxa"/>
              <w:left w:w="0" w:type="dxa"/>
              <w:bottom w:w="28" w:type="dxa"/>
              <w:right w:w="0" w:type="dxa"/>
            </w:tcMar>
            <w:vAlign w:val="bottom"/>
            <w:hideMark/>
          </w:tcPr>
          <w:p w14:paraId="3766A735" w14:textId="0969B455"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124</w:t>
            </w:r>
          </w:p>
        </w:tc>
        <w:tc>
          <w:tcPr>
            <w:tcW w:w="457" w:type="pct"/>
            <w:tcBorders>
              <w:top w:val="nil"/>
              <w:left w:val="nil"/>
              <w:bottom w:val="single" w:sz="12" w:space="0" w:color="000000"/>
              <w:right w:val="nil"/>
            </w:tcBorders>
            <w:tcMar>
              <w:top w:w="0" w:type="dxa"/>
              <w:left w:w="0" w:type="dxa"/>
              <w:bottom w:w="28" w:type="dxa"/>
              <w:right w:w="0" w:type="dxa"/>
            </w:tcMar>
            <w:vAlign w:val="bottom"/>
            <w:hideMark/>
          </w:tcPr>
          <w:p w14:paraId="78297198" w14:textId="727608C4"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58" w:type="pct"/>
            <w:tcBorders>
              <w:top w:val="nil"/>
              <w:left w:val="nil"/>
              <w:bottom w:val="single" w:sz="12" w:space="0" w:color="000000"/>
              <w:right w:val="nil"/>
            </w:tcBorders>
            <w:tcMar>
              <w:top w:w="0" w:type="dxa"/>
              <w:left w:w="0" w:type="dxa"/>
              <w:bottom w:w="28" w:type="dxa"/>
              <w:right w:w="0" w:type="dxa"/>
            </w:tcMar>
            <w:vAlign w:val="bottom"/>
            <w:hideMark/>
          </w:tcPr>
          <w:p w14:paraId="68F7D026" w14:textId="681C75AE"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56" w:type="pct"/>
            <w:tcBorders>
              <w:top w:val="nil"/>
              <w:left w:val="nil"/>
              <w:bottom w:val="single" w:sz="12" w:space="0" w:color="000000"/>
              <w:right w:val="nil"/>
            </w:tcBorders>
            <w:tcMar>
              <w:top w:w="0" w:type="dxa"/>
              <w:left w:w="0" w:type="dxa"/>
              <w:bottom w:w="28" w:type="dxa"/>
              <w:right w:w="0" w:type="dxa"/>
            </w:tcMar>
            <w:vAlign w:val="bottom"/>
            <w:hideMark/>
          </w:tcPr>
          <w:p w14:paraId="05F92C6E" w14:textId="550A7D64"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2,0</w:t>
            </w:r>
            <w:r w:rsidR="008B64E1">
              <w:rPr>
                <w:rFonts w:ascii="Arial" w:hAnsi="Arial" w:cs="Arial"/>
                <w:b/>
                <w:bCs/>
                <w:sz w:val="16"/>
                <w:szCs w:val="16"/>
              </w:rPr>
              <w:t>38</w:t>
            </w:r>
          </w:p>
        </w:tc>
        <w:tc>
          <w:tcPr>
            <w:tcW w:w="454" w:type="pct"/>
            <w:tcBorders>
              <w:top w:val="nil"/>
              <w:left w:val="nil"/>
              <w:bottom w:val="single" w:sz="12" w:space="0" w:color="000000"/>
              <w:right w:val="nil"/>
            </w:tcBorders>
            <w:tcMar>
              <w:top w:w="0" w:type="dxa"/>
              <w:left w:w="0" w:type="dxa"/>
              <w:bottom w:w="28" w:type="dxa"/>
              <w:right w:w="0" w:type="dxa"/>
            </w:tcMar>
            <w:vAlign w:val="bottom"/>
            <w:hideMark/>
          </w:tcPr>
          <w:p w14:paraId="432A3DA5" w14:textId="269E8985"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r>
    </w:tbl>
    <w:p w14:paraId="7968DB3D" w14:textId="1287E55C" w:rsidR="009303CD" w:rsidRPr="00617599" w:rsidRDefault="003D7A63" w:rsidP="00814AD1">
      <w:pPr>
        <w:pStyle w:val="TableFigNotesnumbered"/>
        <w:numPr>
          <w:ilvl w:val="0"/>
          <w:numId w:val="14"/>
        </w:numPr>
        <w:spacing w:before="0"/>
        <w:ind w:left="284" w:hanging="284"/>
        <w:rPr>
          <w:rFonts w:cs="Arial"/>
        </w:rPr>
      </w:pPr>
      <w:r>
        <w:rPr>
          <w:rFonts w:cs="Arial"/>
        </w:rPr>
        <w:t>S</w:t>
      </w:r>
      <w:r w:rsidR="009303CD" w:rsidRPr="00617599">
        <w:rPr>
          <w:rFonts w:cs="Arial"/>
        </w:rPr>
        <w:t>tillbirth is reported by patients to fertility centre staff. These data are not vital statistics.</w:t>
      </w:r>
    </w:p>
    <w:p w14:paraId="46AFB60F" w14:textId="77777777" w:rsidR="009303CD" w:rsidRPr="00617599" w:rsidRDefault="009303CD" w:rsidP="00814AD1">
      <w:pPr>
        <w:pStyle w:val="ListParagraph"/>
        <w:numPr>
          <w:ilvl w:val="0"/>
          <w:numId w:val="14"/>
        </w:numPr>
        <w:spacing w:after="0"/>
        <w:rPr>
          <w:rFonts w:ascii="Arial" w:hAnsi="Arial" w:cs="Arial"/>
          <w:b/>
          <w:color w:val="auto"/>
          <w:sz w:val="28"/>
        </w:rPr>
      </w:pPr>
      <w:r w:rsidRPr="00617599">
        <w:rPr>
          <w:rFonts w:ascii="Arial" w:hAnsi="Arial" w:cs="Arial"/>
          <w:color w:val="auto"/>
        </w:rPr>
        <w:br w:type="page"/>
      </w:r>
    </w:p>
    <w:p w14:paraId="5DE843E0" w14:textId="2E9BCB5D" w:rsidR="009303CD" w:rsidRPr="00617599" w:rsidRDefault="00C736CE" w:rsidP="009303CD">
      <w:pPr>
        <w:keepNext/>
        <w:keepLines/>
        <w:tabs>
          <w:tab w:val="left" w:pos="794"/>
          <w:tab w:val="left" w:pos="1191"/>
          <w:tab w:val="left" w:pos="2778"/>
        </w:tabs>
        <w:spacing w:before="300" w:after="120" w:line="320" w:lineRule="atLeast"/>
        <w:outlineLvl w:val="2"/>
        <w:rPr>
          <w:rFonts w:ascii="Arial" w:eastAsia="Times New Roman" w:hAnsi="Arial" w:cs="Arial"/>
          <w:b/>
          <w:sz w:val="28"/>
        </w:rPr>
      </w:pPr>
      <w:bookmarkStart w:id="331" w:name="_Toc453061481"/>
      <w:bookmarkStart w:id="332" w:name="_Toc453054848"/>
      <w:r>
        <w:rPr>
          <w:rFonts w:ascii="Arial" w:eastAsia="Times New Roman" w:hAnsi="Arial" w:cs="Arial"/>
          <w:b/>
          <w:sz w:val="28"/>
        </w:rPr>
        <w:lastRenderedPageBreak/>
        <w:t>Births</w:t>
      </w:r>
      <w:r w:rsidR="009303CD" w:rsidRPr="00617599">
        <w:rPr>
          <w:rFonts w:ascii="Arial" w:eastAsia="Times New Roman" w:hAnsi="Arial" w:cs="Arial"/>
          <w:b/>
          <w:sz w:val="28"/>
        </w:rPr>
        <w:t xml:space="preserve"> by </w:t>
      </w:r>
      <w:r w:rsidR="00D51B71">
        <w:rPr>
          <w:rFonts w:ascii="Arial" w:eastAsia="Times New Roman" w:hAnsi="Arial" w:cs="Arial"/>
          <w:b/>
          <w:sz w:val="28"/>
        </w:rPr>
        <w:t>plurality</w:t>
      </w:r>
      <w:r w:rsidR="00BE275F">
        <w:rPr>
          <w:rFonts w:ascii="Arial" w:eastAsia="Times New Roman" w:hAnsi="Arial" w:cs="Arial"/>
          <w:b/>
          <w:sz w:val="28"/>
        </w:rPr>
        <w:t xml:space="preserve"> and </w:t>
      </w:r>
      <w:r w:rsidR="009303CD" w:rsidRPr="00617599">
        <w:rPr>
          <w:rFonts w:ascii="Arial" w:eastAsia="Times New Roman" w:hAnsi="Arial" w:cs="Arial"/>
          <w:b/>
          <w:sz w:val="28"/>
        </w:rPr>
        <w:t>maternal age</w:t>
      </w:r>
      <w:bookmarkEnd w:id="331"/>
      <w:bookmarkEnd w:id="332"/>
    </w:p>
    <w:p w14:paraId="3280CDD4" w14:textId="15CD52F7" w:rsidR="009303CD" w:rsidRPr="00617599" w:rsidRDefault="009303CD" w:rsidP="009303CD">
      <w:pPr>
        <w:pStyle w:val="NPESUbodytext"/>
        <w:rPr>
          <w:rFonts w:cs="Arial"/>
          <w:lang w:eastAsia="en-AU"/>
        </w:rPr>
      </w:pPr>
      <w:r w:rsidRPr="005F5FB7">
        <w:rPr>
          <w:rFonts w:cs="Arial"/>
          <w:lang w:eastAsia="en-AU"/>
        </w:rPr>
        <w:t xml:space="preserve">The average age of women at the time of </w:t>
      </w:r>
      <w:r w:rsidR="00EC42AE">
        <w:rPr>
          <w:rFonts w:cs="Arial"/>
          <w:lang w:eastAsia="en-AU"/>
        </w:rPr>
        <w:t>birth</w:t>
      </w:r>
      <w:r w:rsidRPr="005F5FB7">
        <w:rPr>
          <w:rFonts w:cs="Arial"/>
          <w:lang w:eastAsia="en-AU"/>
        </w:rPr>
        <w:t xml:space="preserve"> </w:t>
      </w:r>
      <w:r w:rsidRPr="00617F6B">
        <w:rPr>
          <w:rFonts w:cs="Arial"/>
          <w:lang w:eastAsia="en-AU"/>
        </w:rPr>
        <w:t xml:space="preserve">was </w:t>
      </w:r>
      <w:r w:rsidRPr="00952173">
        <w:rPr>
          <w:rFonts w:cs="Arial"/>
          <w:lang w:eastAsia="en-AU"/>
        </w:rPr>
        <w:t>35.</w:t>
      </w:r>
      <w:r w:rsidR="0049090D">
        <w:rPr>
          <w:rFonts w:cs="Arial"/>
          <w:lang w:eastAsia="en-AU"/>
        </w:rPr>
        <w:t>6</w:t>
      </w:r>
      <w:r w:rsidRPr="00952173">
        <w:rPr>
          <w:rFonts w:cs="Arial"/>
          <w:lang w:eastAsia="en-AU"/>
        </w:rPr>
        <w:t xml:space="preserve"> years</w:t>
      </w:r>
      <w:r w:rsidRPr="00617F6B">
        <w:rPr>
          <w:rFonts w:cs="Arial"/>
          <w:lang w:eastAsia="en-AU"/>
        </w:rPr>
        <w:t xml:space="preserve">. </w:t>
      </w:r>
      <w:r w:rsidRPr="00617599">
        <w:rPr>
          <w:rFonts w:cs="Arial"/>
          <w:lang w:eastAsia="en-AU"/>
        </w:rPr>
        <w:t xml:space="preserve">Of the </w:t>
      </w:r>
      <w:r w:rsidR="002A2118">
        <w:rPr>
          <w:rFonts w:cs="Arial"/>
          <w:lang w:eastAsia="en-AU"/>
        </w:rPr>
        <w:t>2,038</w:t>
      </w:r>
      <w:r w:rsidR="0049090D" w:rsidRPr="00617599">
        <w:rPr>
          <w:rFonts w:cs="Arial"/>
          <w:lang w:eastAsia="en-AU"/>
        </w:rPr>
        <w:t xml:space="preserve"> </w:t>
      </w:r>
      <w:r w:rsidRPr="00617599">
        <w:rPr>
          <w:rFonts w:cs="Arial"/>
          <w:lang w:eastAsia="en-AU"/>
        </w:rPr>
        <w:t xml:space="preserve">autologous and recipient </w:t>
      </w:r>
      <w:r w:rsidR="00C736CE">
        <w:rPr>
          <w:rFonts w:cs="Arial"/>
          <w:lang w:eastAsia="en-AU"/>
        </w:rPr>
        <w:t>births</w:t>
      </w:r>
      <w:r w:rsidRPr="00617599">
        <w:rPr>
          <w:rFonts w:cs="Arial"/>
          <w:lang w:eastAsia="en-AU"/>
        </w:rPr>
        <w:t xml:space="preserve">, </w:t>
      </w:r>
      <w:r w:rsidR="009A3ADB">
        <w:rPr>
          <w:rFonts w:cs="Arial"/>
          <w:lang w:eastAsia="en-AU"/>
        </w:rPr>
        <w:t>1</w:t>
      </w:r>
      <w:r w:rsidR="00812931">
        <w:rPr>
          <w:rFonts w:cs="Arial"/>
          <w:lang w:eastAsia="en-AU"/>
        </w:rPr>
        <w:t>.</w:t>
      </w:r>
      <w:r w:rsidR="00B6363B">
        <w:rPr>
          <w:rFonts w:cs="Arial"/>
          <w:lang w:eastAsia="en-AU"/>
        </w:rPr>
        <w:t>8</w:t>
      </w:r>
      <w:r w:rsidRPr="00617599">
        <w:rPr>
          <w:rFonts w:cs="Arial"/>
          <w:lang w:eastAsia="en-AU"/>
        </w:rPr>
        <w:t xml:space="preserve">% were multiple gestation </w:t>
      </w:r>
      <w:r w:rsidR="00C736CE">
        <w:rPr>
          <w:rFonts w:cs="Arial"/>
          <w:lang w:eastAsia="en-AU"/>
        </w:rPr>
        <w:t>births</w:t>
      </w:r>
      <w:r w:rsidRPr="00617599">
        <w:rPr>
          <w:rFonts w:cs="Arial"/>
          <w:lang w:eastAsia="en-AU"/>
        </w:rPr>
        <w:t xml:space="preserve"> (Table 2</w:t>
      </w:r>
      <w:r w:rsidR="005770B6">
        <w:rPr>
          <w:rFonts w:cs="Arial"/>
          <w:lang w:eastAsia="en-AU"/>
        </w:rPr>
        <w:t>3</w:t>
      </w:r>
      <w:r w:rsidRPr="00617599">
        <w:rPr>
          <w:rFonts w:cs="Arial"/>
          <w:lang w:eastAsia="en-AU"/>
        </w:rPr>
        <w:t>).</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198"/>
        <w:gridCol w:w="811"/>
        <w:gridCol w:w="814"/>
        <w:gridCol w:w="816"/>
        <w:gridCol w:w="94"/>
        <w:gridCol w:w="814"/>
        <w:gridCol w:w="814"/>
        <w:gridCol w:w="816"/>
        <w:gridCol w:w="94"/>
        <w:gridCol w:w="919"/>
        <w:gridCol w:w="919"/>
        <w:gridCol w:w="917"/>
      </w:tblGrid>
      <w:tr w:rsidR="005C5F57" w:rsidRPr="00617599" w14:paraId="4AFAC21C" w14:textId="77777777" w:rsidTr="000C2874">
        <w:trPr>
          <w:tblHeader/>
          <w:tblCellSpacing w:w="0" w:type="dxa"/>
        </w:trPr>
        <w:tc>
          <w:tcPr>
            <w:tcW w:w="5000" w:type="pct"/>
            <w:gridSpan w:val="12"/>
            <w:tcBorders>
              <w:top w:val="nil"/>
              <w:left w:val="nil"/>
              <w:bottom w:val="nil"/>
              <w:right w:val="nil"/>
            </w:tcBorders>
            <w:tcMar>
              <w:top w:w="0" w:type="dxa"/>
              <w:left w:w="0" w:type="dxa"/>
              <w:bottom w:w="0" w:type="dxa"/>
              <w:right w:w="0" w:type="dxa"/>
            </w:tcMar>
            <w:vAlign w:val="center"/>
            <w:hideMark/>
          </w:tcPr>
          <w:p w14:paraId="1265159C" w14:textId="65674A70" w:rsidR="005C5F57" w:rsidRPr="00617599" w:rsidRDefault="005C5F57" w:rsidP="00360E75">
            <w:pPr>
              <w:pStyle w:val="Caption"/>
              <w:spacing w:before="60" w:line="260" w:lineRule="atLeast"/>
              <w:rPr>
                <w:rFonts w:eastAsia="Times New Roman"/>
                <w:lang w:eastAsia="en-AU"/>
              </w:rPr>
            </w:pPr>
            <w:bookmarkStart w:id="333" w:name="_Toc158026572"/>
            <w:bookmarkStart w:id="334" w:name="_Hlk105070472"/>
            <w:r w:rsidRPr="00617599">
              <w:rPr>
                <w:rFonts w:eastAsia="Times New Roman"/>
                <w:lang w:eastAsia="en-AU"/>
              </w:rPr>
              <w:t xml:space="preserve">Table </w:t>
            </w:r>
            <w:r w:rsidR="00617599" w:rsidRPr="00617599">
              <w:rPr>
                <w:rFonts w:eastAsia="Times New Roman"/>
                <w:lang w:eastAsia="en-AU"/>
              </w:rPr>
              <w:t>2</w:t>
            </w:r>
            <w:r w:rsidR="00F400A5">
              <w:rPr>
                <w:rFonts w:eastAsia="Times New Roman"/>
                <w:lang w:eastAsia="en-AU"/>
              </w:rPr>
              <w:t>3</w:t>
            </w:r>
            <w:r w:rsidRPr="00617599">
              <w:rPr>
                <w:rFonts w:eastAsia="Times New Roman"/>
                <w:lang w:eastAsia="en-AU"/>
              </w:rPr>
              <w:t xml:space="preserve">: </w:t>
            </w:r>
            <w:r w:rsidR="00C736CE">
              <w:rPr>
                <w:rFonts w:eastAsia="Times New Roman"/>
                <w:lang w:eastAsia="en-AU"/>
              </w:rPr>
              <w:t>Births</w:t>
            </w:r>
            <w:r w:rsidRPr="00617599">
              <w:rPr>
                <w:rFonts w:eastAsia="Times New Roman"/>
                <w:lang w:eastAsia="en-AU"/>
              </w:rPr>
              <w:t xml:space="preserve"> by </w:t>
            </w:r>
            <w:r w:rsidR="00950565">
              <w:rPr>
                <w:rFonts w:eastAsia="Times New Roman"/>
                <w:lang w:eastAsia="en-AU"/>
              </w:rPr>
              <w:t>plurality</w:t>
            </w:r>
            <w:r w:rsidRPr="00617599">
              <w:rPr>
                <w:rFonts w:eastAsia="Times New Roman"/>
                <w:lang w:eastAsia="en-AU"/>
              </w:rPr>
              <w:t xml:space="preserve"> and </w:t>
            </w:r>
            <w:r w:rsidR="00C93F6D">
              <w:rPr>
                <w:rFonts w:eastAsia="Times New Roman"/>
                <w:lang w:eastAsia="en-AU"/>
              </w:rPr>
              <w:t>maternal age</w:t>
            </w:r>
            <w:r w:rsidRPr="00617599">
              <w:rPr>
                <w:rFonts w:eastAsia="Times New Roman"/>
                <w:lang w:eastAsia="en-AU"/>
              </w:rPr>
              <w:t xml:space="preserve">, </w:t>
            </w:r>
            <w:r w:rsidR="00A501CE">
              <w:rPr>
                <w:rFonts w:eastAsia="Times New Roman"/>
                <w:lang w:eastAsia="en-AU"/>
              </w:rPr>
              <w:t>New Zealand, 20</w:t>
            </w:r>
            <w:r w:rsidR="0049090D">
              <w:rPr>
                <w:rFonts w:eastAsia="Times New Roman"/>
                <w:lang w:eastAsia="en-AU"/>
              </w:rPr>
              <w:t>2</w:t>
            </w:r>
            <w:r w:rsidR="00D4047A">
              <w:rPr>
                <w:rFonts w:eastAsia="Times New Roman"/>
                <w:lang w:eastAsia="en-AU"/>
              </w:rPr>
              <w:t>1</w:t>
            </w:r>
            <w:bookmarkEnd w:id="333"/>
            <w:r w:rsidR="00A501CE">
              <w:rPr>
                <w:rFonts w:eastAsia="Times New Roman"/>
                <w:lang w:eastAsia="en-AU"/>
              </w:rPr>
              <w:t xml:space="preserve"> </w:t>
            </w:r>
            <w:r w:rsidRPr="00617599">
              <w:rPr>
                <w:rFonts w:eastAsia="Times New Roman"/>
                <w:lang w:eastAsia="en-AU"/>
              </w:rPr>
              <w:t xml:space="preserve"> </w:t>
            </w:r>
          </w:p>
        </w:tc>
      </w:tr>
      <w:tr w:rsidR="005C5F57" w:rsidRPr="00617599" w14:paraId="7B7CA86B" w14:textId="77777777" w:rsidTr="000C2874">
        <w:trPr>
          <w:trHeight w:val="227"/>
          <w:tblHeader/>
          <w:tblCellSpacing w:w="0" w:type="dxa"/>
        </w:trPr>
        <w:tc>
          <w:tcPr>
            <w:tcW w:w="664" w:type="pct"/>
            <w:tcBorders>
              <w:top w:val="single" w:sz="12" w:space="0" w:color="000000"/>
              <w:left w:val="nil"/>
              <w:bottom w:val="nil"/>
              <w:right w:val="nil"/>
            </w:tcBorders>
            <w:tcMar>
              <w:top w:w="28" w:type="dxa"/>
              <w:left w:w="0" w:type="dxa"/>
              <w:bottom w:w="0" w:type="dxa"/>
              <w:right w:w="0" w:type="dxa"/>
            </w:tcMar>
            <w:vAlign w:val="center"/>
            <w:hideMark/>
          </w:tcPr>
          <w:p w14:paraId="10F58E1B" w14:textId="77777777" w:rsidR="005C5F57" w:rsidRPr="00617599" w:rsidRDefault="005C5F57" w:rsidP="00360E75">
            <w:pPr>
              <w:spacing w:after="0" w:line="276" w:lineRule="auto"/>
              <w:rPr>
                <w:rFonts w:ascii="Arial" w:eastAsia="Times New Roman" w:hAnsi="Arial" w:cs="Arial"/>
                <w:sz w:val="16"/>
                <w:szCs w:val="16"/>
                <w:lang w:eastAsia="en-AU"/>
              </w:rPr>
            </w:pPr>
          </w:p>
        </w:tc>
        <w:tc>
          <w:tcPr>
            <w:tcW w:w="4336" w:type="pct"/>
            <w:gridSpan w:val="11"/>
            <w:tcBorders>
              <w:top w:val="single" w:sz="12" w:space="0" w:color="000000"/>
              <w:left w:val="nil"/>
              <w:bottom w:val="single" w:sz="6" w:space="0" w:color="000000"/>
              <w:right w:val="nil"/>
            </w:tcBorders>
            <w:tcMar>
              <w:top w:w="28" w:type="dxa"/>
              <w:left w:w="0" w:type="dxa"/>
              <w:bottom w:w="28" w:type="dxa"/>
              <w:right w:w="0" w:type="dxa"/>
            </w:tcMar>
            <w:vAlign w:val="center"/>
            <w:hideMark/>
          </w:tcPr>
          <w:p w14:paraId="375964CC" w14:textId="77777777" w:rsidR="005C5F57" w:rsidRPr="00617599" w:rsidRDefault="005C5F5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Age group (years)</w:t>
            </w:r>
            <w:r w:rsidR="00E25968" w:rsidRPr="00617599">
              <w:rPr>
                <w:rFonts w:ascii="Arial" w:eastAsia="Times New Roman" w:hAnsi="Arial" w:cs="Arial"/>
                <w:b/>
                <w:bCs/>
                <w:sz w:val="16"/>
                <w:szCs w:val="16"/>
                <w:vertAlign w:val="superscript"/>
                <w:lang w:eastAsia="en-AU"/>
              </w:rPr>
              <w:t>(a)</w:t>
            </w:r>
            <w:r w:rsidRPr="00617599">
              <w:rPr>
                <w:rFonts w:ascii="Arial" w:eastAsia="Times New Roman" w:hAnsi="Arial" w:cs="Arial"/>
                <w:b/>
                <w:bCs/>
                <w:sz w:val="16"/>
                <w:szCs w:val="16"/>
                <w:lang w:eastAsia="en-AU"/>
              </w:rPr>
              <w:t xml:space="preserve"> </w:t>
            </w:r>
          </w:p>
        </w:tc>
      </w:tr>
      <w:tr w:rsidR="005C5F57" w:rsidRPr="00617599" w14:paraId="544EA6DA" w14:textId="77777777" w:rsidTr="000C2874">
        <w:trPr>
          <w:trHeight w:val="227"/>
          <w:tblHeader/>
          <w:tblCellSpacing w:w="0" w:type="dxa"/>
        </w:trPr>
        <w:tc>
          <w:tcPr>
            <w:tcW w:w="664" w:type="pct"/>
            <w:tcBorders>
              <w:top w:val="nil"/>
              <w:left w:val="nil"/>
              <w:bottom w:val="nil"/>
              <w:right w:val="nil"/>
            </w:tcBorders>
            <w:tcMar>
              <w:top w:w="0" w:type="dxa"/>
              <w:left w:w="0" w:type="dxa"/>
              <w:bottom w:w="0" w:type="dxa"/>
              <w:right w:w="0" w:type="dxa"/>
            </w:tcMar>
            <w:vAlign w:val="center"/>
            <w:hideMark/>
          </w:tcPr>
          <w:p w14:paraId="7856078E" w14:textId="77777777" w:rsidR="005C5F57" w:rsidRPr="00617599" w:rsidRDefault="005C5F57" w:rsidP="00360E75">
            <w:pPr>
              <w:spacing w:after="0" w:line="276" w:lineRule="auto"/>
              <w:rPr>
                <w:rFonts w:ascii="Arial" w:eastAsia="Times New Roman" w:hAnsi="Arial" w:cs="Arial"/>
                <w:b/>
                <w:bCs/>
                <w:sz w:val="16"/>
                <w:szCs w:val="16"/>
                <w:lang w:eastAsia="en-AU"/>
              </w:rPr>
            </w:pPr>
          </w:p>
        </w:tc>
        <w:tc>
          <w:tcPr>
            <w:tcW w:w="1352" w:type="pct"/>
            <w:gridSpan w:val="3"/>
            <w:tcBorders>
              <w:top w:val="nil"/>
              <w:left w:val="nil"/>
              <w:bottom w:val="single" w:sz="6" w:space="0" w:color="000000"/>
              <w:right w:val="nil"/>
            </w:tcBorders>
            <w:tcMar>
              <w:top w:w="0" w:type="dxa"/>
              <w:left w:w="0" w:type="dxa"/>
              <w:bottom w:w="28" w:type="dxa"/>
              <w:right w:w="0" w:type="dxa"/>
            </w:tcMar>
            <w:vAlign w:val="center"/>
            <w:hideMark/>
          </w:tcPr>
          <w:p w14:paraId="176CC800" w14:textId="77777777" w:rsidR="005C5F57" w:rsidRPr="00617599" w:rsidRDefault="005C5F5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&lt; 35 </w:t>
            </w:r>
          </w:p>
        </w:tc>
        <w:tc>
          <w:tcPr>
            <w:tcW w:w="52" w:type="pct"/>
            <w:tcBorders>
              <w:top w:val="nil"/>
              <w:left w:val="nil"/>
              <w:bottom w:val="nil"/>
              <w:right w:val="nil"/>
            </w:tcBorders>
            <w:tcMar>
              <w:top w:w="0" w:type="dxa"/>
              <w:left w:w="0" w:type="dxa"/>
              <w:bottom w:w="0" w:type="dxa"/>
              <w:right w:w="0" w:type="dxa"/>
            </w:tcMar>
            <w:vAlign w:val="center"/>
            <w:hideMark/>
          </w:tcPr>
          <w:p w14:paraId="434173C1" w14:textId="77777777" w:rsidR="005C5F57" w:rsidRPr="00617599" w:rsidRDefault="005C5F5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1354" w:type="pct"/>
            <w:gridSpan w:val="3"/>
            <w:tcBorders>
              <w:top w:val="nil"/>
              <w:left w:val="nil"/>
              <w:bottom w:val="single" w:sz="6" w:space="0" w:color="000000"/>
              <w:right w:val="nil"/>
            </w:tcBorders>
            <w:tcMar>
              <w:top w:w="0" w:type="dxa"/>
              <w:left w:w="0" w:type="dxa"/>
              <w:bottom w:w="28" w:type="dxa"/>
              <w:right w:w="0" w:type="dxa"/>
            </w:tcMar>
            <w:vAlign w:val="center"/>
            <w:hideMark/>
          </w:tcPr>
          <w:p w14:paraId="41027F17" w14:textId="77777777" w:rsidR="005C5F57" w:rsidRPr="00617599" w:rsidRDefault="005C5F5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35-39 </w:t>
            </w:r>
          </w:p>
        </w:tc>
        <w:tc>
          <w:tcPr>
            <w:tcW w:w="52" w:type="pct"/>
            <w:tcBorders>
              <w:top w:val="nil"/>
              <w:left w:val="nil"/>
              <w:bottom w:val="nil"/>
              <w:right w:val="nil"/>
            </w:tcBorders>
            <w:tcMar>
              <w:top w:w="0" w:type="dxa"/>
              <w:left w:w="0" w:type="dxa"/>
              <w:bottom w:w="0" w:type="dxa"/>
              <w:right w:w="0" w:type="dxa"/>
            </w:tcMar>
            <w:vAlign w:val="center"/>
            <w:hideMark/>
          </w:tcPr>
          <w:p w14:paraId="17D2763E" w14:textId="77777777" w:rsidR="005C5F57" w:rsidRPr="00617599" w:rsidRDefault="005C5F5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1526" w:type="pct"/>
            <w:gridSpan w:val="3"/>
            <w:tcBorders>
              <w:top w:val="nil"/>
              <w:left w:val="nil"/>
              <w:bottom w:val="single" w:sz="6" w:space="0" w:color="000000"/>
              <w:right w:val="nil"/>
            </w:tcBorders>
            <w:tcMar>
              <w:top w:w="0" w:type="dxa"/>
              <w:left w:w="0" w:type="dxa"/>
              <w:bottom w:w="28" w:type="dxa"/>
              <w:right w:w="0" w:type="dxa"/>
            </w:tcMar>
            <w:vAlign w:val="center"/>
            <w:hideMark/>
          </w:tcPr>
          <w:p w14:paraId="000ED6AF" w14:textId="77777777" w:rsidR="005C5F57" w:rsidRPr="00617599" w:rsidRDefault="00E25968"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w:t>
            </w:r>
            <w:r w:rsidR="005C5F57" w:rsidRPr="00617599">
              <w:rPr>
                <w:rFonts w:ascii="Arial" w:eastAsia="Times New Roman" w:hAnsi="Arial" w:cs="Arial"/>
                <w:b/>
                <w:bCs/>
                <w:sz w:val="16"/>
                <w:szCs w:val="16"/>
                <w:lang w:eastAsia="en-AU"/>
              </w:rPr>
              <w:t xml:space="preserve"> 40 </w:t>
            </w:r>
          </w:p>
        </w:tc>
      </w:tr>
      <w:tr w:rsidR="005C5F57" w:rsidRPr="00617599" w14:paraId="78DDFEC0" w14:textId="77777777" w:rsidTr="007F5E7F">
        <w:trPr>
          <w:trHeight w:val="227"/>
          <w:tblHeader/>
          <w:tblCellSpacing w:w="0" w:type="dxa"/>
        </w:trPr>
        <w:tc>
          <w:tcPr>
            <w:tcW w:w="664" w:type="pct"/>
            <w:tcBorders>
              <w:top w:val="nil"/>
              <w:left w:val="nil"/>
              <w:bottom w:val="single" w:sz="6" w:space="0" w:color="000000"/>
              <w:right w:val="nil"/>
            </w:tcBorders>
            <w:tcMar>
              <w:top w:w="0" w:type="dxa"/>
              <w:left w:w="0" w:type="dxa"/>
              <w:bottom w:w="28" w:type="dxa"/>
              <w:right w:w="0" w:type="dxa"/>
            </w:tcMar>
            <w:vAlign w:val="center"/>
            <w:hideMark/>
          </w:tcPr>
          <w:p w14:paraId="6863EAA3" w14:textId="77777777" w:rsidR="005C5F57" w:rsidRPr="00617599" w:rsidRDefault="005C5F57" w:rsidP="00360E75">
            <w:pPr>
              <w:spacing w:after="0" w:line="276" w:lineRule="auto"/>
              <w:rPr>
                <w:rFonts w:ascii="Arial" w:eastAsia="Times New Roman" w:hAnsi="Arial" w:cs="Arial"/>
                <w:b/>
                <w:bCs/>
                <w:sz w:val="16"/>
                <w:szCs w:val="16"/>
                <w:lang w:eastAsia="en-AU"/>
              </w:rPr>
            </w:pPr>
          </w:p>
        </w:tc>
        <w:tc>
          <w:tcPr>
            <w:tcW w:w="449" w:type="pct"/>
            <w:tcBorders>
              <w:top w:val="nil"/>
              <w:left w:val="nil"/>
              <w:bottom w:val="single" w:sz="6" w:space="0" w:color="000000"/>
              <w:right w:val="nil"/>
            </w:tcBorders>
            <w:tcMar>
              <w:top w:w="0" w:type="dxa"/>
              <w:left w:w="0" w:type="dxa"/>
              <w:bottom w:w="28" w:type="dxa"/>
              <w:right w:w="0" w:type="dxa"/>
            </w:tcMar>
            <w:vAlign w:val="center"/>
            <w:hideMark/>
          </w:tcPr>
          <w:p w14:paraId="5C2D56D7" w14:textId="77777777" w:rsidR="005C5F57" w:rsidRPr="00617599" w:rsidRDefault="005C5F57"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One embryo </w:t>
            </w:r>
          </w:p>
        </w:tc>
        <w:tc>
          <w:tcPr>
            <w:tcW w:w="451" w:type="pct"/>
            <w:tcBorders>
              <w:top w:val="nil"/>
              <w:left w:val="nil"/>
              <w:bottom w:val="single" w:sz="6" w:space="0" w:color="000000"/>
              <w:right w:val="nil"/>
            </w:tcBorders>
            <w:tcMar>
              <w:top w:w="0" w:type="dxa"/>
              <w:left w:w="0" w:type="dxa"/>
              <w:bottom w:w="28" w:type="dxa"/>
              <w:right w:w="0" w:type="dxa"/>
            </w:tcMar>
            <w:vAlign w:val="center"/>
            <w:hideMark/>
          </w:tcPr>
          <w:p w14:paraId="526957F6" w14:textId="77777777" w:rsidR="005C5F57" w:rsidRPr="00617599" w:rsidRDefault="005C5F57"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Two embryos </w:t>
            </w:r>
          </w:p>
        </w:tc>
        <w:tc>
          <w:tcPr>
            <w:tcW w:w="452" w:type="pct"/>
            <w:tcBorders>
              <w:top w:val="nil"/>
              <w:left w:val="nil"/>
              <w:bottom w:val="single" w:sz="6" w:space="0" w:color="000000"/>
              <w:right w:val="nil"/>
            </w:tcBorders>
            <w:tcMar>
              <w:top w:w="0" w:type="dxa"/>
              <w:left w:w="0" w:type="dxa"/>
              <w:bottom w:w="28" w:type="dxa"/>
              <w:right w:w="0" w:type="dxa"/>
            </w:tcMar>
            <w:vAlign w:val="center"/>
            <w:hideMark/>
          </w:tcPr>
          <w:p w14:paraId="2E605AC0" w14:textId="3AFCDD94" w:rsidR="005C5F57" w:rsidRPr="00617599" w:rsidRDefault="005C5F57"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All </w:t>
            </w:r>
          </w:p>
        </w:tc>
        <w:tc>
          <w:tcPr>
            <w:tcW w:w="52" w:type="pct"/>
            <w:tcBorders>
              <w:top w:val="nil"/>
              <w:left w:val="nil"/>
              <w:bottom w:val="single" w:sz="6" w:space="0" w:color="000000"/>
              <w:right w:val="nil"/>
            </w:tcBorders>
            <w:tcMar>
              <w:top w:w="0" w:type="dxa"/>
              <w:left w:w="0" w:type="dxa"/>
              <w:bottom w:w="28" w:type="dxa"/>
              <w:right w:w="0" w:type="dxa"/>
            </w:tcMar>
            <w:vAlign w:val="center"/>
            <w:hideMark/>
          </w:tcPr>
          <w:p w14:paraId="41863E2F" w14:textId="77777777" w:rsidR="005C5F57" w:rsidRPr="00617599" w:rsidRDefault="005C5F5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451" w:type="pct"/>
            <w:tcBorders>
              <w:top w:val="nil"/>
              <w:left w:val="nil"/>
              <w:bottom w:val="single" w:sz="6" w:space="0" w:color="000000"/>
              <w:right w:val="nil"/>
            </w:tcBorders>
            <w:tcMar>
              <w:top w:w="0" w:type="dxa"/>
              <w:left w:w="0" w:type="dxa"/>
              <w:bottom w:w="28" w:type="dxa"/>
              <w:right w:w="0" w:type="dxa"/>
            </w:tcMar>
            <w:vAlign w:val="center"/>
            <w:hideMark/>
          </w:tcPr>
          <w:p w14:paraId="560C6106" w14:textId="77777777" w:rsidR="005C5F57" w:rsidRPr="00617599" w:rsidRDefault="005C5F57"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One embryo </w:t>
            </w:r>
          </w:p>
        </w:tc>
        <w:tc>
          <w:tcPr>
            <w:tcW w:w="451" w:type="pct"/>
            <w:tcBorders>
              <w:top w:val="nil"/>
              <w:left w:val="nil"/>
              <w:bottom w:val="single" w:sz="6" w:space="0" w:color="000000"/>
              <w:right w:val="nil"/>
            </w:tcBorders>
            <w:tcMar>
              <w:top w:w="0" w:type="dxa"/>
              <w:left w:w="0" w:type="dxa"/>
              <w:bottom w:w="28" w:type="dxa"/>
              <w:right w:w="0" w:type="dxa"/>
            </w:tcMar>
            <w:vAlign w:val="center"/>
            <w:hideMark/>
          </w:tcPr>
          <w:p w14:paraId="33F2F5C0" w14:textId="77777777" w:rsidR="005C5F57" w:rsidRPr="00617599" w:rsidRDefault="005C5F57"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Two embryos </w:t>
            </w:r>
          </w:p>
        </w:tc>
        <w:tc>
          <w:tcPr>
            <w:tcW w:w="452" w:type="pct"/>
            <w:tcBorders>
              <w:top w:val="nil"/>
              <w:left w:val="nil"/>
              <w:bottom w:val="single" w:sz="6" w:space="0" w:color="000000"/>
              <w:right w:val="nil"/>
            </w:tcBorders>
            <w:tcMar>
              <w:top w:w="0" w:type="dxa"/>
              <w:left w:w="0" w:type="dxa"/>
              <w:bottom w:w="28" w:type="dxa"/>
              <w:right w:w="0" w:type="dxa"/>
            </w:tcMar>
            <w:vAlign w:val="center"/>
            <w:hideMark/>
          </w:tcPr>
          <w:p w14:paraId="0ACAA709" w14:textId="77777777" w:rsidR="005C5F57" w:rsidRPr="00617599" w:rsidRDefault="00E25968"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All</w:t>
            </w:r>
            <w:r w:rsidRPr="00617599">
              <w:rPr>
                <w:rFonts w:ascii="Arial" w:eastAsia="Times New Roman" w:hAnsi="Arial" w:cs="Arial"/>
                <w:b/>
                <w:bCs/>
                <w:sz w:val="16"/>
                <w:szCs w:val="16"/>
                <w:vertAlign w:val="superscript"/>
                <w:lang w:eastAsia="en-AU"/>
              </w:rPr>
              <w:t>(b</w:t>
            </w:r>
            <w:r w:rsidR="00362291" w:rsidRPr="00617599">
              <w:rPr>
                <w:rFonts w:ascii="Arial" w:eastAsia="Times New Roman" w:hAnsi="Arial" w:cs="Arial"/>
                <w:b/>
                <w:bCs/>
                <w:sz w:val="16"/>
                <w:szCs w:val="16"/>
                <w:vertAlign w:val="superscript"/>
                <w:lang w:eastAsia="en-AU"/>
              </w:rPr>
              <w:t>)</w:t>
            </w:r>
          </w:p>
        </w:tc>
        <w:tc>
          <w:tcPr>
            <w:tcW w:w="52" w:type="pct"/>
            <w:tcBorders>
              <w:top w:val="nil"/>
              <w:left w:val="nil"/>
              <w:bottom w:val="single" w:sz="6" w:space="0" w:color="000000"/>
              <w:right w:val="nil"/>
            </w:tcBorders>
            <w:tcMar>
              <w:top w:w="0" w:type="dxa"/>
              <w:left w:w="0" w:type="dxa"/>
              <w:bottom w:w="28" w:type="dxa"/>
              <w:right w:w="0" w:type="dxa"/>
            </w:tcMar>
            <w:vAlign w:val="center"/>
            <w:hideMark/>
          </w:tcPr>
          <w:p w14:paraId="1B76C768" w14:textId="77777777" w:rsidR="005C5F57" w:rsidRPr="00617599" w:rsidRDefault="005C5F5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509" w:type="pct"/>
            <w:tcBorders>
              <w:top w:val="nil"/>
              <w:left w:val="nil"/>
              <w:bottom w:val="single" w:sz="6" w:space="0" w:color="000000"/>
              <w:right w:val="nil"/>
            </w:tcBorders>
            <w:tcMar>
              <w:top w:w="0" w:type="dxa"/>
              <w:left w:w="0" w:type="dxa"/>
              <w:bottom w:w="28" w:type="dxa"/>
              <w:right w:w="0" w:type="dxa"/>
            </w:tcMar>
            <w:vAlign w:val="center"/>
            <w:hideMark/>
          </w:tcPr>
          <w:p w14:paraId="36CCB108" w14:textId="77777777" w:rsidR="005C5F57" w:rsidRPr="00617599" w:rsidRDefault="005C5F57"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One embryo </w:t>
            </w:r>
          </w:p>
        </w:tc>
        <w:tc>
          <w:tcPr>
            <w:tcW w:w="509" w:type="pct"/>
            <w:tcBorders>
              <w:top w:val="nil"/>
              <w:left w:val="nil"/>
              <w:bottom w:val="single" w:sz="6" w:space="0" w:color="000000"/>
              <w:right w:val="nil"/>
            </w:tcBorders>
            <w:tcMar>
              <w:top w:w="0" w:type="dxa"/>
              <w:left w:w="0" w:type="dxa"/>
              <w:bottom w:w="28" w:type="dxa"/>
              <w:right w:w="0" w:type="dxa"/>
            </w:tcMar>
            <w:vAlign w:val="center"/>
            <w:hideMark/>
          </w:tcPr>
          <w:p w14:paraId="65B047FC" w14:textId="77777777" w:rsidR="005C5F57" w:rsidRPr="00617599" w:rsidRDefault="005C5F57"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Two embryos </w:t>
            </w:r>
          </w:p>
        </w:tc>
        <w:tc>
          <w:tcPr>
            <w:tcW w:w="508" w:type="pct"/>
            <w:tcBorders>
              <w:top w:val="nil"/>
              <w:left w:val="nil"/>
              <w:bottom w:val="single" w:sz="6" w:space="0" w:color="000000"/>
              <w:right w:val="nil"/>
            </w:tcBorders>
            <w:tcMar>
              <w:top w:w="0" w:type="dxa"/>
              <w:left w:w="0" w:type="dxa"/>
              <w:bottom w:w="28" w:type="dxa"/>
              <w:right w:w="0" w:type="dxa"/>
            </w:tcMar>
            <w:vAlign w:val="center"/>
            <w:hideMark/>
          </w:tcPr>
          <w:p w14:paraId="36C684B6" w14:textId="77777777" w:rsidR="005C5F57" w:rsidRPr="00617599" w:rsidRDefault="00E25968"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All</w:t>
            </w:r>
            <w:r w:rsidRPr="00617599">
              <w:rPr>
                <w:rFonts w:ascii="Arial" w:eastAsia="Times New Roman" w:hAnsi="Arial" w:cs="Arial"/>
                <w:b/>
                <w:bCs/>
                <w:sz w:val="16"/>
                <w:szCs w:val="16"/>
                <w:vertAlign w:val="superscript"/>
                <w:lang w:eastAsia="en-AU"/>
              </w:rPr>
              <w:t>(b</w:t>
            </w:r>
            <w:r w:rsidR="00362291" w:rsidRPr="00617599">
              <w:rPr>
                <w:rFonts w:ascii="Arial" w:eastAsia="Times New Roman" w:hAnsi="Arial" w:cs="Arial"/>
                <w:b/>
                <w:bCs/>
                <w:sz w:val="16"/>
                <w:szCs w:val="16"/>
                <w:vertAlign w:val="superscript"/>
                <w:lang w:eastAsia="en-AU"/>
              </w:rPr>
              <w:t>)</w:t>
            </w:r>
          </w:p>
        </w:tc>
      </w:tr>
      <w:tr w:rsidR="005C5F57" w:rsidRPr="00617599" w14:paraId="75E20A40" w14:textId="77777777" w:rsidTr="000C2874">
        <w:trPr>
          <w:trHeight w:val="227"/>
          <w:tblCellSpacing w:w="0" w:type="dxa"/>
        </w:trPr>
        <w:tc>
          <w:tcPr>
            <w:tcW w:w="5000" w:type="pct"/>
            <w:gridSpan w:val="12"/>
            <w:tcBorders>
              <w:top w:val="nil"/>
              <w:left w:val="nil"/>
              <w:bottom w:val="nil"/>
              <w:right w:val="nil"/>
            </w:tcBorders>
            <w:tcMar>
              <w:top w:w="0" w:type="dxa"/>
              <w:left w:w="0" w:type="dxa"/>
              <w:bottom w:w="0" w:type="dxa"/>
              <w:right w:w="0" w:type="dxa"/>
            </w:tcMar>
            <w:vAlign w:val="center"/>
            <w:hideMark/>
          </w:tcPr>
          <w:p w14:paraId="7782F446" w14:textId="39F3DA03" w:rsidR="005C5F57" w:rsidRPr="00617599" w:rsidRDefault="000E2E9E" w:rsidP="00360E75">
            <w:pPr>
              <w:spacing w:after="0" w:line="276" w:lineRule="auto"/>
              <w:jc w:val="center"/>
              <w:rPr>
                <w:rFonts w:ascii="Arial" w:eastAsia="Times New Roman" w:hAnsi="Arial" w:cs="Arial"/>
                <w:sz w:val="16"/>
                <w:szCs w:val="16"/>
                <w:lang w:eastAsia="en-AU"/>
              </w:rPr>
            </w:pPr>
            <w:r>
              <w:rPr>
                <w:rFonts w:ascii="Arial" w:eastAsia="Times New Roman" w:hAnsi="Arial" w:cs="Arial"/>
                <w:b/>
                <w:bCs/>
                <w:sz w:val="16"/>
                <w:szCs w:val="16"/>
                <w:lang w:eastAsia="en-AU"/>
              </w:rPr>
              <w:t>n</w:t>
            </w:r>
          </w:p>
        </w:tc>
      </w:tr>
      <w:tr w:rsidR="00D4047A" w:rsidRPr="00617599" w14:paraId="684E3026" w14:textId="77777777" w:rsidTr="007F5E7F">
        <w:trPr>
          <w:trHeight w:val="227"/>
          <w:tblCellSpacing w:w="0" w:type="dxa"/>
        </w:trPr>
        <w:tc>
          <w:tcPr>
            <w:tcW w:w="664" w:type="pct"/>
            <w:tcBorders>
              <w:top w:val="nil"/>
              <w:left w:val="nil"/>
              <w:bottom w:val="nil"/>
              <w:right w:val="nil"/>
            </w:tcBorders>
            <w:tcMar>
              <w:top w:w="0" w:type="dxa"/>
              <w:left w:w="0" w:type="dxa"/>
              <w:bottom w:w="0" w:type="dxa"/>
              <w:right w:w="0" w:type="dxa"/>
            </w:tcMar>
            <w:vAlign w:val="center"/>
            <w:hideMark/>
          </w:tcPr>
          <w:p w14:paraId="7BB03DF2" w14:textId="77777777" w:rsidR="00D4047A" w:rsidRPr="00617599" w:rsidRDefault="00D4047A" w:rsidP="00D4047A">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Singleton </w:t>
            </w:r>
          </w:p>
        </w:tc>
        <w:tc>
          <w:tcPr>
            <w:tcW w:w="449" w:type="pct"/>
            <w:tcBorders>
              <w:top w:val="nil"/>
              <w:left w:val="nil"/>
              <w:bottom w:val="nil"/>
              <w:right w:val="nil"/>
            </w:tcBorders>
            <w:tcMar>
              <w:top w:w="0" w:type="dxa"/>
              <w:left w:w="0" w:type="dxa"/>
              <w:bottom w:w="0" w:type="dxa"/>
              <w:right w:w="0" w:type="dxa"/>
            </w:tcMar>
            <w:vAlign w:val="bottom"/>
            <w:hideMark/>
          </w:tcPr>
          <w:p w14:paraId="33456121" w14:textId="09A3FB9A"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831</w:t>
            </w:r>
          </w:p>
        </w:tc>
        <w:tc>
          <w:tcPr>
            <w:tcW w:w="451" w:type="pct"/>
            <w:tcBorders>
              <w:top w:val="nil"/>
              <w:left w:val="nil"/>
              <w:bottom w:val="nil"/>
              <w:right w:val="nil"/>
            </w:tcBorders>
            <w:tcMar>
              <w:top w:w="0" w:type="dxa"/>
              <w:left w:w="0" w:type="dxa"/>
              <w:bottom w:w="0" w:type="dxa"/>
              <w:right w:w="0" w:type="dxa"/>
            </w:tcMar>
            <w:vAlign w:val="bottom"/>
            <w:hideMark/>
          </w:tcPr>
          <w:p w14:paraId="07ABFE57" w14:textId="2D6202A8" w:rsidR="00D4047A" w:rsidRPr="00952173" w:rsidRDefault="00D4047A" w:rsidP="00D4047A">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6</w:t>
            </w:r>
          </w:p>
        </w:tc>
        <w:tc>
          <w:tcPr>
            <w:tcW w:w="452" w:type="pct"/>
            <w:tcBorders>
              <w:top w:val="nil"/>
              <w:left w:val="nil"/>
              <w:bottom w:val="nil"/>
              <w:right w:val="nil"/>
            </w:tcBorders>
            <w:tcMar>
              <w:top w:w="0" w:type="dxa"/>
              <w:left w:w="0" w:type="dxa"/>
              <w:bottom w:w="0" w:type="dxa"/>
              <w:right w:w="0" w:type="dxa"/>
            </w:tcMar>
            <w:vAlign w:val="bottom"/>
            <w:hideMark/>
          </w:tcPr>
          <w:p w14:paraId="6C4910CA" w14:textId="18EB35B4"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837</w:t>
            </w:r>
          </w:p>
        </w:tc>
        <w:tc>
          <w:tcPr>
            <w:tcW w:w="52" w:type="pct"/>
            <w:tcBorders>
              <w:top w:val="nil"/>
              <w:left w:val="nil"/>
              <w:bottom w:val="nil"/>
              <w:right w:val="nil"/>
            </w:tcBorders>
            <w:tcMar>
              <w:top w:w="0" w:type="dxa"/>
              <w:left w:w="0" w:type="dxa"/>
              <w:bottom w:w="0" w:type="dxa"/>
              <w:right w:w="0" w:type="dxa"/>
            </w:tcMar>
            <w:vAlign w:val="center"/>
            <w:hideMark/>
          </w:tcPr>
          <w:p w14:paraId="4A1616A2" w14:textId="66203D2F"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451" w:type="pct"/>
            <w:tcBorders>
              <w:top w:val="nil"/>
              <w:left w:val="nil"/>
              <w:bottom w:val="nil"/>
              <w:right w:val="nil"/>
            </w:tcBorders>
            <w:tcMar>
              <w:top w:w="0" w:type="dxa"/>
              <w:left w:w="0" w:type="dxa"/>
              <w:bottom w:w="0" w:type="dxa"/>
              <w:right w:w="0" w:type="dxa"/>
            </w:tcMar>
            <w:vAlign w:val="bottom"/>
            <w:hideMark/>
          </w:tcPr>
          <w:p w14:paraId="4C6F2B6E" w14:textId="3412A7A7"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801</w:t>
            </w:r>
          </w:p>
        </w:tc>
        <w:tc>
          <w:tcPr>
            <w:tcW w:w="451" w:type="pct"/>
            <w:tcBorders>
              <w:top w:val="nil"/>
              <w:left w:val="nil"/>
              <w:bottom w:val="nil"/>
              <w:right w:val="nil"/>
            </w:tcBorders>
            <w:tcMar>
              <w:top w:w="0" w:type="dxa"/>
              <w:left w:w="0" w:type="dxa"/>
              <w:bottom w:w="0" w:type="dxa"/>
              <w:right w:w="0" w:type="dxa"/>
            </w:tcMar>
            <w:vAlign w:val="bottom"/>
            <w:hideMark/>
          </w:tcPr>
          <w:p w14:paraId="5FE1E7FC" w14:textId="5729F65F"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10</w:t>
            </w:r>
          </w:p>
        </w:tc>
        <w:tc>
          <w:tcPr>
            <w:tcW w:w="452" w:type="pct"/>
            <w:tcBorders>
              <w:top w:val="nil"/>
              <w:left w:val="nil"/>
              <w:bottom w:val="nil"/>
              <w:right w:val="nil"/>
            </w:tcBorders>
            <w:tcMar>
              <w:top w:w="0" w:type="dxa"/>
              <w:left w:w="0" w:type="dxa"/>
              <w:bottom w:w="0" w:type="dxa"/>
              <w:right w:w="0" w:type="dxa"/>
            </w:tcMar>
            <w:vAlign w:val="bottom"/>
            <w:hideMark/>
          </w:tcPr>
          <w:p w14:paraId="788DA442" w14:textId="71BC24B6"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811</w:t>
            </w:r>
          </w:p>
        </w:tc>
        <w:tc>
          <w:tcPr>
            <w:tcW w:w="52" w:type="pct"/>
            <w:tcBorders>
              <w:top w:val="nil"/>
              <w:left w:val="nil"/>
              <w:bottom w:val="nil"/>
              <w:right w:val="nil"/>
            </w:tcBorders>
            <w:tcMar>
              <w:top w:w="0" w:type="dxa"/>
              <w:left w:w="0" w:type="dxa"/>
              <w:bottom w:w="0" w:type="dxa"/>
              <w:right w:w="0" w:type="dxa"/>
            </w:tcMar>
            <w:vAlign w:val="center"/>
            <w:hideMark/>
          </w:tcPr>
          <w:p w14:paraId="6CE35F86" w14:textId="1D1029CD"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 </w:t>
            </w:r>
          </w:p>
        </w:tc>
        <w:tc>
          <w:tcPr>
            <w:tcW w:w="509" w:type="pct"/>
            <w:tcBorders>
              <w:top w:val="nil"/>
              <w:left w:val="nil"/>
              <w:bottom w:val="nil"/>
              <w:right w:val="nil"/>
            </w:tcBorders>
            <w:tcMar>
              <w:top w:w="0" w:type="dxa"/>
              <w:left w:w="0" w:type="dxa"/>
              <w:bottom w:w="0" w:type="dxa"/>
              <w:right w:w="0" w:type="dxa"/>
            </w:tcMar>
            <w:vAlign w:val="bottom"/>
            <w:hideMark/>
          </w:tcPr>
          <w:p w14:paraId="69D49914" w14:textId="27FCB655"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346</w:t>
            </w:r>
          </w:p>
        </w:tc>
        <w:tc>
          <w:tcPr>
            <w:tcW w:w="509" w:type="pct"/>
            <w:tcBorders>
              <w:top w:val="nil"/>
              <w:left w:val="nil"/>
              <w:bottom w:val="nil"/>
              <w:right w:val="nil"/>
            </w:tcBorders>
            <w:tcMar>
              <w:top w:w="0" w:type="dxa"/>
              <w:left w:w="0" w:type="dxa"/>
              <w:bottom w:w="0" w:type="dxa"/>
              <w:right w:w="0" w:type="dxa"/>
            </w:tcMar>
            <w:vAlign w:val="bottom"/>
            <w:hideMark/>
          </w:tcPr>
          <w:p w14:paraId="1C0188C8" w14:textId="000B1955"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7</w:t>
            </w:r>
          </w:p>
        </w:tc>
        <w:tc>
          <w:tcPr>
            <w:tcW w:w="508" w:type="pct"/>
            <w:tcBorders>
              <w:top w:val="nil"/>
              <w:left w:val="nil"/>
              <w:bottom w:val="nil"/>
              <w:right w:val="nil"/>
            </w:tcBorders>
            <w:tcMar>
              <w:top w:w="0" w:type="dxa"/>
              <w:left w:w="0" w:type="dxa"/>
              <w:bottom w:w="0" w:type="dxa"/>
              <w:right w:w="0" w:type="dxa"/>
            </w:tcMar>
            <w:vAlign w:val="bottom"/>
            <w:hideMark/>
          </w:tcPr>
          <w:p w14:paraId="01E92572" w14:textId="1ADEC8D7"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353</w:t>
            </w:r>
          </w:p>
        </w:tc>
      </w:tr>
      <w:tr w:rsidR="00D4047A" w:rsidRPr="00617599" w14:paraId="4EAF6ECD" w14:textId="77777777" w:rsidTr="007F5E7F">
        <w:trPr>
          <w:trHeight w:val="227"/>
          <w:tblCellSpacing w:w="0" w:type="dxa"/>
        </w:trPr>
        <w:tc>
          <w:tcPr>
            <w:tcW w:w="664" w:type="pct"/>
            <w:tcBorders>
              <w:top w:val="nil"/>
              <w:left w:val="nil"/>
              <w:bottom w:val="nil"/>
              <w:right w:val="nil"/>
            </w:tcBorders>
            <w:tcMar>
              <w:top w:w="0" w:type="dxa"/>
              <w:left w:w="0" w:type="dxa"/>
              <w:bottom w:w="0" w:type="dxa"/>
              <w:right w:w="0" w:type="dxa"/>
            </w:tcMar>
            <w:vAlign w:val="center"/>
            <w:hideMark/>
          </w:tcPr>
          <w:p w14:paraId="1A9A0251" w14:textId="77777777" w:rsidR="00D4047A" w:rsidRPr="00617599" w:rsidRDefault="00D4047A" w:rsidP="00D4047A">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Multiple </w:t>
            </w:r>
          </w:p>
        </w:tc>
        <w:tc>
          <w:tcPr>
            <w:tcW w:w="449" w:type="pct"/>
            <w:tcBorders>
              <w:top w:val="nil"/>
              <w:left w:val="nil"/>
              <w:bottom w:val="nil"/>
              <w:right w:val="nil"/>
            </w:tcBorders>
            <w:tcMar>
              <w:top w:w="0" w:type="dxa"/>
              <w:left w:w="0" w:type="dxa"/>
              <w:bottom w:w="0" w:type="dxa"/>
              <w:right w:w="0" w:type="dxa"/>
            </w:tcMar>
            <w:vAlign w:val="bottom"/>
            <w:hideMark/>
          </w:tcPr>
          <w:p w14:paraId="2157A61C" w14:textId="1F0122E8" w:rsidR="00D4047A" w:rsidRPr="0095217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12</w:t>
            </w:r>
          </w:p>
        </w:tc>
        <w:tc>
          <w:tcPr>
            <w:tcW w:w="451" w:type="pct"/>
            <w:tcBorders>
              <w:top w:val="nil"/>
              <w:left w:val="nil"/>
              <w:bottom w:val="nil"/>
              <w:right w:val="nil"/>
            </w:tcBorders>
            <w:tcMar>
              <w:top w:w="0" w:type="dxa"/>
              <w:left w:w="0" w:type="dxa"/>
              <w:bottom w:w="0" w:type="dxa"/>
              <w:right w:w="0" w:type="dxa"/>
            </w:tcMar>
            <w:vAlign w:val="bottom"/>
            <w:hideMark/>
          </w:tcPr>
          <w:p w14:paraId="3A8C3AFE" w14:textId="16F26468"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1</w:t>
            </w:r>
          </w:p>
        </w:tc>
        <w:tc>
          <w:tcPr>
            <w:tcW w:w="452" w:type="pct"/>
            <w:tcBorders>
              <w:top w:val="nil"/>
              <w:left w:val="nil"/>
              <w:bottom w:val="nil"/>
              <w:right w:val="nil"/>
            </w:tcBorders>
            <w:tcMar>
              <w:top w:w="0" w:type="dxa"/>
              <w:left w:w="0" w:type="dxa"/>
              <w:bottom w:w="0" w:type="dxa"/>
              <w:right w:w="0" w:type="dxa"/>
            </w:tcMar>
            <w:vAlign w:val="bottom"/>
            <w:hideMark/>
          </w:tcPr>
          <w:p w14:paraId="30BFEC4E" w14:textId="3A4F4A8C"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13</w:t>
            </w:r>
          </w:p>
        </w:tc>
        <w:tc>
          <w:tcPr>
            <w:tcW w:w="52" w:type="pct"/>
            <w:tcBorders>
              <w:top w:val="nil"/>
              <w:left w:val="nil"/>
              <w:bottom w:val="nil"/>
              <w:right w:val="nil"/>
            </w:tcBorders>
            <w:tcMar>
              <w:top w:w="0" w:type="dxa"/>
              <w:left w:w="0" w:type="dxa"/>
              <w:bottom w:w="0" w:type="dxa"/>
              <w:right w:w="0" w:type="dxa"/>
            </w:tcMar>
            <w:vAlign w:val="bottom"/>
            <w:hideMark/>
          </w:tcPr>
          <w:p w14:paraId="4DD9317F" w14:textId="7816C5B7"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451" w:type="pct"/>
            <w:tcBorders>
              <w:top w:val="nil"/>
              <w:left w:val="nil"/>
              <w:bottom w:val="nil"/>
              <w:right w:val="nil"/>
            </w:tcBorders>
            <w:tcMar>
              <w:top w:w="0" w:type="dxa"/>
              <w:left w:w="0" w:type="dxa"/>
              <w:bottom w:w="0" w:type="dxa"/>
              <w:right w:w="0" w:type="dxa"/>
            </w:tcMar>
            <w:vAlign w:val="bottom"/>
            <w:hideMark/>
          </w:tcPr>
          <w:p w14:paraId="204CA1B7" w14:textId="02D248E2"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15</w:t>
            </w:r>
          </w:p>
        </w:tc>
        <w:tc>
          <w:tcPr>
            <w:tcW w:w="451" w:type="pct"/>
            <w:tcBorders>
              <w:top w:val="nil"/>
              <w:left w:val="nil"/>
              <w:bottom w:val="nil"/>
              <w:right w:val="nil"/>
            </w:tcBorders>
            <w:tcMar>
              <w:top w:w="0" w:type="dxa"/>
              <w:left w:w="0" w:type="dxa"/>
              <w:bottom w:w="0" w:type="dxa"/>
              <w:right w:w="0" w:type="dxa"/>
            </w:tcMar>
            <w:vAlign w:val="bottom"/>
            <w:hideMark/>
          </w:tcPr>
          <w:p w14:paraId="36E4B562" w14:textId="1493C066"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5</w:t>
            </w:r>
          </w:p>
        </w:tc>
        <w:tc>
          <w:tcPr>
            <w:tcW w:w="452" w:type="pct"/>
            <w:tcBorders>
              <w:top w:val="nil"/>
              <w:left w:val="nil"/>
              <w:bottom w:val="nil"/>
              <w:right w:val="nil"/>
            </w:tcBorders>
            <w:tcMar>
              <w:top w:w="0" w:type="dxa"/>
              <w:left w:w="0" w:type="dxa"/>
              <w:bottom w:w="0" w:type="dxa"/>
              <w:right w:w="0" w:type="dxa"/>
            </w:tcMar>
            <w:vAlign w:val="bottom"/>
            <w:hideMark/>
          </w:tcPr>
          <w:p w14:paraId="7F0F4A83" w14:textId="18198338"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20</w:t>
            </w:r>
          </w:p>
        </w:tc>
        <w:tc>
          <w:tcPr>
            <w:tcW w:w="52" w:type="pct"/>
            <w:tcBorders>
              <w:top w:val="nil"/>
              <w:left w:val="nil"/>
              <w:bottom w:val="nil"/>
              <w:right w:val="nil"/>
            </w:tcBorders>
            <w:tcMar>
              <w:top w:w="0" w:type="dxa"/>
              <w:left w:w="0" w:type="dxa"/>
              <w:bottom w:w="0" w:type="dxa"/>
              <w:right w:w="0" w:type="dxa"/>
            </w:tcMar>
            <w:vAlign w:val="bottom"/>
            <w:hideMark/>
          </w:tcPr>
          <w:p w14:paraId="08AA8299" w14:textId="744F0A88" w:rsidR="00D4047A" w:rsidRPr="00F00A6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09" w:type="pct"/>
            <w:tcBorders>
              <w:top w:val="nil"/>
              <w:left w:val="nil"/>
              <w:bottom w:val="nil"/>
              <w:right w:val="nil"/>
            </w:tcBorders>
            <w:tcMar>
              <w:top w:w="0" w:type="dxa"/>
              <w:left w:w="0" w:type="dxa"/>
              <w:bottom w:w="0" w:type="dxa"/>
              <w:right w:w="0" w:type="dxa"/>
            </w:tcMar>
            <w:vAlign w:val="bottom"/>
            <w:hideMark/>
          </w:tcPr>
          <w:p w14:paraId="1060D691" w14:textId="6F7691F9" w:rsidR="00D4047A" w:rsidRPr="0095217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1</w:t>
            </w:r>
          </w:p>
        </w:tc>
        <w:tc>
          <w:tcPr>
            <w:tcW w:w="509" w:type="pct"/>
            <w:tcBorders>
              <w:top w:val="nil"/>
              <w:left w:val="nil"/>
              <w:bottom w:val="nil"/>
              <w:right w:val="nil"/>
            </w:tcBorders>
            <w:tcMar>
              <w:top w:w="0" w:type="dxa"/>
              <w:left w:w="0" w:type="dxa"/>
              <w:bottom w:w="0" w:type="dxa"/>
              <w:right w:w="0" w:type="dxa"/>
            </w:tcMar>
            <w:vAlign w:val="bottom"/>
            <w:hideMark/>
          </w:tcPr>
          <w:p w14:paraId="6E1427E1" w14:textId="2C5BBD38" w:rsidR="00D4047A" w:rsidRPr="0095217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3</w:t>
            </w:r>
          </w:p>
        </w:tc>
        <w:tc>
          <w:tcPr>
            <w:tcW w:w="508" w:type="pct"/>
            <w:tcBorders>
              <w:top w:val="nil"/>
              <w:left w:val="nil"/>
              <w:bottom w:val="nil"/>
              <w:right w:val="nil"/>
            </w:tcBorders>
            <w:tcMar>
              <w:top w:w="0" w:type="dxa"/>
              <w:left w:w="0" w:type="dxa"/>
              <w:bottom w:w="0" w:type="dxa"/>
              <w:right w:w="0" w:type="dxa"/>
            </w:tcMar>
            <w:vAlign w:val="bottom"/>
            <w:hideMark/>
          </w:tcPr>
          <w:p w14:paraId="164ACD37" w14:textId="265F97FD" w:rsidR="00D4047A" w:rsidRPr="0095217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4</w:t>
            </w:r>
          </w:p>
        </w:tc>
      </w:tr>
      <w:tr w:rsidR="00D4047A" w:rsidRPr="00617599" w14:paraId="050F4B9B" w14:textId="77777777" w:rsidTr="007F5E7F">
        <w:trPr>
          <w:trHeight w:val="227"/>
          <w:tblCellSpacing w:w="0" w:type="dxa"/>
        </w:trPr>
        <w:tc>
          <w:tcPr>
            <w:tcW w:w="664" w:type="pct"/>
            <w:tcBorders>
              <w:top w:val="nil"/>
              <w:left w:val="nil"/>
              <w:bottom w:val="nil"/>
              <w:right w:val="nil"/>
            </w:tcBorders>
            <w:tcMar>
              <w:top w:w="0" w:type="dxa"/>
              <w:left w:w="0" w:type="dxa"/>
              <w:bottom w:w="0" w:type="dxa"/>
              <w:right w:w="0" w:type="dxa"/>
            </w:tcMar>
            <w:vAlign w:val="center"/>
            <w:hideMark/>
          </w:tcPr>
          <w:p w14:paraId="3B3A94AD" w14:textId="3FD0AD44" w:rsidR="00D4047A" w:rsidRPr="00617599" w:rsidRDefault="00D4047A" w:rsidP="00D4047A">
            <w:pPr>
              <w:spacing w:after="0" w:line="276" w:lineRule="auto"/>
              <w:ind w:left="142"/>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 Twin </w:t>
            </w:r>
          </w:p>
        </w:tc>
        <w:tc>
          <w:tcPr>
            <w:tcW w:w="449" w:type="pct"/>
            <w:tcBorders>
              <w:top w:val="nil"/>
              <w:left w:val="nil"/>
              <w:bottom w:val="nil"/>
              <w:right w:val="nil"/>
            </w:tcBorders>
            <w:tcMar>
              <w:top w:w="0" w:type="dxa"/>
              <w:left w:w="0" w:type="dxa"/>
              <w:bottom w:w="0" w:type="dxa"/>
              <w:right w:w="0" w:type="dxa"/>
            </w:tcMar>
            <w:vAlign w:val="center"/>
            <w:hideMark/>
          </w:tcPr>
          <w:p w14:paraId="51668165" w14:textId="0314CAFB" w:rsidR="00D4047A" w:rsidRPr="0095217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12</w:t>
            </w:r>
          </w:p>
        </w:tc>
        <w:tc>
          <w:tcPr>
            <w:tcW w:w="451" w:type="pct"/>
            <w:tcBorders>
              <w:top w:val="nil"/>
              <w:left w:val="nil"/>
              <w:bottom w:val="nil"/>
              <w:right w:val="nil"/>
            </w:tcBorders>
            <w:tcMar>
              <w:top w:w="0" w:type="dxa"/>
              <w:left w:w="0" w:type="dxa"/>
              <w:bottom w:w="0" w:type="dxa"/>
              <w:right w:w="0" w:type="dxa"/>
            </w:tcMar>
            <w:vAlign w:val="center"/>
            <w:hideMark/>
          </w:tcPr>
          <w:p w14:paraId="647EE3A5" w14:textId="6DF8981E"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1</w:t>
            </w:r>
          </w:p>
        </w:tc>
        <w:tc>
          <w:tcPr>
            <w:tcW w:w="452" w:type="pct"/>
            <w:tcBorders>
              <w:top w:val="nil"/>
              <w:left w:val="nil"/>
              <w:bottom w:val="nil"/>
              <w:right w:val="nil"/>
            </w:tcBorders>
            <w:tcMar>
              <w:top w:w="0" w:type="dxa"/>
              <w:left w:w="0" w:type="dxa"/>
              <w:bottom w:w="0" w:type="dxa"/>
              <w:right w:w="0" w:type="dxa"/>
            </w:tcMar>
            <w:vAlign w:val="center"/>
            <w:hideMark/>
          </w:tcPr>
          <w:p w14:paraId="72F0169E" w14:textId="524B4B27"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13</w:t>
            </w:r>
          </w:p>
        </w:tc>
        <w:tc>
          <w:tcPr>
            <w:tcW w:w="52" w:type="pct"/>
            <w:tcBorders>
              <w:top w:val="nil"/>
              <w:left w:val="nil"/>
              <w:bottom w:val="nil"/>
              <w:right w:val="nil"/>
            </w:tcBorders>
            <w:tcMar>
              <w:top w:w="0" w:type="dxa"/>
              <w:left w:w="0" w:type="dxa"/>
              <w:bottom w:w="0" w:type="dxa"/>
              <w:right w:w="0" w:type="dxa"/>
            </w:tcMar>
            <w:vAlign w:val="center"/>
            <w:hideMark/>
          </w:tcPr>
          <w:p w14:paraId="7FA097E4" w14:textId="5A9A3718"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 </w:t>
            </w:r>
          </w:p>
        </w:tc>
        <w:tc>
          <w:tcPr>
            <w:tcW w:w="451" w:type="pct"/>
            <w:tcBorders>
              <w:top w:val="nil"/>
              <w:left w:val="nil"/>
              <w:bottom w:val="nil"/>
              <w:right w:val="nil"/>
            </w:tcBorders>
            <w:tcMar>
              <w:top w:w="0" w:type="dxa"/>
              <w:left w:w="0" w:type="dxa"/>
              <w:bottom w:w="0" w:type="dxa"/>
              <w:right w:w="0" w:type="dxa"/>
            </w:tcMar>
            <w:vAlign w:val="center"/>
            <w:hideMark/>
          </w:tcPr>
          <w:p w14:paraId="4EF006A1" w14:textId="14713AC6"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15</w:t>
            </w:r>
          </w:p>
        </w:tc>
        <w:tc>
          <w:tcPr>
            <w:tcW w:w="451" w:type="pct"/>
            <w:tcBorders>
              <w:top w:val="nil"/>
              <w:left w:val="nil"/>
              <w:bottom w:val="nil"/>
              <w:right w:val="nil"/>
            </w:tcBorders>
            <w:tcMar>
              <w:top w:w="0" w:type="dxa"/>
              <w:left w:w="0" w:type="dxa"/>
              <w:bottom w:w="0" w:type="dxa"/>
              <w:right w:w="0" w:type="dxa"/>
            </w:tcMar>
            <w:vAlign w:val="center"/>
            <w:hideMark/>
          </w:tcPr>
          <w:p w14:paraId="693B319E" w14:textId="303EFE57"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5</w:t>
            </w:r>
          </w:p>
        </w:tc>
        <w:tc>
          <w:tcPr>
            <w:tcW w:w="452" w:type="pct"/>
            <w:tcBorders>
              <w:top w:val="nil"/>
              <w:left w:val="nil"/>
              <w:bottom w:val="nil"/>
              <w:right w:val="nil"/>
            </w:tcBorders>
            <w:tcMar>
              <w:top w:w="0" w:type="dxa"/>
              <w:left w:w="0" w:type="dxa"/>
              <w:bottom w:w="0" w:type="dxa"/>
              <w:right w:w="0" w:type="dxa"/>
            </w:tcMar>
            <w:vAlign w:val="center"/>
            <w:hideMark/>
          </w:tcPr>
          <w:p w14:paraId="1EEB6027" w14:textId="2E02454E"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20</w:t>
            </w:r>
          </w:p>
        </w:tc>
        <w:tc>
          <w:tcPr>
            <w:tcW w:w="52" w:type="pct"/>
            <w:tcBorders>
              <w:top w:val="nil"/>
              <w:left w:val="nil"/>
              <w:bottom w:val="nil"/>
              <w:right w:val="nil"/>
            </w:tcBorders>
            <w:tcMar>
              <w:top w:w="0" w:type="dxa"/>
              <w:left w:w="0" w:type="dxa"/>
              <w:bottom w:w="0" w:type="dxa"/>
              <w:right w:w="0" w:type="dxa"/>
            </w:tcMar>
            <w:vAlign w:val="center"/>
            <w:hideMark/>
          </w:tcPr>
          <w:p w14:paraId="46D48545" w14:textId="6B9159DC"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 </w:t>
            </w:r>
          </w:p>
        </w:tc>
        <w:tc>
          <w:tcPr>
            <w:tcW w:w="509" w:type="pct"/>
            <w:tcBorders>
              <w:top w:val="nil"/>
              <w:left w:val="nil"/>
              <w:bottom w:val="nil"/>
              <w:right w:val="nil"/>
            </w:tcBorders>
            <w:tcMar>
              <w:top w:w="0" w:type="dxa"/>
              <w:left w:w="0" w:type="dxa"/>
              <w:bottom w:w="0" w:type="dxa"/>
              <w:right w:w="0" w:type="dxa"/>
            </w:tcMar>
            <w:vAlign w:val="center"/>
            <w:hideMark/>
          </w:tcPr>
          <w:p w14:paraId="62097E62" w14:textId="5CA89BE3" w:rsidR="00D4047A" w:rsidRPr="0095217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1</w:t>
            </w:r>
          </w:p>
        </w:tc>
        <w:tc>
          <w:tcPr>
            <w:tcW w:w="509" w:type="pct"/>
            <w:tcBorders>
              <w:top w:val="nil"/>
              <w:left w:val="nil"/>
              <w:bottom w:val="nil"/>
              <w:right w:val="nil"/>
            </w:tcBorders>
            <w:tcMar>
              <w:top w:w="0" w:type="dxa"/>
              <w:left w:w="0" w:type="dxa"/>
              <w:bottom w:w="0" w:type="dxa"/>
              <w:right w:w="0" w:type="dxa"/>
            </w:tcMar>
            <w:vAlign w:val="center"/>
            <w:hideMark/>
          </w:tcPr>
          <w:p w14:paraId="21425909" w14:textId="4F29036A" w:rsidR="00D4047A" w:rsidRPr="0095217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3</w:t>
            </w:r>
          </w:p>
        </w:tc>
        <w:tc>
          <w:tcPr>
            <w:tcW w:w="508" w:type="pct"/>
            <w:tcBorders>
              <w:top w:val="nil"/>
              <w:left w:val="nil"/>
              <w:bottom w:val="nil"/>
              <w:right w:val="nil"/>
            </w:tcBorders>
            <w:tcMar>
              <w:top w:w="0" w:type="dxa"/>
              <w:left w:w="0" w:type="dxa"/>
              <w:bottom w:w="0" w:type="dxa"/>
              <w:right w:w="0" w:type="dxa"/>
            </w:tcMar>
            <w:vAlign w:val="center"/>
            <w:hideMark/>
          </w:tcPr>
          <w:p w14:paraId="095E632C" w14:textId="63B1B0F1" w:rsidR="00D4047A" w:rsidRPr="0095217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4</w:t>
            </w:r>
          </w:p>
        </w:tc>
      </w:tr>
      <w:tr w:rsidR="00D4047A" w:rsidRPr="00617599" w14:paraId="02100B78" w14:textId="77777777" w:rsidTr="007F5E7F">
        <w:trPr>
          <w:trHeight w:val="227"/>
          <w:tblCellSpacing w:w="0" w:type="dxa"/>
        </w:trPr>
        <w:tc>
          <w:tcPr>
            <w:tcW w:w="664" w:type="pct"/>
            <w:tcBorders>
              <w:top w:val="nil"/>
              <w:left w:val="nil"/>
              <w:bottom w:val="nil"/>
              <w:right w:val="nil"/>
            </w:tcBorders>
            <w:tcMar>
              <w:top w:w="0" w:type="dxa"/>
              <w:left w:w="0" w:type="dxa"/>
              <w:bottom w:w="0" w:type="dxa"/>
              <w:right w:w="0" w:type="dxa"/>
            </w:tcMar>
            <w:vAlign w:val="center"/>
            <w:hideMark/>
          </w:tcPr>
          <w:p w14:paraId="36D42AC3" w14:textId="4393E1D2" w:rsidR="00D4047A" w:rsidRPr="00617599" w:rsidRDefault="00D4047A" w:rsidP="00D4047A">
            <w:pPr>
              <w:spacing w:after="0" w:line="276" w:lineRule="auto"/>
              <w:ind w:left="142"/>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 Higher order multiple </w:t>
            </w:r>
          </w:p>
        </w:tc>
        <w:tc>
          <w:tcPr>
            <w:tcW w:w="449" w:type="pct"/>
            <w:tcBorders>
              <w:top w:val="nil"/>
              <w:left w:val="nil"/>
              <w:bottom w:val="nil"/>
              <w:right w:val="nil"/>
            </w:tcBorders>
            <w:tcMar>
              <w:top w:w="0" w:type="dxa"/>
              <w:left w:w="0" w:type="dxa"/>
              <w:bottom w:w="0" w:type="dxa"/>
              <w:right w:w="0" w:type="dxa"/>
            </w:tcMar>
            <w:vAlign w:val="center"/>
            <w:hideMark/>
          </w:tcPr>
          <w:p w14:paraId="04795030" w14:textId="62500DE9"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0</w:t>
            </w:r>
          </w:p>
        </w:tc>
        <w:tc>
          <w:tcPr>
            <w:tcW w:w="451" w:type="pct"/>
            <w:tcBorders>
              <w:top w:val="nil"/>
              <w:left w:val="nil"/>
              <w:bottom w:val="nil"/>
              <w:right w:val="nil"/>
            </w:tcBorders>
            <w:tcMar>
              <w:top w:w="0" w:type="dxa"/>
              <w:left w:w="0" w:type="dxa"/>
              <w:bottom w:w="0" w:type="dxa"/>
              <w:right w:w="0" w:type="dxa"/>
            </w:tcMar>
            <w:vAlign w:val="center"/>
            <w:hideMark/>
          </w:tcPr>
          <w:p w14:paraId="3D05F0A5" w14:textId="12DEEEDF"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0</w:t>
            </w:r>
          </w:p>
        </w:tc>
        <w:tc>
          <w:tcPr>
            <w:tcW w:w="452" w:type="pct"/>
            <w:tcBorders>
              <w:top w:val="nil"/>
              <w:left w:val="nil"/>
              <w:bottom w:val="nil"/>
              <w:right w:val="nil"/>
            </w:tcBorders>
            <w:tcMar>
              <w:top w:w="0" w:type="dxa"/>
              <w:left w:w="0" w:type="dxa"/>
              <w:bottom w:w="0" w:type="dxa"/>
              <w:right w:w="0" w:type="dxa"/>
            </w:tcMar>
            <w:vAlign w:val="center"/>
            <w:hideMark/>
          </w:tcPr>
          <w:p w14:paraId="27EDAE0E" w14:textId="501E2286"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0</w:t>
            </w:r>
          </w:p>
        </w:tc>
        <w:tc>
          <w:tcPr>
            <w:tcW w:w="52" w:type="pct"/>
            <w:tcBorders>
              <w:top w:val="nil"/>
              <w:left w:val="nil"/>
              <w:bottom w:val="nil"/>
              <w:right w:val="nil"/>
            </w:tcBorders>
            <w:tcMar>
              <w:top w:w="0" w:type="dxa"/>
              <w:left w:w="0" w:type="dxa"/>
              <w:bottom w:w="0" w:type="dxa"/>
              <w:right w:w="0" w:type="dxa"/>
            </w:tcMar>
            <w:vAlign w:val="center"/>
            <w:hideMark/>
          </w:tcPr>
          <w:p w14:paraId="643B06D5" w14:textId="46765570"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 </w:t>
            </w:r>
          </w:p>
        </w:tc>
        <w:tc>
          <w:tcPr>
            <w:tcW w:w="451" w:type="pct"/>
            <w:tcBorders>
              <w:top w:val="nil"/>
              <w:left w:val="nil"/>
              <w:bottom w:val="nil"/>
              <w:right w:val="nil"/>
            </w:tcBorders>
            <w:tcMar>
              <w:top w:w="0" w:type="dxa"/>
              <w:left w:w="0" w:type="dxa"/>
              <w:bottom w:w="0" w:type="dxa"/>
              <w:right w:w="0" w:type="dxa"/>
            </w:tcMar>
            <w:vAlign w:val="center"/>
            <w:hideMark/>
          </w:tcPr>
          <w:p w14:paraId="4781F89D" w14:textId="5ED6E328"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0</w:t>
            </w:r>
          </w:p>
        </w:tc>
        <w:tc>
          <w:tcPr>
            <w:tcW w:w="451" w:type="pct"/>
            <w:tcBorders>
              <w:top w:val="nil"/>
              <w:left w:val="nil"/>
              <w:bottom w:val="nil"/>
              <w:right w:val="nil"/>
            </w:tcBorders>
            <w:tcMar>
              <w:top w:w="0" w:type="dxa"/>
              <w:left w:w="0" w:type="dxa"/>
              <w:bottom w:w="0" w:type="dxa"/>
              <w:right w:w="0" w:type="dxa"/>
            </w:tcMar>
            <w:vAlign w:val="center"/>
            <w:hideMark/>
          </w:tcPr>
          <w:p w14:paraId="602B73B4" w14:textId="38C564FE"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0</w:t>
            </w:r>
          </w:p>
        </w:tc>
        <w:tc>
          <w:tcPr>
            <w:tcW w:w="452" w:type="pct"/>
            <w:tcBorders>
              <w:top w:val="nil"/>
              <w:left w:val="nil"/>
              <w:bottom w:val="nil"/>
              <w:right w:val="nil"/>
            </w:tcBorders>
            <w:tcMar>
              <w:top w:w="0" w:type="dxa"/>
              <w:left w:w="0" w:type="dxa"/>
              <w:bottom w:w="0" w:type="dxa"/>
              <w:right w:w="0" w:type="dxa"/>
            </w:tcMar>
            <w:vAlign w:val="center"/>
            <w:hideMark/>
          </w:tcPr>
          <w:p w14:paraId="7E02A3F8" w14:textId="72A34CA8"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0</w:t>
            </w:r>
          </w:p>
        </w:tc>
        <w:tc>
          <w:tcPr>
            <w:tcW w:w="52" w:type="pct"/>
            <w:tcBorders>
              <w:top w:val="nil"/>
              <w:left w:val="nil"/>
              <w:bottom w:val="nil"/>
              <w:right w:val="nil"/>
            </w:tcBorders>
            <w:tcMar>
              <w:top w:w="0" w:type="dxa"/>
              <w:left w:w="0" w:type="dxa"/>
              <w:bottom w:w="0" w:type="dxa"/>
              <w:right w:w="0" w:type="dxa"/>
            </w:tcMar>
            <w:vAlign w:val="center"/>
            <w:hideMark/>
          </w:tcPr>
          <w:p w14:paraId="46594A4B" w14:textId="42BBF799"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 </w:t>
            </w:r>
          </w:p>
        </w:tc>
        <w:tc>
          <w:tcPr>
            <w:tcW w:w="509" w:type="pct"/>
            <w:tcBorders>
              <w:top w:val="nil"/>
              <w:left w:val="nil"/>
              <w:bottom w:val="nil"/>
              <w:right w:val="nil"/>
            </w:tcBorders>
            <w:tcMar>
              <w:top w:w="0" w:type="dxa"/>
              <w:left w:w="0" w:type="dxa"/>
              <w:bottom w:w="0" w:type="dxa"/>
              <w:right w:w="0" w:type="dxa"/>
            </w:tcMar>
            <w:vAlign w:val="center"/>
            <w:hideMark/>
          </w:tcPr>
          <w:p w14:paraId="6A83F9FB" w14:textId="0978112C"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0</w:t>
            </w:r>
          </w:p>
        </w:tc>
        <w:tc>
          <w:tcPr>
            <w:tcW w:w="509" w:type="pct"/>
            <w:tcBorders>
              <w:top w:val="nil"/>
              <w:left w:val="nil"/>
              <w:bottom w:val="nil"/>
              <w:right w:val="nil"/>
            </w:tcBorders>
            <w:tcMar>
              <w:top w:w="0" w:type="dxa"/>
              <w:left w:w="0" w:type="dxa"/>
              <w:bottom w:w="0" w:type="dxa"/>
              <w:right w:w="0" w:type="dxa"/>
            </w:tcMar>
            <w:vAlign w:val="center"/>
            <w:hideMark/>
          </w:tcPr>
          <w:p w14:paraId="641A111C" w14:textId="10855F02"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0</w:t>
            </w:r>
          </w:p>
        </w:tc>
        <w:tc>
          <w:tcPr>
            <w:tcW w:w="508" w:type="pct"/>
            <w:tcBorders>
              <w:top w:val="nil"/>
              <w:left w:val="nil"/>
              <w:bottom w:val="nil"/>
              <w:right w:val="nil"/>
            </w:tcBorders>
            <w:tcMar>
              <w:top w:w="0" w:type="dxa"/>
              <w:left w:w="0" w:type="dxa"/>
              <w:bottom w:w="0" w:type="dxa"/>
              <w:right w:w="0" w:type="dxa"/>
            </w:tcMar>
            <w:vAlign w:val="center"/>
            <w:hideMark/>
          </w:tcPr>
          <w:p w14:paraId="570F53D6" w14:textId="2FB91BC5" w:rsidR="00D4047A" w:rsidRPr="00F00A63" w:rsidRDefault="00D4047A" w:rsidP="00D4047A">
            <w:pPr>
              <w:spacing w:after="0" w:line="276" w:lineRule="auto"/>
              <w:jc w:val="right"/>
              <w:rPr>
                <w:rFonts w:ascii="Arial" w:eastAsia="Times New Roman" w:hAnsi="Arial" w:cs="Arial"/>
                <w:i/>
                <w:sz w:val="16"/>
                <w:szCs w:val="16"/>
                <w:lang w:eastAsia="en-AU"/>
              </w:rPr>
            </w:pPr>
            <w:r>
              <w:rPr>
                <w:rFonts w:ascii="Arial" w:hAnsi="Arial" w:cs="Arial"/>
                <w:i/>
                <w:iCs/>
                <w:sz w:val="16"/>
                <w:szCs w:val="16"/>
              </w:rPr>
              <w:t>0</w:t>
            </w:r>
          </w:p>
        </w:tc>
      </w:tr>
      <w:tr w:rsidR="00D4047A" w:rsidRPr="00617599" w14:paraId="35BED4B2" w14:textId="77777777" w:rsidTr="007F5E7F">
        <w:trPr>
          <w:trHeight w:val="227"/>
          <w:tblCellSpacing w:w="0" w:type="dxa"/>
        </w:trPr>
        <w:tc>
          <w:tcPr>
            <w:tcW w:w="664" w:type="pct"/>
            <w:tcBorders>
              <w:top w:val="nil"/>
              <w:left w:val="nil"/>
              <w:bottom w:val="nil"/>
              <w:right w:val="nil"/>
            </w:tcBorders>
            <w:tcMar>
              <w:top w:w="0" w:type="dxa"/>
              <w:left w:w="0" w:type="dxa"/>
              <w:bottom w:w="0" w:type="dxa"/>
              <w:right w:w="0" w:type="dxa"/>
            </w:tcMar>
            <w:vAlign w:val="center"/>
            <w:hideMark/>
          </w:tcPr>
          <w:p w14:paraId="3C949C16" w14:textId="77777777" w:rsidR="00D4047A" w:rsidRPr="00087467" w:rsidRDefault="00D4047A" w:rsidP="00D4047A">
            <w:pPr>
              <w:spacing w:after="0" w:line="276" w:lineRule="auto"/>
              <w:rPr>
                <w:rFonts w:ascii="Arial" w:eastAsia="Times New Roman" w:hAnsi="Arial" w:cs="Arial"/>
                <w:b/>
                <w:sz w:val="16"/>
                <w:szCs w:val="16"/>
                <w:lang w:eastAsia="en-AU"/>
              </w:rPr>
            </w:pPr>
            <w:r w:rsidRPr="00087467">
              <w:rPr>
                <w:rFonts w:ascii="Arial" w:eastAsia="Times New Roman" w:hAnsi="Arial" w:cs="Arial"/>
                <w:b/>
                <w:sz w:val="16"/>
                <w:szCs w:val="16"/>
                <w:lang w:eastAsia="en-AU"/>
              </w:rPr>
              <w:t xml:space="preserve">  Total </w:t>
            </w:r>
          </w:p>
        </w:tc>
        <w:tc>
          <w:tcPr>
            <w:tcW w:w="449" w:type="pct"/>
            <w:tcBorders>
              <w:top w:val="nil"/>
              <w:left w:val="nil"/>
              <w:bottom w:val="nil"/>
              <w:right w:val="nil"/>
            </w:tcBorders>
            <w:tcMar>
              <w:top w:w="0" w:type="dxa"/>
              <w:left w:w="0" w:type="dxa"/>
              <w:bottom w:w="0" w:type="dxa"/>
              <w:right w:w="0" w:type="dxa"/>
            </w:tcMar>
            <w:vAlign w:val="bottom"/>
            <w:hideMark/>
          </w:tcPr>
          <w:p w14:paraId="2C34D941" w14:textId="5FFF9309" w:rsidR="00D4047A" w:rsidRPr="00F00A63"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843</w:t>
            </w:r>
          </w:p>
        </w:tc>
        <w:tc>
          <w:tcPr>
            <w:tcW w:w="451" w:type="pct"/>
            <w:tcBorders>
              <w:top w:val="nil"/>
              <w:left w:val="nil"/>
              <w:bottom w:val="nil"/>
              <w:right w:val="nil"/>
            </w:tcBorders>
            <w:tcMar>
              <w:top w:w="0" w:type="dxa"/>
              <w:left w:w="0" w:type="dxa"/>
              <w:bottom w:w="0" w:type="dxa"/>
              <w:right w:w="0" w:type="dxa"/>
            </w:tcMar>
            <w:vAlign w:val="bottom"/>
            <w:hideMark/>
          </w:tcPr>
          <w:p w14:paraId="027F5441" w14:textId="4A5B4F0C" w:rsidR="00D4047A" w:rsidRPr="00F00A63"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7</w:t>
            </w:r>
          </w:p>
        </w:tc>
        <w:tc>
          <w:tcPr>
            <w:tcW w:w="452" w:type="pct"/>
            <w:tcBorders>
              <w:top w:val="nil"/>
              <w:left w:val="nil"/>
              <w:bottom w:val="nil"/>
              <w:right w:val="nil"/>
            </w:tcBorders>
            <w:tcMar>
              <w:top w:w="0" w:type="dxa"/>
              <w:left w:w="0" w:type="dxa"/>
              <w:bottom w:w="0" w:type="dxa"/>
              <w:right w:w="0" w:type="dxa"/>
            </w:tcMar>
            <w:vAlign w:val="bottom"/>
            <w:hideMark/>
          </w:tcPr>
          <w:p w14:paraId="69CFF995" w14:textId="56B01AFA" w:rsidR="00D4047A" w:rsidRPr="00F00A63"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850</w:t>
            </w:r>
          </w:p>
        </w:tc>
        <w:tc>
          <w:tcPr>
            <w:tcW w:w="52" w:type="pct"/>
            <w:tcBorders>
              <w:top w:val="nil"/>
              <w:left w:val="nil"/>
              <w:bottom w:val="nil"/>
              <w:right w:val="nil"/>
            </w:tcBorders>
            <w:tcMar>
              <w:top w:w="0" w:type="dxa"/>
              <w:left w:w="0" w:type="dxa"/>
              <w:bottom w:w="0" w:type="dxa"/>
              <w:right w:w="0" w:type="dxa"/>
            </w:tcMar>
            <w:vAlign w:val="bottom"/>
            <w:hideMark/>
          </w:tcPr>
          <w:p w14:paraId="6AA6BD45" w14:textId="7D66B28B" w:rsidR="00D4047A" w:rsidRPr="00F00A63"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451" w:type="pct"/>
            <w:tcBorders>
              <w:top w:val="nil"/>
              <w:left w:val="nil"/>
              <w:bottom w:val="nil"/>
              <w:right w:val="nil"/>
            </w:tcBorders>
            <w:tcMar>
              <w:top w:w="0" w:type="dxa"/>
              <w:left w:w="0" w:type="dxa"/>
              <w:bottom w:w="0" w:type="dxa"/>
              <w:right w:w="0" w:type="dxa"/>
            </w:tcMar>
            <w:vAlign w:val="bottom"/>
            <w:hideMark/>
          </w:tcPr>
          <w:p w14:paraId="19B7DF61" w14:textId="65C72DA2" w:rsidR="00D4047A" w:rsidRPr="00F00A63"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816</w:t>
            </w:r>
          </w:p>
        </w:tc>
        <w:tc>
          <w:tcPr>
            <w:tcW w:w="451" w:type="pct"/>
            <w:tcBorders>
              <w:top w:val="nil"/>
              <w:left w:val="nil"/>
              <w:bottom w:val="nil"/>
              <w:right w:val="nil"/>
            </w:tcBorders>
            <w:tcMar>
              <w:top w:w="0" w:type="dxa"/>
              <w:left w:w="0" w:type="dxa"/>
              <w:bottom w:w="0" w:type="dxa"/>
              <w:right w:w="0" w:type="dxa"/>
            </w:tcMar>
            <w:vAlign w:val="bottom"/>
            <w:hideMark/>
          </w:tcPr>
          <w:p w14:paraId="3E014183" w14:textId="03108C33" w:rsidR="00D4047A" w:rsidRPr="00F00A63"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15</w:t>
            </w:r>
          </w:p>
        </w:tc>
        <w:tc>
          <w:tcPr>
            <w:tcW w:w="452" w:type="pct"/>
            <w:tcBorders>
              <w:top w:val="nil"/>
              <w:left w:val="nil"/>
              <w:bottom w:val="nil"/>
              <w:right w:val="nil"/>
            </w:tcBorders>
            <w:tcMar>
              <w:top w:w="0" w:type="dxa"/>
              <w:left w:w="0" w:type="dxa"/>
              <w:bottom w:w="0" w:type="dxa"/>
              <w:right w:w="0" w:type="dxa"/>
            </w:tcMar>
            <w:vAlign w:val="bottom"/>
            <w:hideMark/>
          </w:tcPr>
          <w:p w14:paraId="513B1E0C" w14:textId="0BD4C548" w:rsidR="00D4047A" w:rsidRPr="00F00A63"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831</w:t>
            </w:r>
          </w:p>
        </w:tc>
        <w:tc>
          <w:tcPr>
            <w:tcW w:w="52" w:type="pct"/>
            <w:tcBorders>
              <w:top w:val="nil"/>
              <w:left w:val="nil"/>
              <w:bottom w:val="nil"/>
              <w:right w:val="nil"/>
            </w:tcBorders>
            <w:tcMar>
              <w:top w:w="0" w:type="dxa"/>
              <w:left w:w="0" w:type="dxa"/>
              <w:bottom w:w="0" w:type="dxa"/>
              <w:right w:w="0" w:type="dxa"/>
            </w:tcMar>
            <w:vAlign w:val="bottom"/>
            <w:hideMark/>
          </w:tcPr>
          <w:p w14:paraId="63FC9BEE" w14:textId="53709239" w:rsidR="00D4047A" w:rsidRPr="00F00A63"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 </w:t>
            </w:r>
          </w:p>
        </w:tc>
        <w:tc>
          <w:tcPr>
            <w:tcW w:w="509" w:type="pct"/>
            <w:tcBorders>
              <w:top w:val="nil"/>
              <w:left w:val="nil"/>
              <w:bottom w:val="nil"/>
              <w:right w:val="nil"/>
            </w:tcBorders>
            <w:tcMar>
              <w:top w:w="0" w:type="dxa"/>
              <w:left w:w="0" w:type="dxa"/>
              <w:bottom w:w="0" w:type="dxa"/>
              <w:right w:w="0" w:type="dxa"/>
            </w:tcMar>
            <w:vAlign w:val="bottom"/>
            <w:hideMark/>
          </w:tcPr>
          <w:p w14:paraId="6CF6F70A" w14:textId="056810EE" w:rsidR="00D4047A" w:rsidRPr="00F00A63"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347</w:t>
            </w:r>
          </w:p>
        </w:tc>
        <w:tc>
          <w:tcPr>
            <w:tcW w:w="509" w:type="pct"/>
            <w:tcBorders>
              <w:top w:val="nil"/>
              <w:left w:val="nil"/>
              <w:bottom w:val="nil"/>
              <w:right w:val="nil"/>
            </w:tcBorders>
            <w:tcMar>
              <w:top w:w="0" w:type="dxa"/>
              <w:left w:w="0" w:type="dxa"/>
              <w:bottom w:w="0" w:type="dxa"/>
              <w:right w:w="0" w:type="dxa"/>
            </w:tcMar>
            <w:vAlign w:val="bottom"/>
            <w:hideMark/>
          </w:tcPr>
          <w:p w14:paraId="597024F4" w14:textId="2A99B2EF" w:rsidR="00D4047A" w:rsidRPr="00F00A63"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10</w:t>
            </w:r>
          </w:p>
        </w:tc>
        <w:tc>
          <w:tcPr>
            <w:tcW w:w="508" w:type="pct"/>
            <w:tcBorders>
              <w:top w:val="nil"/>
              <w:left w:val="nil"/>
              <w:bottom w:val="nil"/>
              <w:right w:val="nil"/>
            </w:tcBorders>
            <w:tcMar>
              <w:top w:w="0" w:type="dxa"/>
              <w:left w:w="0" w:type="dxa"/>
              <w:bottom w:w="0" w:type="dxa"/>
              <w:right w:w="0" w:type="dxa"/>
            </w:tcMar>
            <w:vAlign w:val="bottom"/>
            <w:hideMark/>
          </w:tcPr>
          <w:p w14:paraId="3E469B41" w14:textId="695E4685" w:rsidR="00D4047A" w:rsidRPr="00F00A63"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357</w:t>
            </w:r>
          </w:p>
        </w:tc>
      </w:tr>
      <w:tr w:rsidR="005C5F57" w:rsidRPr="00617599" w14:paraId="163719DE" w14:textId="77777777" w:rsidTr="000C2874">
        <w:trPr>
          <w:trHeight w:val="227"/>
          <w:tblCellSpacing w:w="0" w:type="dxa"/>
        </w:trPr>
        <w:tc>
          <w:tcPr>
            <w:tcW w:w="5000" w:type="pct"/>
            <w:gridSpan w:val="12"/>
            <w:tcBorders>
              <w:top w:val="nil"/>
              <w:left w:val="nil"/>
              <w:bottom w:val="nil"/>
              <w:right w:val="nil"/>
            </w:tcBorders>
            <w:tcMar>
              <w:top w:w="0" w:type="dxa"/>
              <w:left w:w="0" w:type="dxa"/>
              <w:bottom w:w="0" w:type="dxa"/>
              <w:right w:w="0" w:type="dxa"/>
            </w:tcMar>
            <w:vAlign w:val="center"/>
            <w:hideMark/>
          </w:tcPr>
          <w:p w14:paraId="74F28076" w14:textId="71C2399C" w:rsidR="005C5F57" w:rsidRPr="00617F6B" w:rsidRDefault="000E2E9E" w:rsidP="00360E75">
            <w:pPr>
              <w:spacing w:after="0" w:line="276" w:lineRule="auto"/>
              <w:jc w:val="center"/>
              <w:rPr>
                <w:rFonts w:ascii="Arial" w:eastAsia="Times New Roman" w:hAnsi="Arial" w:cs="Arial"/>
                <w:sz w:val="16"/>
                <w:szCs w:val="16"/>
                <w:lang w:eastAsia="en-AU"/>
              </w:rPr>
            </w:pPr>
            <w:r w:rsidRPr="00617F6B">
              <w:rPr>
                <w:rFonts w:ascii="Arial" w:eastAsia="Times New Roman" w:hAnsi="Arial" w:cs="Arial"/>
                <w:b/>
                <w:bCs/>
                <w:sz w:val="16"/>
                <w:szCs w:val="16"/>
                <w:lang w:eastAsia="en-AU"/>
              </w:rPr>
              <w:t>%</w:t>
            </w:r>
          </w:p>
        </w:tc>
      </w:tr>
      <w:tr w:rsidR="00D4047A" w:rsidRPr="00617599" w14:paraId="3F528F3E" w14:textId="77777777" w:rsidTr="007F5E7F">
        <w:trPr>
          <w:trHeight w:val="227"/>
          <w:tblCellSpacing w:w="0" w:type="dxa"/>
        </w:trPr>
        <w:tc>
          <w:tcPr>
            <w:tcW w:w="664" w:type="pct"/>
            <w:tcBorders>
              <w:top w:val="nil"/>
              <w:left w:val="nil"/>
              <w:bottom w:val="nil"/>
              <w:right w:val="nil"/>
            </w:tcBorders>
            <w:tcMar>
              <w:top w:w="0" w:type="dxa"/>
              <w:left w:w="0" w:type="dxa"/>
              <w:bottom w:w="0" w:type="dxa"/>
              <w:right w:w="0" w:type="dxa"/>
            </w:tcMar>
            <w:vAlign w:val="center"/>
            <w:hideMark/>
          </w:tcPr>
          <w:p w14:paraId="5AE81BCF" w14:textId="77777777" w:rsidR="00D4047A" w:rsidRPr="00617599" w:rsidRDefault="00D4047A" w:rsidP="00D4047A">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Singleton </w:t>
            </w:r>
          </w:p>
        </w:tc>
        <w:tc>
          <w:tcPr>
            <w:tcW w:w="449" w:type="pct"/>
            <w:tcBorders>
              <w:top w:val="nil"/>
              <w:left w:val="nil"/>
              <w:bottom w:val="nil"/>
              <w:right w:val="nil"/>
            </w:tcBorders>
            <w:tcMar>
              <w:top w:w="0" w:type="dxa"/>
              <w:left w:w="0" w:type="dxa"/>
              <w:bottom w:w="0" w:type="dxa"/>
              <w:right w:w="0" w:type="dxa"/>
            </w:tcMar>
            <w:vAlign w:val="bottom"/>
            <w:hideMark/>
          </w:tcPr>
          <w:p w14:paraId="157FBCF4" w14:textId="09BB266B" w:rsidR="00D4047A" w:rsidRPr="00617F6B"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98.6</w:t>
            </w:r>
          </w:p>
        </w:tc>
        <w:tc>
          <w:tcPr>
            <w:tcW w:w="451" w:type="pct"/>
            <w:tcBorders>
              <w:top w:val="nil"/>
              <w:left w:val="nil"/>
              <w:bottom w:val="nil"/>
              <w:right w:val="nil"/>
            </w:tcBorders>
            <w:tcMar>
              <w:top w:w="0" w:type="dxa"/>
              <w:left w:w="0" w:type="dxa"/>
              <w:bottom w:w="0" w:type="dxa"/>
              <w:right w:w="0" w:type="dxa"/>
            </w:tcMar>
            <w:vAlign w:val="bottom"/>
            <w:hideMark/>
          </w:tcPr>
          <w:p w14:paraId="60808D91" w14:textId="6442C98B" w:rsidR="00D4047A" w:rsidRPr="00617F6B"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85.7</w:t>
            </w:r>
          </w:p>
        </w:tc>
        <w:tc>
          <w:tcPr>
            <w:tcW w:w="452" w:type="pct"/>
            <w:tcBorders>
              <w:top w:val="nil"/>
              <w:left w:val="nil"/>
              <w:bottom w:val="nil"/>
              <w:right w:val="nil"/>
            </w:tcBorders>
            <w:tcMar>
              <w:top w:w="0" w:type="dxa"/>
              <w:left w:w="0" w:type="dxa"/>
              <w:bottom w:w="0" w:type="dxa"/>
              <w:right w:w="0" w:type="dxa"/>
            </w:tcMar>
            <w:vAlign w:val="bottom"/>
            <w:hideMark/>
          </w:tcPr>
          <w:p w14:paraId="3EC3E4F8" w14:textId="7426FA1A" w:rsidR="00D4047A" w:rsidRPr="00617F6B"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98.5</w:t>
            </w:r>
          </w:p>
        </w:tc>
        <w:tc>
          <w:tcPr>
            <w:tcW w:w="52" w:type="pct"/>
            <w:tcBorders>
              <w:top w:val="nil"/>
              <w:left w:val="nil"/>
              <w:bottom w:val="nil"/>
              <w:right w:val="nil"/>
            </w:tcBorders>
            <w:tcMar>
              <w:top w:w="0" w:type="dxa"/>
              <w:left w:w="0" w:type="dxa"/>
              <w:bottom w:w="0" w:type="dxa"/>
              <w:right w:w="0" w:type="dxa"/>
            </w:tcMar>
            <w:vAlign w:val="bottom"/>
            <w:hideMark/>
          </w:tcPr>
          <w:p w14:paraId="7C33CA25" w14:textId="74A58D89" w:rsidR="00D4047A" w:rsidRPr="001C08D8" w:rsidRDefault="00D4047A" w:rsidP="00D4047A">
            <w:pPr>
              <w:spacing w:after="0" w:line="276" w:lineRule="auto"/>
              <w:jc w:val="right"/>
              <w:rPr>
                <w:rFonts w:ascii="Arial" w:eastAsia="Times New Roman" w:hAnsi="Arial" w:cs="Arial"/>
                <w:sz w:val="16"/>
                <w:szCs w:val="16"/>
                <w:lang w:eastAsia="en-AU"/>
              </w:rPr>
            </w:pPr>
          </w:p>
        </w:tc>
        <w:tc>
          <w:tcPr>
            <w:tcW w:w="451" w:type="pct"/>
            <w:tcBorders>
              <w:top w:val="nil"/>
              <w:left w:val="nil"/>
              <w:bottom w:val="nil"/>
              <w:right w:val="nil"/>
            </w:tcBorders>
            <w:tcMar>
              <w:top w:w="0" w:type="dxa"/>
              <w:left w:w="0" w:type="dxa"/>
              <w:bottom w:w="0" w:type="dxa"/>
              <w:right w:w="0" w:type="dxa"/>
            </w:tcMar>
            <w:vAlign w:val="bottom"/>
            <w:hideMark/>
          </w:tcPr>
          <w:p w14:paraId="69DED54A" w14:textId="3F9A30FA" w:rsidR="00D4047A" w:rsidRPr="001C08D8"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98.2</w:t>
            </w:r>
          </w:p>
        </w:tc>
        <w:tc>
          <w:tcPr>
            <w:tcW w:w="451" w:type="pct"/>
            <w:tcBorders>
              <w:top w:val="nil"/>
              <w:left w:val="nil"/>
              <w:bottom w:val="nil"/>
              <w:right w:val="nil"/>
            </w:tcBorders>
            <w:tcMar>
              <w:top w:w="0" w:type="dxa"/>
              <w:left w:w="0" w:type="dxa"/>
              <w:bottom w:w="0" w:type="dxa"/>
              <w:right w:w="0" w:type="dxa"/>
            </w:tcMar>
            <w:vAlign w:val="bottom"/>
            <w:hideMark/>
          </w:tcPr>
          <w:p w14:paraId="24A96ECC" w14:textId="06CA87BB" w:rsidR="00D4047A" w:rsidRPr="001C08D8"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66.7</w:t>
            </w:r>
          </w:p>
        </w:tc>
        <w:tc>
          <w:tcPr>
            <w:tcW w:w="452" w:type="pct"/>
            <w:tcBorders>
              <w:top w:val="nil"/>
              <w:left w:val="nil"/>
              <w:bottom w:val="nil"/>
              <w:right w:val="nil"/>
            </w:tcBorders>
            <w:tcMar>
              <w:top w:w="0" w:type="dxa"/>
              <w:left w:w="0" w:type="dxa"/>
              <w:bottom w:w="0" w:type="dxa"/>
              <w:right w:w="0" w:type="dxa"/>
            </w:tcMar>
            <w:vAlign w:val="bottom"/>
            <w:hideMark/>
          </w:tcPr>
          <w:p w14:paraId="130C45B4" w14:textId="16C51090" w:rsidR="00D4047A" w:rsidRPr="001C08D8"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97.6</w:t>
            </w:r>
          </w:p>
        </w:tc>
        <w:tc>
          <w:tcPr>
            <w:tcW w:w="52" w:type="pct"/>
            <w:tcBorders>
              <w:top w:val="nil"/>
              <w:left w:val="nil"/>
              <w:bottom w:val="nil"/>
              <w:right w:val="nil"/>
            </w:tcBorders>
            <w:tcMar>
              <w:top w:w="0" w:type="dxa"/>
              <w:left w:w="0" w:type="dxa"/>
              <w:bottom w:w="0" w:type="dxa"/>
              <w:right w:w="0" w:type="dxa"/>
            </w:tcMar>
            <w:vAlign w:val="bottom"/>
            <w:hideMark/>
          </w:tcPr>
          <w:p w14:paraId="58DAC9B4" w14:textId="7382A425" w:rsidR="00D4047A" w:rsidRPr="001C08D8" w:rsidRDefault="00D4047A" w:rsidP="00D4047A">
            <w:pPr>
              <w:spacing w:after="0" w:line="276" w:lineRule="auto"/>
              <w:jc w:val="right"/>
              <w:rPr>
                <w:rFonts w:ascii="Arial" w:eastAsia="Times New Roman" w:hAnsi="Arial" w:cs="Arial"/>
                <w:sz w:val="16"/>
                <w:szCs w:val="16"/>
                <w:lang w:eastAsia="en-AU"/>
              </w:rPr>
            </w:pPr>
          </w:p>
        </w:tc>
        <w:tc>
          <w:tcPr>
            <w:tcW w:w="509" w:type="pct"/>
            <w:tcBorders>
              <w:top w:val="nil"/>
              <w:left w:val="nil"/>
              <w:bottom w:val="nil"/>
              <w:right w:val="nil"/>
            </w:tcBorders>
            <w:tcMar>
              <w:top w:w="0" w:type="dxa"/>
              <w:left w:w="0" w:type="dxa"/>
              <w:bottom w:w="0" w:type="dxa"/>
              <w:right w:w="0" w:type="dxa"/>
            </w:tcMar>
            <w:vAlign w:val="bottom"/>
            <w:hideMark/>
          </w:tcPr>
          <w:p w14:paraId="5C78EAE3" w14:textId="0C752E6A" w:rsidR="00D4047A" w:rsidRPr="001C08D8"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99.7</w:t>
            </w:r>
          </w:p>
        </w:tc>
        <w:tc>
          <w:tcPr>
            <w:tcW w:w="509" w:type="pct"/>
            <w:tcBorders>
              <w:top w:val="nil"/>
              <w:left w:val="nil"/>
              <w:bottom w:val="nil"/>
              <w:right w:val="nil"/>
            </w:tcBorders>
            <w:tcMar>
              <w:top w:w="0" w:type="dxa"/>
              <w:left w:w="0" w:type="dxa"/>
              <w:bottom w:w="0" w:type="dxa"/>
              <w:right w:w="0" w:type="dxa"/>
            </w:tcMar>
            <w:vAlign w:val="bottom"/>
            <w:hideMark/>
          </w:tcPr>
          <w:p w14:paraId="25D7E0E8" w14:textId="4F5677F8" w:rsidR="00D4047A" w:rsidRPr="001C08D8"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70.0</w:t>
            </w:r>
          </w:p>
        </w:tc>
        <w:tc>
          <w:tcPr>
            <w:tcW w:w="508" w:type="pct"/>
            <w:tcBorders>
              <w:top w:val="nil"/>
              <w:left w:val="nil"/>
              <w:bottom w:val="nil"/>
              <w:right w:val="nil"/>
            </w:tcBorders>
            <w:tcMar>
              <w:top w:w="0" w:type="dxa"/>
              <w:left w:w="0" w:type="dxa"/>
              <w:bottom w:w="0" w:type="dxa"/>
              <w:right w:w="0" w:type="dxa"/>
            </w:tcMar>
            <w:vAlign w:val="bottom"/>
            <w:hideMark/>
          </w:tcPr>
          <w:p w14:paraId="65DBE0F9" w14:textId="532481A4" w:rsidR="00D4047A" w:rsidRPr="001C08D8"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98.9</w:t>
            </w:r>
          </w:p>
        </w:tc>
      </w:tr>
      <w:tr w:rsidR="00D4047A" w:rsidRPr="00617599" w14:paraId="6C775020" w14:textId="77777777" w:rsidTr="007F5E7F">
        <w:trPr>
          <w:trHeight w:val="227"/>
          <w:tblCellSpacing w:w="0" w:type="dxa"/>
        </w:trPr>
        <w:tc>
          <w:tcPr>
            <w:tcW w:w="664" w:type="pct"/>
            <w:tcBorders>
              <w:top w:val="nil"/>
              <w:left w:val="nil"/>
              <w:bottom w:val="nil"/>
              <w:right w:val="nil"/>
            </w:tcBorders>
            <w:tcMar>
              <w:top w:w="0" w:type="dxa"/>
              <w:left w:w="0" w:type="dxa"/>
              <w:bottom w:w="0" w:type="dxa"/>
              <w:right w:w="0" w:type="dxa"/>
            </w:tcMar>
            <w:vAlign w:val="center"/>
            <w:hideMark/>
          </w:tcPr>
          <w:p w14:paraId="5D4E0EBF" w14:textId="77777777" w:rsidR="00D4047A" w:rsidRPr="00617599" w:rsidRDefault="00D4047A" w:rsidP="00D4047A">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Multiple </w:t>
            </w:r>
          </w:p>
        </w:tc>
        <w:tc>
          <w:tcPr>
            <w:tcW w:w="449" w:type="pct"/>
            <w:tcBorders>
              <w:top w:val="nil"/>
              <w:left w:val="nil"/>
              <w:bottom w:val="nil"/>
              <w:right w:val="nil"/>
            </w:tcBorders>
            <w:tcMar>
              <w:top w:w="0" w:type="dxa"/>
              <w:left w:w="0" w:type="dxa"/>
              <w:bottom w:w="0" w:type="dxa"/>
              <w:right w:w="0" w:type="dxa"/>
            </w:tcMar>
            <w:vAlign w:val="bottom"/>
            <w:hideMark/>
          </w:tcPr>
          <w:p w14:paraId="16988B55" w14:textId="6E7C4F31" w:rsidR="00D4047A" w:rsidRPr="0095217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1.4</w:t>
            </w:r>
          </w:p>
        </w:tc>
        <w:tc>
          <w:tcPr>
            <w:tcW w:w="451" w:type="pct"/>
            <w:tcBorders>
              <w:top w:val="nil"/>
              <w:left w:val="nil"/>
              <w:bottom w:val="nil"/>
              <w:right w:val="nil"/>
            </w:tcBorders>
            <w:tcMar>
              <w:top w:w="0" w:type="dxa"/>
              <w:left w:w="0" w:type="dxa"/>
              <w:bottom w:w="0" w:type="dxa"/>
              <w:right w:w="0" w:type="dxa"/>
            </w:tcMar>
            <w:vAlign w:val="bottom"/>
            <w:hideMark/>
          </w:tcPr>
          <w:p w14:paraId="7525FC77" w14:textId="6AB9365A" w:rsidR="00D4047A" w:rsidRPr="0095217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14.3</w:t>
            </w:r>
          </w:p>
        </w:tc>
        <w:tc>
          <w:tcPr>
            <w:tcW w:w="452" w:type="pct"/>
            <w:tcBorders>
              <w:top w:val="nil"/>
              <w:left w:val="nil"/>
              <w:bottom w:val="nil"/>
              <w:right w:val="nil"/>
            </w:tcBorders>
            <w:tcMar>
              <w:top w:w="0" w:type="dxa"/>
              <w:left w:w="0" w:type="dxa"/>
              <w:bottom w:w="0" w:type="dxa"/>
              <w:right w:w="0" w:type="dxa"/>
            </w:tcMar>
            <w:vAlign w:val="bottom"/>
            <w:hideMark/>
          </w:tcPr>
          <w:p w14:paraId="4D535119" w14:textId="30218D89" w:rsidR="00D4047A" w:rsidRPr="00952173"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1.5</w:t>
            </w:r>
          </w:p>
        </w:tc>
        <w:tc>
          <w:tcPr>
            <w:tcW w:w="52" w:type="pct"/>
            <w:tcBorders>
              <w:top w:val="nil"/>
              <w:left w:val="nil"/>
              <w:bottom w:val="nil"/>
              <w:right w:val="nil"/>
            </w:tcBorders>
            <w:tcMar>
              <w:top w:w="0" w:type="dxa"/>
              <w:left w:w="0" w:type="dxa"/>
              <w:bottom w:w="0" w:type="dxa"/>
              <w:right w:w="0" w:type="dxa"/>
            </w:tcMar>
            <w:vAlign w:val="bottom"/>
            <w:hideMark/>
          </w:tcPr>
          <w:p w14:paraId="105B0D44" w14:textId="4462A613" w:rsidR="00D4047A" w:rsidRPr="001C08D8" w:rsidRDefault="00D4047A" w:rsidP="00D4047A">
            <w:pPr>
              <w:spacing w:after="0" w:line="276" w:lineRule="auto"/>
              <w:jc w:val="right"/>
              <w:rPr>
                <w:rFonts w:ascii="Arial" w:eastAsia="Times New Roman" w:hAnsi="Arial" w:cs="Arial"/>
                <w:sz w:val="16"/>
                <w:szCs w:val="16"/>
                <w:lang w:eastAsia="en-AU"/>
              </w:rPr>
            </w:pPr>
          </w:p>
        </w:tc>
        <w:tc>
          <w:tcPr>
            <w:tcW w:w="451" w:type="pct"/>
            <w:tcBorders>
              <w:top w:val="nil"/>
              <w:left w:val="nil"/>
              <w:bottom w:val="nil"/>
              <w:right w:val="nil"/>
            </w:tcBorders>
            <w:tcMar>
              <w:top w:w="0" w:type="dxa"/>
              <w:left w:w="0" w:type="dxa"/>
              <w:bottom w:w="0" w:type="dxa"/>
              <w:right w:w="0" w:type="dxa"/>
            </w:tcMar>
            <w:vAlign w:val="bottom"/>
            <w:hideMark/>
          </w:tcPr>
          <w:p w14:paraId="1018B3BC" w14:textId="5C0B6289" w:rsidR="00D4047A" w:rsidRPr="001C08D8"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1.8</w:t>
            </w:r>
          </w:p>
        </w:tc>
        <w:tc>
          <w:tcPr>
            <w:tcW w:w="451" w:type="pct"/>
            <w:tcBorders>
              <w:top w:val="nil"/>
              <w:left w:val="nil"/>
              <w:bottom w:val="nil"/>
              <w:right w:val="nil"/>
            </w:tcBorders>
            <w:tcMar>
              <w:top w:w="0" w:type="dxa"/>
              <w:left w:w="0" w:type="dxa"/>
              <w:bottom w:w="0" w:type="dxa"/>
              <w:right w:w="0" w:type="dxa"/>
            </w:tcMar>
            <w:vAlign w:val="bottom"/>
            <w:hideMark/>
          </w:tcPr>
          <w:p w14:paraId="1EB3F875" w14:textId="35841AE1" w:rsidR="00D4047A" w:rsidRPr="001C08D8"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33.3</w:t>
            </w:r>
          </w:p>
        </w:tc>
        <w:tc>
          <w:tcPr>
            <w:tcW w:w="452" w:type="pct"/>
            <w:tcBorders>
              <w:top w:val="nil"/>
              <w:left w:val="nil"/>
              <w:bottom w:val="nil"/>
              <w:right w:val="nil"/>
            </w:tcBorders>
            <w:tcMar>
              <w:top w:w="0" w:type="dxa"/>
              <w:left w:w="0" w:type="dxa"/>
              <w:bottom w:w="0" w:type="dxa"/>
              <w:right w:w="0" w:type="dxa"/>
            </w:tcMar>
            <w:vAlign w:val="bottom"/>
            <w:hideMark/>
          </w:tcPr>
          <w:p w14:paraId="794F6D14" w14:textId="544AAFC9" w:rsidR="00D4047A" w:rsidRPr="001C08D8"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2.4</w:t>
            </w:r>
          </w:p>
        </w:tc>
        <w:tc>
          <w:tcPr>
            <w:tcW w:w="52" w:type="pct"/>
            <w:tcBorders>
              <w:top w:val="nil"/>
              <w:left w:val="nil"/>
              <w:bottom w:val="nil"/>
              <w:right w:val="nil"/>
            </w:tcBorders>
            <w:tcMar>
              <w:top w:w="0" w:type="dxa"/>
              <w:left w:w="0" w:type="dxa"/>
              <w:bottom w:w="0" w:type="dxa"/>
              <w:right w:w="0" w:type="dxa"/>
            </w:tcMar>
            <w:vAlign w:val="bottom"/>
            <w:hideMark/>
          </w:tcPr>
          <w:p w14:paraId="77188A87" w14:textId="6CCEE265" w:rsidR="00D4047A" w:rsidRPr="001C08D8" w:rsidRDefault="00D4047A" w:rsidP="00D4047A">
            <w:pPr>
              <w:spacing w:after="0" w:line="276" w:lineRule="auto"/>
              <w:jc w:val="right"/>
              <w:rPr>
                <w:rFonts w:ascii="Arial" w:eastAsia="Times New Roman" w:hAnsi="Arial" w:cs="Arial"/>
                <w:sz w:val="16"/>
                <w:szCs w:val="16"/>
                <w:lang w:eastAsia="en-AU"/>
              </w:rPr>
            </w:pPr>
          </w:p>
        </w:tc>
        <w:tc>
          <w:tcPr>
            <w:tcW w:w="509" w:type="pct"/>
            <w:tcBorders>
              <w:top w:val="nil"/>
              <w:left w:val="nil"/>
              <w:bottom w:val="nil"/>
              <w:right w:val="nil"/>
            </w:tcBorders>
            <w:tcMar>
              <w:top w:w="0" w:type="dxa"/>
              <w:left w:w="0" w:type="dxa"/>
              <w:bottom w:w="0" w:type="dxa"/>
              <w:right w:w="0" w:type="dxa"/>
            </w:tcMar>
            <w:vAlign w:val="bottom"/>
            <w:hideMark/>
          </w:tcPr>
          <w:p w14:paraId="03875D66" w14:textId="017BC905" w:rsidR="00D4047A" w:rsidRPr="001C08D8"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0.3</w:t>
            </w:r>
          </w:p>
        </w:tc>
        <w:tc>
          <w:tcPr>
            <w:tcW w:w="509" w:type="pct"/>
            <w:tcBorders>
              <w:top w:val="nil"/>
              <w:left w:val="nil"/>
              <w:bottom w:val="nil"/>
              <w:right w:val="nil"/>
            </w:tcBorders>
            <w:tcMar>
              <w:top w:w="0" w:type="dxa"/>
              <w:left w:w="0" w:type="dxa"/>
              <w:bottom w:w="0" w:type="dxa"/>
              <w:right w:w="0" w:type="dxa"/>
            </w:tcMar>
            <w:vAlign w:val="bottom"/>
            <w:hideMark/>
          </w:tcPr>
          <w:p w14:paraId="7B16CB5F" w14:textId="714C964E" w:rsidR="00D4047A" w:rsidRPr="001C08D8"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30.0</w:t>
            </w:r>
          </w:p>
        </w:tc>
        <w:tc>
          <w:tcPr>
            <w:tcW w:w="508" w:type="pct"/>
            <w:tcBorders>
              <w:top w:val="nil"/>
              <w:left w:val="nil"/>
              <w:bottom w:val="nil"/>
              <w:right w:val="nil"/>
            </w:tcBorders>
            <w:tcMar>
              <w:top w:w="0" w:type="dxa"/>
              <w:left w:w="0" w:type="dxa"/>
              <w:bottom w:w="0" w:type="dxa"/>
              <w:right w:w="0" w:type="dxa"/>
            </w:tcMar>
            <w:vAlign w:val="bottom"/>
            <w:hideMark/>
          </w:tcPr>
          <w:p w14:paraId="3484F9FE" w14:textId="0781F31F" w:rsidR="00D4047A" w:rsidRPr="001C08D8" w:rsidRDefault="00D4047A" w:rsidP="00D4047A">
            <w:pPr>
              <w:spacing w:after="0" w:line="276" w:lineRule="auto"/>
              <w:jc w:val="right"/>
              <w:rPr>
                <w:rFonts w:ascii="Arial" w:eastAsia="Times New Roman" w:hAnsi="Arial" w:cs="Arial"/>
                <w:sz w:val="16"/>
                <w:szCs w:val="16"/>
                <w:lang w:eastAsia="en-AU"/>
              </w:rPr>
            </w:pPr>
            <w:r>
              <w:rPr>
                <w:rFonts w:ascii="Arial" w:hAnsi="Arial" w:cs="Arial"/>
                <w:sz w:val="16"/>
                <w:szCs w:val="16"/>
              </w:rPr>
              <w:t>1.1</w:t>
            </w:r>
          </w:p>
        </w:tc>
      </w:tr>
      <w:tr w:rsidR="00D4047A" w:rsidRPr="00617599" w14:paraId="6203EFDA" w14:textId="77777777" w:rsidTr="007F5E7F">
        <w:trPr>
          <w:trHeight w:val="227"/>
          <w:tblCellSpacing w:w="0" w:type="dxa"/>
        </w:trPr>
        <w:tc>
          <w:tcPr>
            <w:tcW w:w="664" w:type="pct"/>
            <w:tcBorders>
              <w:top w:val="nil"/>
              <w:left w:val="nil"/>
              <w:bottom w:val="nil"/>
              <w:right w:val="nil"/>
            </w:tcBorders>
            <w:tcMar>
              <w:top w:w="0" w:type="dxa"/>
              <w:left w:w="0" w:type="dxa"/>
              <w:bottom w:w="0" w:type="dxa"/>
              <w:right w:w="0" w:type="dxa"/>
            </w:tcMar>
            <w:vAlign w:val="center"/>
            <w:hideMark/>
          </w:tcPr>
          <w:p w14:paraId="3849C713" w14:textId="1B4B0025" w:rsidR="00D4047A" w:rsidRPr="00617599" w:rsidRDefault="00D4047A" w:rsidP="00D4047A">
            <w:pPr>
              <w:spacing w:after="0" w:line="276" w:lineRule="auto"/>
              <w:ind w:left="142"/>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 Twin </w:t>
            </w:r>
          </w:p>
        </w:tc>
        <w:tc>
          <w:tcPr>
            <w:tcW w:w="449" w:type="pct"/>
            <w:tcBorders>
              <w:top w:val="nil"/>
              <w:left w:val="nil"/>
              <w:bottom w:val="nil"/>
              <w:right w:val="nil"/>
            </w:tcBorders>
            <w:tcMar>
              <w:top w:w="0" w:type="dxa"/>
              <w:left w:w="0" w:type="dxa"/>
              <w:bottom w:w="0" w:type="dxa"/>
              <w:right w:w="0" w:type="dxa"/>
            </w:tcMar>
            <w:vAlign w:val="bottom"/>
            <w:hideMark/>
          </w:tcPr>
          <w:p w14:paraId="0166E9AA" w14:textId="2BD09338"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1.4</w:t>
            </w:r>
          </w:p>
        </w:tc>
        <w:tc>
          <w:tcPr>
            <w:tcW w:w="451" w:type="pct"/>
            <w:tcBorders>
              <w:top w:val="nil"/>
              <w:left w:val="nil"/>
              <w:bottom w:val="nil"/>
              <w:right w:val="nil"/>
            </w:tcBorders>
            <w:tcMar>
              <w:top w:w="0" w:type="dxa"/>
              <w:left w:w="0" w:type="dxa"/>
              <w:bottom w:w="0" w:type="dxa"/>
              <w:right w:w="0" w:type="dxa"/>
            </w:tcMar>
            <w:vAlign w:val="bottom"/>
            <w:hideMark/>
          </w:tcPr>
          <w:p w14:paraId="641ED65A" w14:textId="25811955"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14.3</w:t>
            </w:r>
          </w:p>
        </w:tc>
        <w:tc>
          <w:tcPr>
            <w:tcW w:w="452" w:type="pct"/>
            <w:tcBorders>
              <w:top w:val="nil"/>
              <w:left w:val="nil"/>
              <w:bottom w:val="nil"/>
              <w:right w:val="nil"/>
            </w:tcBorders>
            <w:tcMar>
              <w:top w:w="0" w:type="dxa"/>
              <w:left w:w="0" w:type="dxa"/>
              <w:bottom w:w="0" w:type="dxa"/>
              <w:right w:w="0" w:type="dxa"/>
            </w:tcMar>
            <w:vAlign w:val="bottom"/>
            <w:hideMark/>
          </w:tcPr>
          <w:p w14:paraId="0E12325C" w14:textId="23E3790F"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1.5</w:t>
            </w:r>
          </w:p>
        </w:tc>
        <w:tc>
          <w:tcPr>
            <w:tcW w:w="52" w:type="pct"/>
            <w:tcBorders>
              <w:top w:val="nil"/>
              <w:left w:val="nil"/>
              <w:bottom w:val="nil"/>
              <w:right w:val="nil"/>
            </w:tcBorders>
            <w:tcMar>
              <w:top w:w="0" w:type="dxa"/>
              <w:left w:w="0" w:type="dxa"/>
              <w:bottom w:w="0" w:type="dxa"/>
              <w:right w:w="0" w:type="dxa"/>
            </w:tcMar>
            <w:vAlign w:val="bottom"/>
            <w:hideMark/>
          </w:tcPr>
          <w:p w14:paraId="6B22B56E" w14:textId="11655FF1" w:rsidR="00D4047A" w:rsidRPr="00D4047A" w:rsidRDefault="00D4047A" w:rsidP="00D4047A">
            <w:pPr>
              <w:spacing w:after="0" w:line="276" w:lineRule="auto"/>
              <w:jc w:val="right"/>
              <w:rPr>
                <w:rFonts w:ascii="Arial" w:eastAsia="Times New Roman" w:hAnsi="Arial" w:cs="Arial"/>
                <w:i/>
                <w:iCs/>
                <w:sz w:val="16"/>
                <w:szCs w:val="16"/>
                <w:lang w:eastAsia="en-AU"/>
              </w:rPr>
            </w:pPr>
          </w:p>
        </w:tc>
        <w:tc>
          <w:tcPr>
            <w:tcW w:w="451" w:type="pct"/>
            <w:tcBorders>
              <w:top w:val="nil"/>
              <w:left w:val="nil"/>
              <w:bottom w:val="nil"/>
              <w:right w:val="nil"/>
            </w:tcBorders>
            <w:tcMar>
              <w:top w:w="0" w:type="dxa"/>
              <w:left w:w="0" w:type="dxa"/>
              <w:bottom w:w="0" w:type="dxa"/>
              <w:right w:w="0" w:type="dxa"/>
            </w:tcMar>
            <w:vAlign w:val="bottom"/>
            <w:hideMark/>
          </w:tcPr>
          <w:p w14:paraId="2D973E24" w14:textId="3DAF85C0"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1.8</w:t>
            </w:r>
          </w:p>
        </w:tc>
        <w:tc>
          <w:tcPr>
            <w:tcW w:w="451" w:type="pct"/>
            <w:tcBorders>
              <w:top w:val="nil"/>
              <w:left w:val="nil"/>
              <w:bottom w:val="nil"/>
              <w:right w:val="nil"/>
            </w:tcBorders>
            <w:tcMar>
              <w:top w:w="0" w:type="dxa"/>
              <w:left w:w="0" w:type="dxa"/>
              <w:bottom w:w="0" w:type="dxa"/>
              <w:right w:w="0" w:type="dxa"/>
            </w:tcMar>
            <w:vAlign w:val="bottom"/>
            <w:hideMark/>
          </w:tcPr>
          <w:p w14:paraId="1E37A440" w14:textId="63B4BB5B"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33.3</w:t>
            </w:r>
          </w:p>
        </w:tc>
        <w:tc>
          <w:tcPr>
            <w:tcW w:w="452" w:type="pct"/>
            <w:tcBorders>
              <w:top w:val="nil"/>
              <w:left w:val="nil"/>
              <w:bottom w:val="nil"/>
              <w:right w:val="nil"/>
            </w:tcBorders>
            <w:tcMar>
              <w:top w:w="0" w:type="dxa"/>
              <w:left w:w="0" w:type="dxa"/>
              <w:bottom w:w="0" w:type="dxa"/>
              <w:right w:w="0" w:type="dxa"/>
            </w:tcMar>
            <w:vAlign w:val="bottom"/>
            <w:hideMark/>
          </w:tcPr>
          <w:p w14:paraId="57A4F56E" w14:textId="21B2BF9F"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2.4</w:t>
            </w:r>
          </w:p>
        </w:tc>
        <w:tc>
          <w:tcPr>
            <w:tcW w:w="52" w:type="pct"/>
            <w:tcBorders>
              <w:top w:val="nil"/>
              <w:left w:val="nil"/>
              <w:bottom w:val="nil"/>
              <w:right w:val="nil"/>
            </w:tcBorders>
            <w:tcMar>
              <w:top w:w="0" w:type="dxa"/>
              <w:left w:w="0" w:type="dxa"/>
              <w:bottom w:w="0" w:type="dxa"/>
              <w:right w:w="0" w:type="dxa"/>
            </w:tcMar>
            <w:vAlign w:val="bottom"/>
            <w:hideMark/>
          </w:tcPr>
          <w:p w14:paraId="6E68500E" w14:textId="4C207190" w:rsidR="00D4047A" w:rsidRPr="00D4047A" w:rsidRDefault="00D4047A" w:rsidP="00D4047A">
            <w:pPr>
              <w:spacing w:after="0" w:line="276" w:lineRule="auto"/>
              <w:jc w:val="right"/>
              <w:rPr>
                <w:rFonts w:ascii="Arial" w:eastAsia="Times New Roman" w:hAnsi="Arial" w:cs="Arial"/>
                <w:i/>
                <w:iCs/>
                <w:sz w:val="16"/>
                <w:szCs w:val="16"/>
                <w:lang w:eastAsia="en-AU"/>
              </w:rPr>
            </w:pPr>
          </w:p>
        </w:tc>
        <w:tc>
          <w:tcPr>
            <w:tcW w:w="509" w:type="pct"/>
            <w:tcBorders>
              <w:top w:val="nil"/>
              <w:left w:val="nil"/>
              <w:bottom w:val="nil"/>
              <w:right w:val="nil"/>
            </w:tcBorders>
            <w:tcMar>
              <w:top w:w="0" w:type="dxa"/>
              <w:left w:w="0" w:type="dxa"/>
              <w:bottom w:w="0" w:type="dxa"/>
              <w:right w:w="0" w:type="dxa"/>
            </w:tcMar>
            <w:vAlign w:val="bottom"/>
            <w:hideMark/>
          </w:tcPr>
          <w:p w14:paraId="32D413C9" w14:textId="23D59FC7"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0.3</w:t>
            </w:r>
          </w:p>
        </w:tc>
        <w:tc>
          <w:tcPr>
            <w:tcW w:w="509" w:type="pct"/>
            <w:tcBorders>
              <w:top w:val="nil"/>
              <w:left w:val="nil"/>
              <w:bottom w:val="nil"/>
              <w:right w:val="nil"/>
            </w:tcBorders>
            <w:tcMar>
              <w:top w:w="0" w:type="dxa"/>
              <w:left w:w="0" w:type="dxa"/>
              <w:bottom w:w="0" w:type="dxa"/>
              <w:right w:w="0" w:type="dxa"/>
            </w:tcMar>
            <w:vAlign w:val="bottom"/>
            <w:hideMark/>
          </w:tcPr>
          <w:p w14:paraId="0D07D2AD" w14:textId="4523CBF8"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30.0</w:t>
            </w:r>
          </w:p>
        </w:tc>
        <w:tc>
          <w:tcPr>
            <w:tcW w:w="508" w:type="pct"/>
            <w:tcBorders>
              <w:top w:val="nil"/>
              <w:left w:val="nil"/>
              <w:bottom w:val="nil"/>
              <w:right w:val="nil"/>
            </w:tcBorders>
            <w:tcMar>
              <w:top w:w="0" w:type="dxa"/>
              <w:left w:w="0" w:type="dxa"/>
              <w:bottom w:w="0" w:type="dxa"/>
              <w:right w:w="0" w:type="dxa"/>
            </w:tcMar>
            <w:vAlign w:val="bottom"/>
            <w:hideMark/>
          </w:tcPr>
          <w:p w14:paraId="0029E35C" w14:textId="13AD3DAA"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1.1</w:t>
            </w:r>
          </w:p>
        </w:tc>
      </w:tr>
      <w:tr w:rsidR="00D4047A" w:rsidRPr="00617599" w14:paraId="27A0569E" w14:textId="77777777" w:rsidTr="007F5E7F">
        <w:trPr>
          <w:trHeight w:val="227"/>
          <w:tblCellSpacing w:w="0" w:type="dxa"/>
        </w:trPr>
        <w:tc>
          <w:tcPr>
            <w:tcW w:w="664" w:type="pct"/>
            <w:tcBorders>
              <w:top w:val="nil"/>
              <w:left w:val="nil"/>
              <w:bottom w:val="nil"/>
              <w:right w:val="nil"/>
            </w:tcBorders>
            <w:tcMar>
              <w:top w:w="0" w:type="dxa"/>
              <w:left w:w="0" w:type="dxa"/>
              <w:bottom w:w="0" w:type="dxa"/>
              <w:right w:w="0" w:type="dxa"/>
            </w:tcMar>
            <w:vAlign w:val="center"/>
            <w:hideMark/>
          </w:tcPr>
          <w:p w14:paraId="4C155736" w14:textId="27515087" w:rsidR="00D4047A" w:rsidRPr="00617599" w:rsidRDefault="00D4047A" w:rsidP="00D4047A">
            <w:pPr>
              <w:spacing w:after="0" w:line="276" w:lineRule="auto"/>
              <w:ind w:left="142"/>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 Higher order multiple </w:t>
            </w:r>
          </w:p>
        </w:tc>
        <w:tc>
          <w:tcPr>
            <w:tcW w:w="449" w:type="pct"/>
            <w:tcBorders>
              <w:top w:val="nil"/>
              <w:left w:val="nil"/>
              <w:bottom w:val="nil"/>
              <w:right w:val="nil"/>
            </w:tcBorders>
            <w:tcMar>
              <w:top w:w="0" w:type="dxa"/>
              <w:left w:w="0" w:type="dxa"/>
              <w:bottom w:w="0" w:type="dxa"/>
              <w:right w:w="0" w:type="dxa"/>
            </w:tcMar>
            <w:vAlign w:val="bottom"/>
            <w:hideMark/>
          </w:tcPr>
          <w:p w14:paraId="69BF92BF" w14:textId="0F1FA240"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0.0</w:t>
            </w:r>
          </w:p>
        </w:tc>
        <w:tc>
          <w:tcPr>
            <w:tcW w:w="451" w:type="pct"/>
            <w:tcBorders>
              <w:top w:val="nil"/>
              <w:left w:val="nil"/>
              <w:bottom w:val="nil"/>
              <w:right w:val="nil"/>
            </w:tcBorders>
            <w:tcMar>
              <w:top w:w="0" w:type="dxa"/>
              <w:left w:w="0" w:type="dxa"/>
              <w:bottom w:w="0" w:type="dxa"/>
              <w:right w:w="0" w:type="dxa"/>
            </w:tcMar>
            <w:vAlign w:val="bottom"/>
            <w:hideMark/>
          </w:tcPr>
          <w:p w14:paraId="756DAB4F" w14:textId="5D56DB15"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0.0</w:t>
            </w:r>
          </w:p>
        </w:tc>
        <w:tc>
          <w:tcPr>
            <w:tcW w:w="452" w:type="pct"/>
            <w:tcBorders>
              <w:top w:val="nil"/>
              <w:left w:val="nil"/>
              <w:bottom w:val="nil"/>
              <w:right w:val="nil"/>
            </w:tcBorders>
            <w:tcMar>
              <w:top w:w="0" w:type="dxa"/>
              <w:left w:w="0" w:type="dxa"/>
              <w:bottom w:w="0" w:type="dxa"/>
              <w:right w:w="0" w:type="dxa"/>
            </w:tcMar>
            <w:vAlign w:val="bottom"/>
            <w:hideMark/>
          </w:tcPr>
          <w:p w14:paraId="0B51F48E" w14:textId="1D7B6556"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0.0</w:t>
            </w:r>
          </w:p>
        </w:tc>
        <w:tc>
          <w:tcPr>
            <w:tcW w:w="52" w:type="pct"/>
            <w:tcBorders>
              <w:top w:val="nil"/>
              <w:left w:val="nil"/>
              <w:bottom w:val="nil"/>
              <w:right w:val="nil"/>
            </w:tcBorders>
            <w:tcMar>
              <w:top w:w="0" w:type="dxa"/>
              <w:left w:w="0" w:type="dxa"/>
              <w:bottom w:w="0" w:type="dxa"/>
              <w:right w:w="0" w:type="dxa"/>
            </w:tcMar>
            <w:vAlign w:val="bottom"/>
            <w:hideMark/>
          </w:tcPr>
          <w:p w14:paraId="621FB2FE" w14:textId="5F35CD51" w:rsidR="00D4047A" w:rsidRPr="00D4047A" w:rsidRDefault="00D4047A" w:rsidP="00D4047A">
            <w:pPr>
              <w:spacing w:after="0" w:line="276" w:lineRule="auto"/>
              <w:jc w:val="right"/>
              <w:rPr>
                <w:rFonts w:ascii="Arial" w:eastAsia="Times New Roman" w:hAnsi="Arial" w:cs="Arial"/>
                <w:i/>
                <w:iCs/>
                <w:sz w:val="16"/>
                <w:szCs w:val="16"/>
                <w:lang w:eastAsia="en-AU"/>
              </w:rPr>
            </w:pPr>
          </w:p>
        </w:tc>
        <w:tc>
          <w:tcPr>
            <w:tcW w:w="451" w:type="pct"/>
            <w:tcBorders>
              <w:top w:val="nil"/>
              <w:left w:val="nil"/>
              <w:bottom w:val="nil"/>
              <w:right w:val="nil"/>
            </w:tcBorders>
            <w:tcMar>
              <w:top w:w="0" w:type="dxa"/>
              <w:left w:w="0" w:type="dxa"/>
              <w:bottom w:w="0" w:type="dxa"/>
              <w:right w:w="0" w:type="dxa"/>
            </w:tcMar>
            <w:vAlign w:val="bottom"/>
            <w:hideMark/>
          </w:tcPr>
          <w:p w14:paraId="75229815" w14:textId="523B66C3"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0.0</w:t>
            </w:r>
          </w:p>
        </w:tc>
        <w:tc>
          <w:tcPr>
            <w:tcW w:w="451" w:type="pct"/>
            <w:tcBorders>
              <w:top w:val="nil"/>
              <w:left w:val="nil"/>
              <w:bottom w:val="nil"/>
              <w:right w:val="nil"/>
            </w:tcBorders>
            <w:tcMar>
              <w:top w:w="0" w:type="dxa"/>
              <w:left w:w="0" w:type="dxa"/>
              <w:bottom w:w="0" w:type="dxa"/>
              <w:right w:w="0" w:type="dxa"/>
            </w:tcMar>
            <w:vAlign w:val="bottom"/>
            <w:hideMark/>
          </w:tcPr>
          <w:p w14:paraId="4B31475A" w14:textId="3BF2D18F"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0.0</w:t>
            </w:r>
          </w:p>
        </w:tc>
        <w:tc>
          <w:tcPr>
            <w:tcW w:w="452" w:type="pct"/>
            <w:tcBorders>
              <w:top w:val="nil"/>
              <w:left w:val="nil"/>
              <w:bottom w:val="nil"/>
              <w:right w:val="nil"/>
            </w:tcBorders>
            <w:tcMar>
              <w:top w:w="0" w:type="dxa"/>
              <w:left w:w="0" w:type="dxa"/>
              <w:bottom w:w="0" w:type="dxa"/>
              <w:right w:w="0" w:type="dxa"/>
            </w:tcMar>
            <w:vAlign w:val="bottom"/>
            <w:hideMark/>
          </w:tcPr>
          <w:p w14:paraId="3C8B2CED" w14:textId="4F531B20"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0.0</w:t>
            </w:r>
          </w:p>
        </w:tc>
        <w:tc>
          <w:tcPr>
            <w:tcW w:w="52" w:type="pct"/>
            <w:tcBorders>
              <w:top w:val="nil"/>
              <w:left w:val="nil"/>
              <w:bottom w:val="nil"/>
              <w:right w:val="nil"/>
            </w:tcBorders>
            <w:tcMar>
              <w:top w:w="0" w:type="dxa"/>
              <w:left w:w="0" w:type="dxa"/>
              <w:bottom w:w="0" w:type="dxa"/>
              <w:right w:w="0" w:type="dxa"/>
            </w:tcMar>
            <w:vAlign w:val="bottom"/>
            <w:hideMark/>
          </w:tcPr>
          <w:p w14:paraId="424742C9" w14:textId="0223260B" w:rsidR="00D4047A" w:rsidRPr="00D4047A" w:rsidRDefault="00D4047A" w:rsidP="00D4047A">
            <w:pPr>
              <w:spacing w:after="0" w:line="276" w:lineRule="auto"/>
              <w:jc w:val="right"/>
              <w:rPr>
                <w:rFonts w:ascii="Arial" w:eastAsia="Times New Roman" w:hAnsi="Arial" w:cs="Arial"/>
                <w:i/>
                <w:iCs/>
                <w:sz w:val="16"/>
                <w:szCs w:val="16"/>
                <w:lang w:eastAsia="en-AU"/>
              </w:rPr>
            </w:pPr>
          </w:p>
        </w:tc>
        <w:tc>
          <w:tcPr>
            <w:tcW w:w="509" w:type="pct"/>
            <w:tcBorders>
              <w:top w:val="nil"/>
              <w:left w:val="nil"/>
              <w:bottom w:val="nil"/>
              <w:right w:val="nil"/>
            </w:tcBorders>
            <w:tcMar>
              <w:top w:w="0" w:type="dxa"/>
              <w:left w:w="0" w:type="dxa"/>
              <w:bottom w:w="0" w:type="dxa"/>
              <w:right w:w="0" w:type="dxa"/>
            </w:tcMar>
            <w:vAlign w:val="bottom"/>
            <w:hideMark/>
          </w:tcPr>
          <w:p w14:paraId="42D9E5D2" w14:textId="7E6DF071"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0.0</w:t>
            </w:r>
          </w:p>
        </w:tc>
        <w:tc>
          <w:tcPr>
            <w:tcW w:w="509" w:type="pct"/>
            <w:tcBorders>
              <w:top w:val="nil"/>
              <w:left w:val="nil"/>
              <w:bottom w:val="nil"/>
              <w:right w:val="nil"/>
            </w:tcBorders>
            <w:tcMar>
              <w:top w:w="0" w:type="dxa"/>
              <w:left w:w="0" w:type="dxa"/>
              <w:bottom w:w="0" w:type="dxa"/>
              <w:right w:w="0" w:type="dxa"/>
            </w:tcMar>
            <w:vAlign w:val="bottom"/>
            <w:hideMark/>
          </w:tcPr>
          <w:p w14:paraId="3C528A19" w14:textId="61D8760D"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0.0</w:t>
            </w:r>
          </w:p>
        </w:tc>
        <w:tc>
          <w:tcPr>
            <w:tcW w:w="508" w:type="pct"/>
            <w:tcBorders>
              <w:top w:val="nil"/>
              <w:left w:val="nil"/>
              <w:bottom w:val="nil"/>
              <w:right w:val="nil"/>
            </w:tcBorders>
            <w:tcMar>
              <w:top w:w="0" w:type="dxa"/>
              <w:left w:w="0" w:type="dxa"/>
              <w:bottom w:w="0" w:type="dxa"/>
              <w:right w:w="0" w:type="dxa"/>
            </w:tcMar>
            <w:vAlign w:val="bottom"/>
            <w:hideMark/>
          </w:tcPr>
          <w:p w14:paraId="4588AEA2" w14:textId="529191CC" w:rsidR="00D4047A" w:rsidRPr="00D4047A" w:rsidRDefault="00D4047A" w:rsidP="00D4047A">
            <w:pPr>
              <w:spacing w:after="0" w:line="276" w:lineRule="auto"/>
              <w:jc w:val="right"/>
              <w:rPr>
                <w:rFonts w:ascii="Arial" w:eastAsia="Times New Roman" w:hAnsi="Arial" w:cs="Arial"/>
                <w:i/>
                <w:iCs/>
                <w:sz w:val="16"/>
                <w:szCs w:val="16"/>
                <w:lang w:eastAsia="en-AU"/>
              </w:rPr>
            </w:pPr>
            <w:r w:rsidRPr="00D4047A">
              <w:rPr>
                <w:rFonts w:ascii="Arial" w:hAnsi="Arial" w:cs="Arial"/>
                <w:i/>
                <w:iCs/>
                <w:sz w:val="16"/>
                <w:szCs w:val="16"/>
              </w:rPr>
              <w:t>0.0</w:t>
            </w:r>
          </w:p>
        </w:tc>
      </w:tr>
      <w:tr w:rsidR="00D4047A" w:rsidRPr="00617599" w14:paraId="230994BA" w14:textId="77777777" w:rsidTr="007F5E7F">
        <w:trPr>
          <w:trHeight w:val="227"/>
          <w:tblCellSpacing w:w="0" w:type="dxa"/>
        </w:trPr>
        <w:tc>
          <w:tcPr>
            <w:tcW w:w="664" w:type="pct"/>
            <w:tcBorders>
              <w:top w:val="nil"/>
              <w:left w:val="nil"/>
              <w:bottom w:val="single" w:sz="12" w:space="0" w:color="000000"/>
              <w:right w:val="nil"/>
            </w:tcBorders>
            <w:tcMar>
              <w:top w:w="0" w:type="dxa"/>
              <w:left w:w="0" w:type="dxa"/>
              <w:bottom w:w="28" w:type="dxa"/>
              <w:right w:w="0" w:type="dxa"/>
            </w:tcMar>
            <w:vAlign w:val="center"/>
            <w:hideMark/>
          </w:tcPr>
          <w:p w14:paraId="4D27B61A" w14:textId="77777777" w:rsidR="00D4047A" w:rsidRPr="00087467" w:rsidRDefault="00D4047A" w:rsidP="00D4047A">
            <w:pPr>
              <w:spacing w:after="0" w:line="276" w:lineRule="auto"/>
              <w:rPr>
                <w:rFonts w:ascii="Arial" w:eastAsia="Times New Roman" w:hAnsi="Arial" w:cs="Arial"/>
                <w:b/>
                <w:sz w:val="16"/>
                <w:szCs w:val="16"/>
                <w:lang w:eastAsia="en-AU"/>
              </w:rPr>
            </w:pPr>
            <w:r w:rsidRPr="00087467">
              <w:rPr>
                <w:rFonts w:ascii="Arial" w:eastAsia="Times New Roman" w:hAnsi="Arial" w:cs="Arial"/>
                <w:b/>
                <w:sz w:val="16"/>
                <w:szCs w:val="16"/>
                <w:lang w:eastAsia="en-AU"/>
              </w:rPr>
              <w:t xml:space="preserve">  Total </w:t>
            </w:r>
          </w:p>
        </w:tc>
        <w:tc>
          <w:tcPr>
            <w:tcW w:w="449" w:type="pct"/>
            <w:tcBorders>
              <w:top w:val="nil"/>
              <w:left w:val="nil"/>
              <w:bottom w:val="single" w:sz="12" w:space="0" w:color="000000"/>
              <w:right w:val="nil"/>
            </w:tcBorders>
            <w:tcMar>
              <w:top w:w="0" w:type="dxa"/>
              <w:left w:w="0" w:type="dxa"/>
              <w:bottom w:w="28" w:type="dxa"/>
              <w:right w:w="0" w:type="dxa"/>
            </w:tcMar>
            <w:vAlign w:val="bottom"/>
            <w:hideMark/>
          </w:tcPr>
          <w:p w14:paraId="0781E0F6" w14:textId="5E3BC0B3"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51" w:type="pct"/>
            <w:tcBorders>
              <w:top w:val="nil"/>
              <w:left w:val="nil"/>
              <w:bottom w:val="single" w:sz="12" w:space="0" w:color="000000"/>
              <w:right w:val="nil"/>
            </w:tcBorders>
            <w:tcMar>
              <w:top w:w="0" w:type="dxa"/>
              <w:left w:w="0" w:type="dxa"/>
              <w:bottom w:w="28" w:type="dxa"/>
              <w:right w:w="0" w:type="dxa"/>
            </w:tcMar>
            <w:vAlign w:val="bottom"/>
            <w:hideMark/>
          </w:tcPr>
          <w:p w14:paraId="1C9FE4DB" w14:textId="365ECB99"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52" w:type="pct"/>
            <w:tcBorders>
              <w:top w:val="nil"/>
              <w:left w:val="nil"/>
              <w:bottom w:val="single" w:sz="12" w:space="0" w:color="000000"/>
              <w:right w:val="nil"/>
            </w:tcBorders>
            <w:tcMar>
              <w:top w:w="0" w:type="dxa"/>
              <w:left w:w="0" w:type="dxa"/>
              <w:bottom w:w="28" w:type="dxa"/>
              <w:right w:w="0" w:type="dxa"/>
            </w:tcMar>
            <w:vAlign w:val="bottom"/>
            <w:hideMark/>
          </w:tcPr>
          <w:p w14:paraId="3D1B74D5" w14:textId="6483167A"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52" w:type="pct"/>
            <w:tcBorders>
              <w:top w:val="nil"/>
              <w:left w:val="nil"/>
              <w:bottom w:val="single" w:sz="12" w:space="0" w:color="000000"/>
              <w:right w:val="nil"/>
            </w:tcBorders>
            <w:tcMar>
              <w:top w:w="0" w:type="dxa"/>
              <w:left w:w="0" w:type="dxa"/>
              <w:bottom w:w="28" w:type="dxa"/>
              <w:right w:w="0" w:type="dxa"/>
            </w:tcMar>
            <w:vAlign w:val="bottom"/>
            <w:hideMark/>
          </w:tcPr>
          <w:p w14:paraId="615DEFF6" w14:textId="73E8E24E"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color w:val="000000"/>
                <w:sz w:val="16"/>
                <w:szCs w:val="16"/>
              </w:rPr>
              <w:t> </w:t>
            </w:r>
          </w:p>
        </w:tc>
        <w:tc>
          <w:tcPr>
            <w:tcW w:w="451" w:type="pct"/>
            <w:tcBorders>
              <w:top w:val="nil"/>
              <w:left w:val="nil"/>
              <w:bottom w:val="single" w:sz="12" w:space="0" w:color="000000"/>
              <w:right w:val="nil"/>
            </w:tcBorders>
            <w:tcMar>
              <w:top w:w="0" w:type="dxa"/>
              <w:left w:w="0" w:type="dxa"/>
              <w:bottom w:w="28" w:type="dxa"/>
              <w:right w:w="0" w:type="dxa"/>
            </w:tcMar>
            <w:vAlign w:val="bottom"/>
            <w:hideMark/>
          </w:tcPr>
          <w:p w14:paraId="6BCB8F60" w14:textId="5AD82100"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51" w:type="pct"/>
            <w:tcBorders>
              <w:top w:val="nil"/>
              <w:left w:val="nil"/>
              <w:bottom w:val="single" w:sz="12" w:space="0" w:color="000000"/>
              <w:right w:val="nil"/>
            </w:tcBorders>
            <w:tcMar>
              <w:top w:w="0" w:type="dxa"/>
              <w:left w:w="0" w:type="dxa"/>
              <w:bottom w:w="28" w:type="dxa"/>
              <w:right w:w="0" w:type="dxa"/>
            </w:tcMar>
            <w:vAlign w:val="bottom"/>
            <w:hideMark/>
          </w:tcPr>
          <w:p w14:paraId="7B483C00" w14:textId="5B2AFB9F"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452" w:type="pct"/>
            <w:tcBorders>
              <w:top w:val="nil"/>
              <w:left w:val="nil"/>
              <w:bottom w:val="single" w:sz="12" w:space="0" w:color="000000"/>
              <w:right w:val="nil"/>
            </w:tcBorders>
            <w:tcMar>
              <w:top w:w="0" w:type="dxa"/>
              <w:left w:w="0" w:type="dxa"/>
              <w:bottom w:w="28" w:type="dxa"/>
              <w:right w:w="0" w:type="dxa"/>
            </w:tcMar>
            <w:vAlign w:val="bottom"/>
            <w:hideMark/>
          </w:tcPr>
          <w:p w14:paraId="1D32BC05" w14:textId="7D91D8DB"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52" w:type="pct"/>
            <w:tcBorders>
              <w:top w:val="nil"/>
              <w:left w:val="nil"/>
              <w:bottom w:val="single" w:sz="12" w:space="0" w:color="000000"/>
              <w:right w:val="nil"/>
            </w:tcBorders>
            <w:tcMar>
              <w:top w:w="0" w:type="dxa"/>
              <w:left w:w="0" w:type="dxa"/>
              <w:bottom w:w="28" w:type="dxa"/>
              <w:right w:w="0" w:type="dxa"/>
            </w:tcMar>
            <w:vAlign w:val="bottom"/>
            <w:hideMark/>
          </w:tcPr>
          <w:p w14:paraId="3E63D492" w14:textId="212AF547"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color w:val="000000"/>
                <w:sz w:val="16"/>
                <w:szCs w:val="16"/>
              </w:rPr>
              <w:t> </w:t>
            </w:r>
          </w:p>
        </w:tc>
        <w:tc>
          <w:tcPr>
            <w:tcW w:w="509" w:type="pct"/>
            <w:tcBorders>
              <w:top w:val="nil"/>
              <w:left w:val="nil"/>
              <w:bottom w:val="single" w:sz="12" w:space="0" w:color="000000"/>
              <w:right w:val="nil"/>
            </w:tcBorders>
            <w:tcMar>
              <w:top w:w="0" w:type="dxa"/>
              <w:left w:w="0" w:type="dxa"/>
              <w:bottom w:w="28" w:type="dxa"/>
              <w:right w:w="0" w:type="dxa"/>
            </w:tcMar>
            <w:vAlign w:val="bottom"/>
            <w:hideMark/>
          </w:tcPr>
          <w:p w14:paraId="16DECD31" w14:textId="6711555F"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509" w:type="pct"/>
            <w:tcBorders>
              <w:top w:val="nil"/>
              <w:left w:val="nil"/>
              <w:bottom w:val="single" w:sz="12" w:space="0" w:color="000000"/>
              <w:right w:val="nil"/>
            </w:tcBorders>
            <w:tcMar>
              <w:top w:w="0" w:type="dxa"/>
              <w:left w:w="0" w:type="dxa"/>
              <w:bottom w:w="28" w:type="dxa"/>
              <w:right w:w="0" w:type="dxa"/>
            </w:tcMar>
            <w:vAlign w:val="bottom"/>
            <w:hideMark/>
          </w:tcPr>
          <w:p w14:paraId="7C7296B5" w14:textId="1D8C1E1E"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508" w:type="pct"/>
            <w:tcBorders>
              <w:top w:val="nil"/>
              <w:left w:val="nil"/>
              <w:bottom w:val="single" w:sz="12" w:space="0" w:color="000000"/>
              <w:right w:val="nil"/>
            </w:tcBorders>
            <w:tcMar>
              <w:top w:w="0" w:type="dxa"/>
              <w:left w:w="0" w:type="dxa"/>
              <w:bottom w:w="28" w:type="dxa"/>
              <w:right w:w="0" w:type="dxa"/>
            </w:tcMar>
            <w:vAlign w:val="bottom"/>
            <w:hideMark/>
          </w:tcPr>
          <w:p w14:paraId="530C89A6" w14:textId="08A1A201" w:rsidR="00D4047A" w:rsidRPr="00087467" w:rsidRDefault="00D4047A" w:rsidP="00D4047A">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r>
    </w:tbl>
    <w:bookmarkEnd w:id="334"/>
    <w:p w14:paraId="419B5ADE" w14:textId="4EAA25AA" w:rsidR="009303CD" w:rsidRPr="00617599" w:rsidRDefault="009303CD" w:rsidP="00814AD1">
      <w:pPr>
        <w:pStyle w:val="TableFigNotesnumbered"/>
        <w:numPr>
          <w:ilvl w:val="0"/>
          <w:numId w:val="15"/>
        </w:numPr>
        <w:spacing w:before="0" w:line="240" w:lineRule="auto"/>
        <w:ind w:left="284" w:hanging="284"/>
        <w:rPr>
          <w:rFonts w:cs="Arial"/>
        </w:rPr>
      </w:pPr>
      <w:r w:rsidRPr="00617599">
        <w:rPr>
          <w:rFonts w:cs="Arial"/>
        </w:rPr>
        <w:t xml:space="preserve">Age at time of </w:t>
      </w:r>
      <w:r w:rsidR="00EC42AE">
        <w:rPr>
          <w:rFonts w:cs="Arial"/>
        </w:rPr>
        <w:t>birth</w:t>
      </w:r>
      <w:r w:rsidRPr="00617599">
        <w:rPr>
          <w:rFonts w:cs="Arial"/>
        </w:rPr>
        <w:t>.</w:t>
      </w:r>
    </w:p>
    <w:p w14:paraId="7FF9D26F" w14:textId="77777777" w:rsidR="009303CD" w:rsidRPr="00617599" w:rsidRDefault="009303CD" w:rsidP="00814AD1">
      <w:pPr>
        <w:pStyle w:val="TableFigNotesnumbered"/>
        <w:numPr>
          <w:ilvl w:val="0"/>
          <w:numId w:val="15"/>
        </w:numPr>
        <w:spacing w:before="0" w:line="240" w:lineRule="auto"/>
        <w:ind w:left="284" w:hanging="284"/>
        <w:rPr>
          <w:rFonts w:cs="Arial"/>
        </w:rPr>
      </w:pPr>
      <w:r w:rsidRPr="00617599">
        <w:rPr>
          <w:rFonts w:cs="Arial"/>
        </w:rPr>
        <w:t>Includes three or more embryos.</w:t>
      </w:r>
    </w:p>
    <w:p w14:paraId="2E0AD9B9" w14:textId="77777777" w:rsidR="009303CD" w:rsidRPr="00617599" w:rsidRDefault="009303CD" w:rsidP="00814AD1">
      <w:pPr>
        <w:pStyle w:val="ListParagraph"/>
        <w:numPr>
          <w:ilvl w:val="0"/>
          <w:numId w:val="15"/>
        </w:numPr>
        <w:spacing w:after="0"/>
        <w:rPr>
          <w:rFonts w:ascii="Arial" w:hAnsi="Arial" w:cs="Arial"/>
          <w:b/>
          <w:color w:val="auto"/>
          <w:sz w:val="28"/>
        </w:rPr>
      </w:pPr>
      <w:r w:rsidRPr="00617599">
        <w:rPr>
          <w:rFonts w:ascii="Arial" w:hAnsi="Arial" w:cs="Arial"/>
          <w:color w:val="auto"/>
        </w:rPr>
        <w:br w:type="page"/>
      </w:r>
    </w:p>
    <w:p w14:paraId="714F492C" w14:textId="77777777" w:rsidR="009303CD" w:rsidRPr="00617599" w:rsidRDefault="009303CD" w:rsidP="009303CD">
      <w:pPr>
        <w:keepNext/>
        <w:keepLines/>
        <w:tabs>
          <w:tab w:val="left" w:pos="794"/>
          <w:tab w:val="left" w:pos="1191"/>
          <w:tab w:val="left" w:pos="2778"/>
        </w:tabs>
        <w:spacing w:before="300" w:after="120" w:line="320" w:lineRule="atLeast"/>
        <w:outlineLvl w:val="2"/>
        <w:rPr>
          <w:rFonts w:ascii="Arial" w:eastAsia="Times New Roman" w:hAnsi="Arial" w:cs="Arial"/>
          <w:b/>
          <w:sz w:val="28"/>
        </w:rPr>
      </w:pPr>
      <w:bookmarkStart w:id="335" w:name="_Toc453061482"/>
      <w:bookmarkStart w:id="336" w:name="_Toc453054849"/>
      <w:r w:rsidRPr="00617599">
        <w:rPr>
          <w:rFonts w:ascii="Arial" w:eastAsia="Times New Roman" w:hAnsi="Arial" w:cs="Arial"/>
          <w:b/>
          <w:sz w:val="28"/>
        </w:rPr>
        <w:lastRenderedPageBreak/>
        <w:t>Gestational age of babies</w:t>
      </w:r>
      <w:bookmarkEnd w:id="335"/>
      <w:bookmarkEnd w:id="336"/>
    </w:p>
    <w:p w14:paraId="09B71B51" w14:textId="6486AEE7" w:rsidR="009303CD" w:rsidRPr="009C214D" w:rsidRDefault="009303CD" w:rsidP="009303CD">
      <w:pPr>
        <w:pStyle w:val="NPESUbodytext"/>
        <w:rPr>
          <w:rFonts w:cs="Arial"/>
          <w:b/>
          <w:sz w:val="28"/>
        </w:rPr>
      </w:pPr>
      <w:r w:rsidRPr="005F5FB7">
        <w:rPr>
          <w:rFonts w:cs="Arial"/>
          <w:shd w:val="clear" w:color="auto" w:fill="FFFFFF"/>
        </w:rPr>
        <w:t xml:space="preserve">The average gestational age of babies born following autologous and recipient embryo transfer cycles </w:t>
      </w:r>
      <w:r w:rsidRPr="00617F6B">
        <w:rPr>
          <w:rFonts w:cs="Arial"/>
          <w:shd w:val="clear" w:color="auto" w:fill="FFFFFF"/>
        </w:rPr>
        <w:t xml:space="preserve">was </w:t>
      </w:r>
      <w:r w:rsidRPr="00952173">
        <w:rPr>
          <w:rFonts w:cs="Arial"/>
          <w:shd w:val="clear" w:color="auto" w:fill="FFFFFF"/>
        </w:rPr>
        <w:t>38.</w:t>
      </w:r>
      <w:r w:rsidR="0041782B">
        <w:rPr>
          <w:rFonts w:cs="Arial"/>
          <w:shd w:val="clear" w:color="auto" w:fill="FFFFFF"/>
        </w:rPr>
        <w:t>3</w:t>
      </w:r>
      <w:r w:rsidRPr="00952173">
        <w:rPr>
          <w:rFonts w:cs="Arial"/>
          <w:shd w:val="clear" w:color="auto" w:fill="FFFFFF"/>
        </w:rPr>
        <w:t xml:space="preserve"> weeks </w:t>
      </w:r>
      <w:r w:rsidRPr="005F5FB7">
        <w:rPr>
          <w:rFonts w:cs="Arial"/>
          <w:shd w:val="clear" w:color="auto" w:fill="FFFFFF"/>
        </w:rPr>
        <w:t>(Table 2</w:t>
      </w:r>
      <w:r w:rsidR="005770B6">
        <w:rPr>
          <w:rFonts w:cs="Arial"/>
          <w:shd w:val="clear" w:color="auto" w:fill="FFFFFF"/>
        </w:rPr>
        <w:t>4</w:t>
      </w:r>
      <w:r w:rsidRPr="005F5FB7">
        <w:rPr>
          <w:rFonts w:cs="Arial"/>
          <w:shd w:val="clear" w:color="auto" w:fill="FFFFFF"/>
        </w:rPr>
        <w:t xml:space="preserve">). </w:t>
      </w:r>
      <w:r w:rsidR="00DF15C0" w:rsidRPr="00617599">
        <w:rPr>
          <w:rFonts w:cs="Arial"/>
          <w:shd w:val="clear" w:color="auto" w:fill="FFFFFF"/>
        </w:rPr>
        <w:t xml:space="preserve">One in </w:t>
      </w:r>
      <w:r w:rsidR="005446DB">
        <w:rPr>
          <w:rFonts w:cs="Arial"/>
          <w:shd w:val="clear" w:color="auto" w:fill="FFFFFF"/>
        </w:rPr>
        <w:t>ten</w:t>
      </w:r>
      <w:r w:rsidR="005446DB" w:rsidRPr="00617599">
        <w:rPr>
          <w:rFonts w:cs="Arial"/>
          <w:shd w:val="clear" w:color="auto" w:fill="FFFFFF"/>
        </w:rPr>
        <w:t xml:space="preserve"> </w:t>
      </w:r>
      <w:r w:rsidR="00DF15C0" w:rsidRPr="00617599">
        <w:rPr>
          <w:rFonts w:cs="Arial"/>
          <w:shd w:val="clear" w:color="auto" w:fill="FFFFFF"/>
        </w:rPr>
        <w:t>babies (</w:t>
      </w:r>
      <w:r w:rsidR="00FA2C51">
        <w:rPr>
          <w:rFonts w:cs="Arial"/>
          <w:shd w:val="clear" w:color="auto" w:fill="FFFFFF"/>
        </w:rPr>
        <w:t>10.5</w:t>
      </w:r>
      <w:r w:rsidRPr="00617599">
        <w:rPr>
          <w:rFonts w:cs="Arial"/>
          <w:shd w:val="clear" w:color="auto" w:fill="FFFFFF"/>
        </w:rPr>
        <w:t>%) were preterm (less than 37 weeks gestation);</w:t>
      </w:r>
      <w:r w:rsidR="00DF15C0" w:rsidRPr="00617599">
        <w:rPr>
          <w:rFonts w:cs="Arial"/>
          <w:shd w:val="clear" w:color="auto" w:fill="FFFFFF"/>
        </w:rPr>
        <w:t xml:space="preserve"> </w:t>
      </w:r>
      <w:r w:rsidRPr="00617599">
        <w:rPr>
          <w:rFonts w:cs="Arial"/>
          <w:shd w:val="clear" w:color="auto" w:fill="FFFFFF"/>
        </w:rPr>
        <w:t xml:space="preserve">the average gestational age of ART </w:t>
      </w:r>
      <w:r w:rsidRPr="009C214D">
        <w:rPr>
          <w:rFonts w:cs="Arial"/>
          <w:shd w:val="clear" w:color="auto" w:fill="FFFFFF"/>
        </w:rPr>
        <w:t xml:space="preserve">singletons was </w:t>
      </w:r>
      <w:r w:rsidRPr="00952173">
        <w:rPr>
          <w:rFonts w:cs="Arial"/>
          <w:shd w:val="clear" w:color="auto" w:fill="FFFFFF"/>
        </w:rPr>
        <w:t>38.</w:t>
      </w:r>
      <w:r w:rsidR="0054730B">
        <w:rPr>
          <w:rFonts w:cs="Arial"/>
          <w:shd w:val="clear" w:color="auto" w:fill="FFFFFF"/>
        </w:rPr>
        <w:t>5</w:t>
      </w:r>
      <w:r w:rsidRPr="00952173">
        <w:rPr>
          <w:rFonts w:cs="Arial"/>
          <w:shd w:val="clear" w:color="auto" w:fill="FFFFFF"/>
        </w:rPr>
        <w:t xml:space="preserve"> weeks</w:t>
      </w:r>
      <w:r w:rsidRPr="009C214D">
        <w:rPr>
          <w:rFonts w:cs="Arial"/>
          <w:shd w:val="clear" w:color="auto" w:fill="FFFFFF"/>
        </w:rPr>
        <w:t xml:space="preserve">, while the average gestational age for ART twins was </w:t>
      </w:r>
      <w:r w:rsidR="0041782B">
        <w:rPr>
          <w:rFonts w:cs="Arial"/>
          <w:shd w:val="clear" w:color="auto" w:fill="FFFFFF"/>
        </w:rPr>
        <w:t>34.6</w:t>
      </w:r>
      <w:r w:rsidRPr="00952173">
        <w:rPr>
          <w:rFonts w:cs="Arial"/>
          <w:shd w:val="clear" w:color="auto" w:fill="FFFFFF"/>
        </w:rPr>
        <w:t xml:space="preserve"> weeks</w:t>
      </w:r>
      <w:r w:rsidRPr="009C214D">
        <w:rPr>
          <w:rFonts w:cs="Arial"/>
          <w:shd w:val="clear" w:color="auto" w:fill="FFFFFF"/>
        </w:rPr>
        <w:t>.</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88"/>
        <w:gridCol w:w="845"/>
        <w:gridCol w:w="843"/>
        <w:gridCol w:w="137"/>
        <w:gridCol w:w="933"/>
        <w:gridCol w:w="935"/>
        <w:gridCol w:w="143"/>
        <w:gridCol w:w="980"/>
        <w:gridCol w:w="982"/>
        <w:gridCol w:w="137"/>
        <w:gridCol w:w="1052"/>
        <w:gridCol w:w="1051"/>
      </w:tblGrid>
      <w:tr w:rsidR="00C77AC7" w:rsidRPr="00617599" w14:paraId="191C500A" w14:textId="77777777" w:rsidTr="00B56169">
        <w:trPr>
          <w:tblHeader/>
          <w:tblCellSpacing w:w="0" w:type="dxa"/>
        </w:trPr>
        <w:tc>
          <w:tcPr>
            <w:tcW w:w="5000" w:type="pct"/>
            <w:gridSpan w:val="12"/>
            <w:tcBorders>
              <w:top w:val="nil"/>
              <w:left w:val="nil"/>
              <w:bottom w:val="nil"/>
              <w:right w:val="nil"/>
            </w:tcBorders>
            <w:tcMar>
              <w:top w:w="0" w:type="dxa"/>
              <w:left w:w="0" w:type="dxa"/>
              <w:bottom w:w="0" w:type="dxa"/>
              <w:right w:w="0" w:type="dxa"/>
            </w:tcMar>
            <w:vAlign w:val="center"/>
            <w:hideMark/>
          </w:tcPr>
          <w:p w14:paraId="509FAF7E" w14:textId="5C57CB1E" w:rsidR="00C77AC7" w:rsidRPr="00617599" w:rsidRDefault="00C77AC7" w:rsidP="00360E75">
            <w:pPr>
              <w:pStyle w:val="Caption"/>
              <w:spacing w:before="60" w:line="260" w:lineRule="atLeast"/>
              <w:rPr>
                <w:rFonts w:eastAsia="Times New Roman"/>
                <w:lang w:eastAsia="en-AU"/>
              </w:rPr>
            </w:pPr>
            <w:bookmarkStart w:id="337" w:name="_Toc158026573"/>
            <w:r w:rsidRPr="00617599">
              <w:rPr>
                <w:rFonts w:eastAsia="Times New Roman"/>
                <w:lang w:eastAsia="en-AU"/>
              </w:rPr>
              <w:t xml:space="preserve">Table </w:t>
            </w:r>
            <w:r w:rsidR="00617599" w:rsidRPr="00617599">
              <w:rPr>
                <w:rFonts w:eastAsia="Times New Roman"/>
                <w:lang w:eastAsia="en-AU"/>
              </w:rPr>
              <w:t>2</w:t>
            </w:r>
            <w:r w:rsidR="00F400A5">
              <w:rPr>
                <w:rFonts w:eastAsia="Times New Roman"/>
                <w:lang w:eastAsia="en-AU"/>
              </w:rPr>
              <w:t>4</w:t>
            </w:r>
            <w:r w:rsidRPr="00617599">
              <w:rPr>
                <w:rFonts w:eastAsia="Times New Roman"/>
                <w:lang w:eastAsia="en-AU"/>
              </w:rPr>
              <w:t xml:space="preserve">: Babies by gestational age and plurality, </w:t>
            </w:r>
            <w:r w:rsidR="00A501CE">
              <w:rPr>
                <w:rFonts w:eastAsia="Times New Roman"/>
                <w:lang w:eastAsia="en-AU"/>
              </w:rPr>
              <w:t>New Zealand, 20</w:t>
            </w:r>
            <w:r w:rsidR="0054730B">
              <w:rPr>
                <w:rFonts w:eastAsia="Times New Roman"/>
                <w:lang w:eastAsia="en-AU"/>
              </w:rPr>
              <w:t>2</w:t>
            </w:r>
            <w:r w:rsidR="00510026">
              <w:rPr>
                <w:rFonts w:eastAsia="Times New Roman"/>
                <w:lang w:eastAsia="en-AU"/>
              </w:rPr>
              <w:t>1</w:t>
            </w:r>
            <w:bookmarkEnd w:id="337"/>
            <w:r w:rsidR="00A501CE">
              <w:rPr>
                <w:rFonts w:eastAsia="Times New Roman"/>
                <w:lang w:eastAsia="en-AU"/>
              </w:rPr>
              <w:t xml:space="preserve"> </w:t>
            </w:r>
          </w:p>
        </w:tc>
      </w:tr>
      <w:tr w:rsidR="00C77AC7" w:rsidRPr="00617599" w14:paraId="346D1C5F" w14:textId="77777777" w:rsidTr="00360E75">
        <w:trPr>
          <w:trHeight w:val="227"/>
          <w:tblHeader/>
          <w:tblCellSpacing w:w="0" w:type="dxa"/>
        </w:trPr>
        <w:tc>
          <w:tcPr>
            <w:tcW w:w="547" w:type="pct"/>
            <w:tcBorders>
              <w:top w:val="single" w:sz="12" w:space="0" w:color="000000"/>
              <w:left w:val="nil"/>
              <w:bottom w:val="nil"/>
              <w:right w:val="nil"/>
            </w:tcBorders>
            <w:tcMar>
              <w:top w:w="28" w:type="dxa"/>
              <w:left w:w="0" w:type="dxa"/>
              <w:bottom w:w="0" w:type="dxa"/>
              <w:right w:w="0" w:type="dxa"/>
            </w:tcMar>
            <w:vAlign w:val="center"/>
            <w:hideMark/>
          </w:tcPr>
          <w:p w14:paraId="6E374C3F" w14:textId="12E48513" w:rsidR="00C77AC7" w:rsidRPr="00B7274E" w:rsidRDefault="00B7274E" w:rsidP="00360E75">
            <w:pPr>
              <w:spacing w:after="0" w:line="276" w:lineRule="auto"/>
              <w:rPr>
                <w:rFonts w:ascii="Arial" w:eastAsia="Times New Roman" w:hAnsi="Arial" w:cs="Arial"/>
                <w:b/>
                <w:sz w:val="16"/>
                <w:szCs w:val="16"/>
                <w:lang w:eastAsia="en-AU"/>
              </w:rPr>
            </w:pPr>
            <w:r w:rsidRPr="00B7274E">
              <w:rPr>
                <w:rFonts w:ascii="Arial" w:eastAsia="Times New Roman" w:hAnsi="Arial" w:cs="Arial"/>
                <w:b/>
                <w:sz w:val="16"/>
                <w:szCs w:val="16"/>
                <w:lang w:eastAsia="en-AU"/>
              </w:rPr>
              <w:t>Gestational age (weeks)</w:t>
            </w:r>
          </w:p>
        </w:tc>
        <w:tc>
          <w:tcPr>
            <w:tcW w:w="935" w:type="pct"/>
            <w:gridSpan w:val="2"/>
            <w:tcBorders>
              <w:top w:val="single" w:sz="12" w:space="0" w:color="000000"/>
              <w:left w:val="nil"/>
              <w:bottom w:val="single" w:sz="6" w:space="0" w:color="000000"/>
              <w:right w:val="nil"/>
            </w:tcBorders>
            <w:tcMar>
              <w:top w:w="28" w:type="dxa"/>
              <w:left w:w="0" w:type="dxa"/>
              <w:bottom w:w="28" w:type="dxa"/>
              <w:right w:w="0" w:type="dxa"/>
            </w:tcMar>
            <w:vAlign w:val="center"/>
            <w:hideMark/>
          </w:tcPr>
          <w:p w14:paraId="5A750B11" w14:textId="77777777" w:rsidR="00C77AC7" w:rsidRPr="00617599" w:rsidRDefault="00C77AC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Singletons </w:t>
            </w:r>
          </w:p>
        </w:tc>
        <w:tc>
          <w:tcPr>
            <w:tcW w:w="76" w:type="pct"/>
            <w:tcBorders>
              <w:top w:val="single" w:sz="12" w:space="0" w:color="000000"/>
              <w:left w:val="nil"/>
              <w:bottom w:val="nil"/>
              <w:right w:val="nil"/>
            </w:tcBorders>
            <w:tcMar>
              <w:top w:w="28" w:type="dxa"/>
              <w:left w:w="0" w:type="dxa"/>
              <w:bottom w:w="0" w:type="dxa"/>
              <w:right w:w="0" w:type="dxa"/>
            </w:tcMar>
            <w:vAlign w:val="center"/>
            <w:hideMark/>
          </w:tcPr>
          <w:p w14:paraId="57366085" w14:textId="77777777" w:rsidR="00C77AC7" w:rsidRPr="00617599" w:rsidRDefault="00C77AC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1035" w:type="pct"/>
            <w:gridSpan w:val="2"/>
            <w:tcBorders>
              <w:top w:val="single" w:sz="12" w:space="0" w:color="000000"/>
              <w:left w:val="nil"/>
              <w:bottom w:val="single" w:sz="6" w:space="0" w:color="000000"/>
              <w:right w:val="nil"/>
            </w:tcBorders>
            <w:tcMar>
              <w:top w:w="28" w:type="dxa"/>
              <w:left w:w="0" w:type="dxa"/>
              <w:bottom w:w="28" w:type="dxa"/>
              <w:right w:w="0" w:type="dxa"/>
            </w:tcMar>
            <w:vAlign w:val="center"/>
            <w:hideMark/>
          </w:tcPr>
          <w:p w14:paraId="5C21A3E2" w14:textId="77777777" w:rsidR="00C77AC7" w:rsidRPr="00617599" w:rsidRDefault="00C77AC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Twins </w:t>
            </w:r>
          </w:p>
        </w:tc>
        <w:tc>
          <w:tcPr>
            <w:tcW w:w="79" w:type="pct"/>
            <w:tcBorders>
              <w:top w:val="single" w:sz="12" w:space="0" w:color="000000"/>
              <w:left w:val="nil"/>
              <w:bottom w:val="nil"/>
              <w:right w:val="nil"/>
            </w:tcBorders>
            <w:tcMar>
              <w:top w:w="28" w:type="dxa"/>
              <w:left w:w="0" w:type="dxa"/>
              <w:bottom w:w="0" w:type="dxa"/>
              <w:right w:w="0" w:type="dxa"/>
            </w:tcMar>
            <w:vAlign w:val="center"/>
            <w:hideMark/>
          </w:tcPr>
          <w:p w14:paraId="1198FF94" w14:textId="77777777" w:rsidR="00C77AC7" w:rsidRPr="00617599" w:rsidRDefault="00C77AC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1087" w:type="pct"/>
            <w:gridSpan w:val="2"/>
            <w:tcBorders>
              <w:top w:val="single" w:sz="12" w:space="0" w:color="000000"/>
              <w:left w:val="nil"/>
              <w:bottom w:val="single" w:sz="6" w:space="0" w:color="000000"/>
              <w:right w:val="nil"/>
            </w:tcBorders>
            <w:tcMar>
              <w:top w:w="28" w:type="dxa"/>
              <w:left w:w="0" w:type="dxa"/>
              <w:bottom w:w="28" w:type="dxa"/>
              <w:right w:w="0" w:type="dxa"/>
            </w:tcMar>
            <w:vAlign w:val="center"/>
            <w:hideMark/>
          </w:tcPr>
          <w:p w14:paraId="35918883" w14:textId="77777777" w:rsidR="00C77AC7" w:rsidRPr="00617599" w:rsidRDefault="00C77AC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Higher order multiples </w:t>
            </w:r>
          </w:p>
        </w:tc>
        <w:tc>
          <w:tcPr>
            <w:tcW w:w="76" w:type="pct"/>
            <w:tcBorders>
              <w:top w:val="single" w:sz="12" w:space="0" w:color="000000"/>
              <w:left w:val="nil"/>
              <w:bottom w:val="nil"/>
              <w:right w:val="nil"/>
            </w:tcBorders>
            <w:tcMar>
              <w:top w:w="28" w:type="dxa"/>
              <w:left w:w="0" w:type="dxa"/>
              <w:bottom w:w="0" w:type="dxa"/>
              <w:right w:w="0" w:type="dxa"/>
            </w:tcMar>
            <w:vAlign w:val="center"/>
            <w:hideMark/>
          </w:tcPr>
          <w:p w14:paraId="2B2EE8D3" w14:textId="77777777" w:rsidR="00C77AC7" w:rsidRPr="00617599" w:rsidRDefault="00C77AC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1165" w:type="pct"/>
            <w:gridSpan w:val="2"/>
            <w:tcBorders>
              <w:top w:val="single" w:sz="12" w:space="0" w:color="000000"/>
              <w:left w:val="nil"/>
              <w:bottom w:val="single" w:sz="6" w:space="0" w:color="000000"/>
              <w:right w:val="nil"/>
            </w:tcBorders>
            <w:tcMar>
              <w:top w:w="28" w:type="dxa"/>
              <w:left w:w="0" w:type="dxa"/>
              <w:bottom w:w="28" w:type="dxa"/>
              <w:right w:w="0" w:type="dxa"/>
            </w:tcMar>
            <w:vAlign w:val="center"/>
            <w:hideMark/>
          </w:tcPr>
          <w:p w14:paraId="41A6BB52" w14:textId="77777777" w:rsidR="00C77AC7" w:rsidRPr="00617599" w:rsidRDefault="00C77AC7"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Total </w:t>
            </w:r>
          </w:p>
        </w:tc>
      </w:tr>
      <w:tr w:rsidR="00617599" w:rsidRPr="00617599" w14:paraId="5EB8DB17" w14:textId="77777777" w:rsidTr="00360E75">
        <w:trPr>
          <w:trHeight w:val="227"/>
          <w:tblHeader/>
          <w:tblCellSpacing w:w="0" w:type="dxa"/>
        </w:trPr>
        <w:tc>
          <w:tcPr>
            <w:tcW w:w="547" w:type="pct"/>
            <w:tcBorders>
              <w:top w:val="nil"/>
              <w:left w:val="nil"/>
              <w:right w:val="nil"/>
            </w:tcBorders>
            <w:tcMar>
              <w:top w:w="0" w:type="dxa"/>
              <w:left w:w="0" w:type="dxa"/>
              <w:bottom w:w="28" w:type="dxa"/>
              <w:right w:w="0" w:type="dxa"/>
            </w:tcMar>
            <w:vAlign w:val="center"/>
          </w:tcPr>
          <w:p w14:paraId="58E62B59" w14:textId="3C90225E" w:rsidR="00D06747" w:rsidRPr="00617599" w:rsidRDefault="00D06747" w:rsidP="00360E75">
            <w:pPr>
              <w:spacing w:after="0" w:line="276" w:lineRule="auto"/>
              <w:rPr>
                <w:rFonts w:ascii="Arial" w:eastAsia="Times New Roman" w:hAnsi="Arial" w:cs="Arial"/>
                <w:bCs/>
                <w:i/>
                <w:sz w:val="16"/>
                <w:szCs w:val="16"/>
                <w:lang w:eastAsia="en-AU"/>
              </w:rPr>
            </w:pPr>
            <w:r w:rsidRPr="00617599">
              <w:rPr>
                <w:rFonts w:ascii="Arial" w:eastAsia="Times New Roman" w:hAnsi="Arial" w:cs="Arial"/>
                <w:bCs/>
                <w:i/>
                <w:sz w:val="16"/>
                <w:szCs w:val="16"/>
                <w:lang w:eastAsia="en-AU"/>
              </w:rPr>
              <w:t>Mean</w:t>
            </w:r>
            <w:r w:rsidR="000E2E9E">
              <w:rPr>
                <w:rFonts w:ascii="Arial" w:eastAsia="Times New Roman" w:hAnsi="Arial" w:cs="Arial"/>
                <w:bCs/>
                <w:i/>
                <w:sz w:val="16"/>
                <w:szCs w:val="16"/>
                <w:lang w:eastAsia="en-AU"/>
              </w:rPr>
              <w:t xml:space="preserve"> (SD)</w:t>
            </w:r>
          </w:p>
        </w:tc>
        <w:tc>
          <w:tcPr>
            <w:tcW w:w="935" w:type="pct"/>
            <w:gridSpan w:val="2"/>
            <w:tcBorders>
              <w:top w:val="nil"/>
              <w:left w:val="nil"/>
              <w:right w:val="nil"/>
            </w:tcBorders>
            <w:tcMar>
              <w:top w:w="0" w:type="dxa"/>
              <w:left w:w="0" w:type="dxa"/>
              <w:bottom w:w="28" w:type="dxa"/>
              <w:right w:w="0" w:type="dxa"/>
            </w:tcMar>
            <w:vAlign w:val="center"/>
          </w:tcPr>
          <w:p w14:paraId="1119D013" w14:textId="560FC325" w:rsidR="00D06747" w:rsidRPr="00952173" w:rsidRDefault="005F5FB7" w:rsidP="00360E75">
            <w:pPr>
              <w:spacing w:after="0" w:line="276" w:lineRule="auto"/>
              <w:jc w:val="center"/>
              <w:rPr>
                <w:rFonts w:ascii="Arial" w:eastAsia="Times New Roman" w:hAnsi="Arial" w:cs="Arial"/>
                <w:bCs/>
                <w:i/>
                <w:iCs/>
                <w:sz w:val="16"/>
                <w:szCs w:val="16"/>
                <w:lang w:eastAsia="en-AU"/>
              </w:rPr>
            </w:pPr>
            <w:r w:rsidRPr="00952173">
              <w:rPr>
                <w:rFonts w:ascii="Arial" w:eastAsia="Times New Roman" w:hAnsi="Arial" w:cs="Arial"/>
                <w:bCs/>
                <w:i/>
                <w:iCs/>
                <w:sz w:val="16"/>
                <w:szCs w:val="16"/>
                <w:lang w:eastAsia="en-AU"/>
              </w:rPr>
              <w:t>38.</w:t>
            </w:r>
            <w:r w:rsidR="0054730B">
              <w:rPr>
                <w:rFonts w:ascii="Arial" w:eastAsia="Times New Roman" w:hAnsi="Arial" w:cs="Arial"/>
                <w:bCs/>
                <w:i/>
                <w:iCs/>
                <w:sz w:val="16"/>
                <w:szCs w:val="16"/>
                <w:lang w:eastAsia="en-AU"/>
              </w:rPr>
              <w:t>5</w:t>
            </w:r>
            <w:r w:rsidR="000E2E9E" w:rsidRPr="00952173">
              <w:rPr>
                <w:rFonts w:ascii="Arial" w:eastAsia="Times New Roman" w:hAnsi="Arial" w:cs="Arial"/>
                <w:bCs/>
                <w:i/>
                <w:iCs/>
                <w:sz w:val="16"/>
                <w:szCs w:val="16"/>
                <w:lang w:eastAsia="en-AU"/>
              </w:rPr>
              <w:t xml:space="preserve"> (</w:t>
            </w:r>
            <w:r w:rsidR="006B48D0" w:rsidRPr="00952173">
              <w:rPr>
                <w:rFonts w:ascii="Arial" w:eastAsia="Times New Roman" w:hAnsi="Arial" w:cs="Arial"/>
                <w:bCs/>
                <w:i/>
                <w:iCs/>
                <w:sz w:val="16"/>
                <w:szCs w:val="16"/>
                <w:lang w:eastAsia="en-AU"/>
              </w:rPr>
              <w:t>2.</w:t>
            </w:r>
            <w:r w:rsidR="008864F6">
              <w:rPr>
                <w:rFonts w:ascii="Arial" w:eastAsia="Times New Roman" w:hAnsi="Arial" w:cs="Arial"/>
                <w:bCs/>
                <w:i/>
                <w:iCs/>
                <w:sz w:val="16"/>
                <w:szCs w:val="16"/>
                <w:lang w:eastAsia="en-AU"/>
              </w:rPr>
              <w:t>5</w:t>
            </w:r>
            <w:r w:rsidR="000E2E9E" w:rsidRPr="00952173">
              <w:rPr>
                <w:rFonts w:ascii="Arial" w:eastAsia="Times New Roman" w:hAnsi="Arial" w:cs="Arial"/>
                <w:bCs/>
                <w:i/>
                <w:iCs/>
                <w:sz w:val="16"/>
                <w:szCs w:val="16"/>
                <w:lang w:eastAsia="en-AU"/>
              </w:rPr>
              <w:t>)</w:t>
            </w:r>
          </w:p>
        </w:tc>
        <w:tc>
          <w:tcPr>
            <w:tcW w:w="76" w:type="pct"/>
            <w:tcBorders>
              <w:top w:val="nil"/>
              <w:left w:val="nil"/>
              <w:right w:val="nil"/>
            </w:tcBorders>
            <w:tcMar>
              <w:top w:w="0" w:type="dxa"/>
              <w:left w:w="0" w:type="dxa"/>
              <w:bottom w:w="28" w:type="dxa"/>
              <w:right w:w="0" w:type="dxa"/>
            </w:tcMar>
            <w:vAlign w:val="center"/>
          </w:tcPr>
          <w:p w14:paraId="26501B1B" w14:textId="77777777" w:rsidR="00D06747" w:rsidRPr="00617599" w:rsidRDefault="00D06747" w:rsidP="00360E75">
            <w:pPr>
              <w:spacing w:after="0" w:line="276" w:lineRule="auto"/>
              <w:jc w:val="center"/>
              <w:rPr>
                <w:rFonts w:ascii="Arial" w:eastAsia="Times New Roman" w:hAnsi="Arial" w:cs="Arial"/>
                <w:bCs/>
                <w:sz w:val="16"/>
                <w:szCs w:val="16"/>
                <w:lang w:eastAsia="en-AU"/>
              </w:rPr>
            </w:pPr>
          </w:p>
        </w:tc>
        <w:tc>
          <w:tcPr>
            <w:tcW w:w="1035" w:type="pct"/>
            <w:gridSpan w:val="2"/>
            <w:tcBorders>
              <w:top w:val="nil"/>
              <w:left w:val="nil"/>
              <w:right w:val="nil"/>
            </w:tcBorders>
            <w:tcMar>
              <w:top w:w="0" w:type="dxa"/>
              <w:left w:w="0" w:type="dxa"/>
              <w:bottom w:w="28" w:type="dxa"/>
              <w:right w:w="0" w:type="dxa"/>
            </w:tcMar>
            <w:vAlign w:val="center"/>
          </w:tcPr>
          <w:p w14:paraId="6A2CA91B" w14:textId="54EC6202" w:rsidR="00D06747" w:rsidRPr="00952173" w:rsidRDefault="008864F6" w:rsidP="00360E75">
            <w:pPr>
              <w:spacing w:after="0" w:line="276" w:lineRule="auto"/>
              <w:jc w:val="center"/>
              <w:rPr>
                <w:rFonts w:ascii="Arial" w:eastAsia="Times New Roman" w:hAnsi="Arial" w:cs="Arial"/>
                <w:bCs/>
                <w:i/>
                <w:iCs/>
                <w:sz w:val="16"/>
                <w:szCs w:val="16"/>
                <w:lang w:eastAsia="en-AU"/>
              </w:rPr>
            </w:pPr>
            <w:r>
              <w:rPr>
                <w:rFonts w:ascii="Arial" w:eastAsia="Times New Roman" w:hAnsi="Arial" w:cs="Arial"/>
                <w:bCs/>
                <w:i/>
                <w:iCs/>
                <w:sz w:val="16"/>
                <w:szCs w:val="16"/>
                <w:lang w:eastAsia="en-AU"/>
              </w:rPr>
              <w:t>34.6</w:t>
            </w:r>
            <w:r w:rsidR="000E2E9E" w:rsidRPr="00952173">
              <w:rPr>
                <w:rFonts w:ascii="Arial" w:eastAsia="Times New Roman" w:hAnsi="Arial" w:cs="Arial"/>
                <w:bCs/>
                <w:i/>
                <w:iCs/>
                <w:sz w:val="16"/>
                <w:szCs w:val="16"/>
                <w:lang w:eastAsia="en-AU"/>
              </w:rPr>
              <w:t xml:space="preserve"> (</w:t>
            </w:r>
            <w:r w:rsidR="0054730B">
              <w:rPr>
                <w:rFonts w:ascii="Arial" w:eastAsia="Times New Roman" w:hAnsi="Arial" w:cs="Arial"/>
                <w:bCs/>
                <w:i/>
                <w:iCs/>
                <w:sz w:val="16"/>
                <w:szCs w:val="16"/>
                <w:lang w:eastAsia="en-AU"/>
              </w:rPr>
              <w:t>3.</w:t>
            </w:r>
            <w:r>
              <w:rPr>
                <w:rFonts w:ascii="Arial" w:eastAsia="Times New Roman" w:hAnsi="Arial" w:cs="Arial"/>
                <w:bCs/>
                <w:i/>
                <w:iCs/>
                <w:sz w:val="16"/>
                <w:szCs w:val="16"/>
                <w:lang w:eastAsia="en-AU"/>
              </w:rPr>
              <w:t>3</w:t>
            </w:r>
            <w:r w:rsidR="000E2E9E" w:rsidRPr="00952173">
              <w:rPr>
                <w:rFonts w:ascii="Arial" w:eastAsia="Times New Roman" w:hAnsi="Arial" w:cs="Arial"/>
                <w:bCs/>
                <w:i/>
                <w:iCs/>
                <w:sz w:val="16"/>
                <w:szCs w:val="16"/>
                <w:lang w:eastAsia="en-AU"/>
              </w:rPr>
              <w:t>)</w:t>
            </w:r>
          </w:p>
        </w:tc>
        <w:tc>
          <w:tcPr>
            <w:tcW w:w="79" w:type="pct"/>
            <w:tcBorders>
              <w:top w:val="nil"/>
              <w:left w:val="nil"/>
              <w:right w:val="nil"/>
            </w:tcBorders>
            <w:tcMar>
              <w:top w:w="0" w:type="dxa"/>
              <w:left w:w="0" w:type="dxa"/>
              <w:bottom w:w="28" w:type="dxa"/>
              <w:right w:w="0" w:type="dxa"/>
            </w:tcMar>
            <w:vAlign w:val="center"/>
          </w:tcPr>
          <w:p w14:paraId="4E6069E4" w14:textId="77777777" w:rsidR="00D06747" w:rsidRPr="00617599" w:rsidRDefault="00D06747" w:rsidP="00360E75">
            <w:pPr>
              <w:spacing w:after="0" w:line="276" w:lineRule="auto"/>
              <w:jc w:val="center"/>
              <w:rPr>
                <w:rFonts w:ascii="Arial" w:eastAsia="Times New Roman" w:hAnsi="Arial" w:cs="Arial"/>
                <w:bCs/>
                <w:sz w:val="16"/>
                <w:szCs w:val="16"/>
                <w:lang w:eastAsia="en-AU"/>
              </w:rPr>
            </w:pPr>
          </w:p>
        </w:tc>
        <w:tc>
          <w:tcPr>
            <w:tcW w:w="1087" w:type="pct"/>
            <w:gridSpan w:val="2"/>
            <w:tcBorders>
              <w:top w:val="nil"/>
              <w:left w:val="nil"/>
              <w:right w:val="nil"/>
            </w:tcBorders>
            <w:tcMar>
              <w:top w:w="0" w:type="dxa"/>
              <w:left w:w="0" w:type="dxa"/>
              <w:bottom w:w="28" w:type="dxa"/>
              <w:right w:w="0" w:type="dxa"/>
            </w:tcMar>
            <w:vAlign w:val="center"/>
          </w:tcPr>
          <w:p w14:paraId="63CB3E0C" w14:textId="34FEC218" w:rsidR="00D06747" w:rsidRPr="00617599" w:rsidRDefault="00976E46" w:rsidP="00360E75">
            <w:pPr>
              <w:spacing w:after="0" w:line="276" w:lineRule="auto"/>
              <w:jc w:val="center"/>
              <w:rPr>
                <w:rFonts w:ascii="Arial" w:eastAsia="Times New Roman" w:hAnsi="Arial" w:cs="Arial"/>
                <w:bCs/>
                <w:sz w:val="16"/>
                <w:szCs w:val="16"/>
                <w:lang w:eastAsia="en-AU"/>
              </w:rPr>
            </w:pPr>
            <w:r>
              <w:rPr>
                <w:rFonts w:ascii="Arial" w:eastAsia="Times New Roman" w:hAnsi="Arial" w:cs="Arial"/>
                <w:bCs/>
                <w:sz w:val="16"/>
                <w:szCs w:val="16"/>
                <w:lang w:eastAsia="en-AU"/>
              </w:rPr>
              <w:t>-</w:t>
            </w:r>
          </w:p>
        </w:tc>
        <w:tc>
          <w:tcPr>
            <w:tcW w:w="76" w:type="pct"/>
            <w:tcBorders>
              <w:top w:val="nil"/>
              <w:left w:val="nil"/>
              <w:right w:val="nil"/>
            </w:tcBorders>
            <w:tcMar>
              <w:top w:w="0" w:type="dxa"/>
              <w:left w:w="0" w:type="dxa"/>
              <w:bottom w:w="28" w:type="dxa"/>
              <w:right w:w="0" w:type="dxa"/>
            </w:tcMar>
            <w:vAlign w:val="center"/>
          </w:tcPr>
          <w:p w14:paraId="0718339F" w14:textId="77777777" w:rsidR="00D06747" w:rsidRPr="00617599" w:rsidRDefault="00D06747" w:rsidP="00360E75">
            <w:pPr>
              <w:spacing w:after="0" w:line="276" w:lineRule="auto"/>
              <w:jc w:val="center"/>
              <w:rPr>
                <w:rFonts w:ascii="Arial" w:eastAsia="Times New Roman" w:hAnsi="Arial" w:cs="Arial"/>
                <w:bCs/>
                <w:sz w:val="16"/>
                <w:szCs w:val="16"/>
                <w:lang w:eastAsia="en-AU"/>
              </w:rPr>
            </w:pPr>
          </w:p>
        </w:tc>
        <w:tc>
          <w:tcPr>
            <w:tcW w:w="1165" w:type="pct"/>
            <w:gridSpan w:val="2"/>
            <w:tcBorders>
              <w:top w:val="nil"/>
              <w:left w:val="nil"/>
              <w:right w:val="nil"/>
            </w:tcBorders>
            <w:tcMar>
              <w:top w:w="0" w:type="dxa"/>
              <w:left w:w="0" w:type="dxa"/>
              <w:bottom w:w="28" w:type="dxa"/>
              <w:right w:w="0" w:type="dxa"/>
            </w:tcMar>
            <w:vAlign w:val="center"/>
          </w:tcPr>
          <w:p w14:paraId="46810565" w14:textId="0D998001" w:rsidR="00D06747" w:rsidRPr="00952173" w:rsidRDefault="005F5FB7" w:rsidP="00360E75">
            <w:pPr>
              <w:spacing w:after="0" w:line="276" w:lineRule="auto"/>
              <w:jc w:val="center"/>
              <w:rPr>
                <w:rFonts w:ascii="Arial" w:eastAsia="Times New Roman" w:hAnsi="Arial" w:cs="Arial"/>
                <w:bCs/>
                <w:i/>
                <w:iCs/>
                <w:sz w:val="16"/>
                <w:szCs w:val="16"/>
                <w:lang w:eastAsia="en-AU"/>
              </w:rPr>
            </w:pPr>
            <w:r w:rsidRPr="00952173">
              <w:rPr>
                <w:rFonts w:ascii="Arial" w:eastAsia="Times New Roman" w:hAnsi="Arial" w:cs="Arial"/>
                <w:bCs/>
                <w:i/>
                <w:iCs/>
                <w:sz w:val="16"/>
                <w:szCs w:val="16"/>
                <w:lang w:eastAsia="en-AU"/>
              </w:rPr>
              <w:t>38.</w:t>
            </w:r>
            <w:r w:rsidR="008864F6">
              <w:rPr>
                <w:rFonts w:ascii="Arial" w:eastAsia="Times New Roman" w:hAnsi="Arial" w:cs="Arial"/>
                <w:bCs/>
                <w:i/>
                <w:iCs/>
                <w:sz w:val="16"/>
                <w:szCs w:val="16"/>
                <w:lang w:eastAsia="en-AU"/>
              </w:rPr>
              <w:t>3</w:t>
            </w:r>
            <w:r w:rsidR="006B48D0" w:rsidRPr="00952173">
              <w:rPr>
                <w:rFonts w:ascii="Arial" w:eastAsia="Times New Roman" w:hAnsi="Arial" w:cs="Arial"/>
                <w:bCs/>
                <w:i/>
                <w:iCs/>
                <w:sz w:val="16"/>
                <w:szCs w:val="16"/>
                <w:lang w:eastAsia="en-AU"/>
              </w:rPr>
              <w:t xml:space="preserve"> </w:t>
            </w:r>
            <w:r w:rsidR="000E2E9E" w:rsidRPr="00952173">
              <w:rPr>
                <w:rFonts w:ascii="Arial" w:eastAsia="Times New Roman" w:hAnsi="Arial" w:cs="Arial"/>
                <w:bCs/>
                <w:i/>
                <w:iCs/>
                <w:sz w:val="16"/>
                <w:szCs w:val="16"/>
                <w:lang w:eastAsia="en-AU"/>
              </w:rPr>
              <w:t>(</w:t>
            </w:r>
            <w:r w:rsidR="00E61ED4" w:rsidRPr="00952173">
              <w:rPr>
                <w:rFonts w:ascii="Arial" w:eastAsia="Times New Roman" w:hAnsi="Arial" w:cs="Arial"/>
                <w:bCs/>
                <w:i/>
                <w:iCs/>
                <w:sz w:val="16"/>
                <w:szCs w:val="16"/>
                <w:lang w:eastAsia="en-AU"/>
              </w:rPr>
              <w:t>2.</w:t>
            </w:r>
            <w:r w:rsidR="008864F6">
              <w:rPr>
                <w:rFonts w:ascii="Arial" w:eastAsia="Times New Roman" w:hAnsi="Arial" w:cs="Arial"/>
                <w:bCs/>
                <w:i/>
                <w:iCs/>
                <w:sz w:val="16"/>
                <w:szCs w:val="16"/>
                <w:lang w:eastAsia="en-AU"/>
              </w:rPr>
              <w:t>7</w:t>
            </w:r>
            <w:r w:rsidR="000E2E9E" w:rsidRPr="00952173">
              <w:rPr>
                <w:rFonts w:ascii="Arial" w:eastAsia="Times New Roman" w:hAnsi="Arial" w:cs="Arial"/>
                <w:bCs/>
                <w:i/>
                <w:iCs/>
                <w:sz w:val="16"/>
                <w:szCs w:val="16"/>
                <w:lang w:eastAsia="en-AU"/>
              </w:rPr>
              <w:t>)</w:t>
            </w:r>
          </w:p>
        </w:tc>
      </w:tr>
      <w:tr w:rsidR="000E2E9E" w:rsidRPr="00617599" w14:paraId="4EE11B6F" w14:textId="77777777" w:rsidTr="00360E75">
        <w:trPr>
          <w:trHeight w:val="227"/>
          <w:tblHeader/>
          <w:tblCellSpacing w:w="0" w:type="dxa"/>
        </w:trPr>
        <w:tc>
          <w:tcPr>
            <w:tcW w:w="547" w:type="pct"/>
            <w:tcBorders>
              <w:top w:val="nil"/>
              <w:left w:val="nil"/>
              <w:right w:val="nil"/>
            </w:tcBorders>
            <w:tcMar>
              <w:top w:w="0" w:type="dxa"/>
              <w:left w:w="0" w:type="dxa"/>
              <w:bottom w:w="28" w:type="dxa"/>
              <w:right w:w="0" w:type="dxa"/>
            </w:tcMar>
            <w:vAlign w:val="center"/>
            <w:hideMark/>
          </w:tcPr>
          <w:p w14:paraId="74B9F4AB" w14:textId="77777777" w:rsidR="000E2E9E" w:rsidRPr="00617599" w:rsidRDefault="000E2E9E" w:rsidP="00360E75">
            <w:pPr>
              <w:spacing w:after="0" w:line="276" w:lineRule="auto"/>
              <w:rPr>
                <w:rFonts w:ascii="Arial" w:eastAsia="Times New Roman" w:hAnsi="Arial" w:cs="Arial"/>
                <w:b/>
                <w:bCs/>
                <w:sz w:val="16"/>
                <w:szCs w:val="16"/>
                <w:lang w:eastAsia="en-AU"/>
              </w:rPr>
            </w:pPr>
          </w:p>
        </w:tc>
        <w:tc>
          <w:tcPr>
            <w:tcW w:w="468" w:type="pct"/>
            <w:tcBorders>
              <w:top w:val="nil"/>
              <w:left w:val="nil"/>
              <w:right w:val="nil"/>
            </w:tcBorders>
            <w:tcMar>
              <w:top w:w="0" w:type="dxa"/>
              <w:left w:w="0" w:type="dxa"/>
              <w:bottom w:w="28" w:type="dxa"/>
              <w:right w:w="0" w:type="dxa"/>
            </w:tcMar>
            <w:vAlign w:val="center"/>
            <w:hideMark/>
          </w:tcPr>
          <w:p w14:paraId="1CEC32DE" w14:textId="1C1720A7"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467" w:type="pct"/>
            <w:tcBorders>
              <w:top w:val="nil"/>
              <w:left w:val="nil"/>
              <w:right w:val="nil"/>
            </w:tcBorders>
            <w:tcMar>
              <w:top w:w="0" w:type="dxa"/>
              <w:left w:w="0" w:type="dxa"/>
              <w:bottom w:w="28" w:type="dxa"/>
              <w:right w:w="0" w:type="dxa"/>
            </w:tcMar>
            <w:vAlign w:val="center"/>
            <w:hideMark/>
          </w:tcPr>
          <w:p w14:paraId="2C68341C" w14:textId="3E4C575F"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76" w:type="pct"/>
            <w:tcBorders>
              <w:top w:val="nil"/>
              <w:left w:val="nil"/>
              <w:right w:val="nil"/>
            </w:tcBorders>
            <w:tcMar>
              <w:top w:w="0" w:type="dxa"/>
              <w:left w:w="0" w:type="dxa"/>
              <w:bottom w:w="28" w:type="dxa"/>
              <w:right w:w="0" w:type="dxa"/>
            </w:tcMar>
            <w:vAlign w:val="center"/>
            <w:hideMark/>
          </w:tcPr>
          <w:p w14:paraId="34A3D842" w14:textId="77777777" w:rsidR="000E2E9E" w:rsidRPr="00617599" w:rsidRDefault="000E2E9E"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517" w:type="pct"/>
            <w:tcBorders>
              <w:top w:val="nil"/>
              <w:left w:val="nil"/>
              <w:right w:val="nil"/>
            </w:tcBorders>
            <w:tcMar>
              <w:top w:w="0" w:type="dxa"/>
              <w:left w:w="0" w:type="dxa"/>
              <w:bottom w:w="28" w:type="dxa"/>
              <w:right w:w="0" w:type="dxa"/>
            </w:tcMar>
            <w:vAlign w:val="center"/>
            <w:hideMark/>
          </w:tcPr>
          <w:p w14:paraId="0CAC3DC3" w14:textId="11C0B3E7"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518" w:type="pct"/>
            <w:tcBorders>
              <w:top w:val="nil"/>
              <w:left w:val="nil"/>
              <w:right w:val="nil"/>
            </w:tcBorders>
            <w:tcMar>
              <w:top w:w="0" w:type="dxa"/>
              <w:left w:w="0" w:type="dxa"/>
              <w:bottom w:w="28" w:type="dxa"/>
              <w:right w:w="0" w:type="dxa"/>
            </w:tcMar>
            <w:vAlign w:val="center"/>
            <w:hideMark/>
          </w:tcPr>
          <w:p w14:paraId="46CA16E4" w14:textId="28C256F9"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79" w:type="pct"/>
            <w:tcBorders>
              <w:top w:val="nil"/>
              <w:left w:val="nil"/>
              <w:right w:val="nil"/>
            </w:tcBorders>
            <w:tcMar>
              <w:top w:w="0" w:type="dxa"/>
              <w:left w:w="0" w:type="dxa"/>
              <w:bottom w:w="28" w:type="dxa"/>
              <w:right w:w="0" w:type="dxa"/>
            </w:tcMar>
            <w:vAlign w:val="center"/>
            <w:hideMark/>
          </w:tcPr>
          <w:p w14:paraId="51DCF362" w14:textId="77777777" w:rsidR="000E2E9E" w:rsidRPr="00617599" w:rsidRDefault="000E2E9E"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543" w:type="pct"/>
            <w:tcBorders>
              <w:top w:val="nil"/>
              <w:left w:val="nil"/>
              <w:right w:val="nil"/>
            </w:tcBorders>
            <w:tcMar>
              <w:top w:w="0" w:type="dxa"/>
              <w:left w:w="0" w:type="dxa"/>
              <w:bottom w:w="28" w:type="dxa"/>
              <w:right w:w="0" w:type="dxa"/>
            </w:tcMar>
            <w:vAlign w:val="center"/>
            <w:hideMark/>
          </w:tcPr>
          <w:p w14:paraId="2471C62D" w14:textId="428F4ED2"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544" w:type="pct"/>
            <w:tcBorders>
              <w:top w:val="nil"/>
              <w:left w:val="nil"/>
              <w:right w:val="nil"/>
            </w:tcBorders>
            <w:tcMar>
              <w:top w:w="0" w:type="dxa"/>
              <w:left w:w="0" w:type="dxa"/>
              <w:bottom w:w="28" w:type="dxa"/>
              <w:right w:w="0" w:type="dxa"/>
            </w:tcMar>
            <w:vAlign w:val="center"/>
            <w:hideMark/>
          </w:tcPr>
          <w:p w14:paraId="3BCC8271" w14:textId="0ECFA941"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c>
          <w:tcPr>
            <w:tcW w:w="76" w:type="pct"/>
            <w:tcBorders>
              <w:top w:val="nil"/>
              <w:left w:val="nil"/>
              <w:right w:val="nil"/>
            </w:tcBorders>
            <w:tcMar>
              <w:top w:w="0" w:type="dxa"/>
              <w:left w:w="0" w:type="dxa"/>
              <w:bottom w:w="28" w:type="dxa"/>
              <w:right w:w="0" w:type="dxa"/>
            </w:tcMar>
            <w:vAlign w:val="center"/>
            <w:hideMark/>
          </w:tcPr>
          <w:p w14:paraId="2FB4F794" w14:textId="77777777" w:rsidR="000E2E9E" w:rsidRPr="00617599" w:rsidRDefault="000E2E9E"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  </w:t>
            </w:r>
          </w:p>
        </w:tc>
        <w:tc>
          <w:tcPr>
            <w:tcW w:w="583" w:type="pct"/>
            <w:tcBorders>
              <w:top w:val="nil"/>
              <w:left w:val="nil"/>
              <w:right w:val="nil"/>
            </w:tcBorders>
            <w:tcMar>
              <w:top w:w="0" w:type="dxa"/>
              <w:left w:w="0" w:type="dxa"/>
              <w:bottom w:w="28" w:type="dxa"/>
              <w:right w:w="0" w:type="dxa"/>
            </w:tcMar>
            <w:vAlign w:val="center"/>
            <w:hideMark/>
          </w:tcPr>
          <w:p w14:paraId="4C8AAA07" w14:textId="4F9CE9B8"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n</w:t>
            </w:r>
          </w:p>
        </w:tc>
        <w:tc>
          <w:tcPr>
            <w:tcW w:w="582" w:type="pct"/>
            <w:tcBorders>
              <w:top w:val="nil"/>
              <w:left w:val="nil"/>
              <w:right w:val="nil"/>
            </w:tcBorders>
            <w:tcMar>
              <w:top w:w="0" w:type="dxa"/>
              <w:left w:w="0" w:type="dxa"/>
              <w:bottom w:w="28" w:type="dxa"/>
              <w:right w:w="0" w:type="dxa"/>
            </w:tcMar>
            <w:vAlign w:val="center"/>
            <w:hideMark/>
          </w:tcPr>
          <w:p w14:paraId="7EA9B065" w14:textId="51BF2025" w:rsidR="000E2E9E" w:rsidRPr="00617599" w:rsidRDefault="000E2E9E" w:rsidP="00360E75">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w:t>
            </w:r>
          </w:p>
        </w:tc>
      </w:tr>
      <w:tr w:rsidR="00510026" w:rsidRPr="00617599" w14:paraId="537614F9" w14:textId="77777777" w:rsidTr="009E4E52">
        <w:trPr>
          <w:trHeight w:val="227"/>
          <w:tblCellSpacing w:w="0" w:type="dxa"/>
        </w:trPr>
        <w:tc>
          <w:tcPr>
            <w:tcW w:w="547" w:type="pct"/>
            <w:tcBorders>
              <w:top w:val="nil"/>
              <w:left w:val="nil"/>
              <w:bottom w:val="nil"/>
              <w:right w:val="nil"/>
            </w:tcBorders>
            <w:tcMar>
              <w:top w:w="0" w:type="dxa"/>
              <w:left w:w="0" w:type="dxa"/>
              <w:bottom w:w="0" w:type="dxa"/>
              <w:right w:w="0" w:type="dxa"/>
            </w:tcMar>
            <w:vAlign w:val="center"/>
            <w:hideMark/>
          </w:tcPr>
          <w:p w14:paraId="2CE65E32" w14:textId="77777777" w:rsidR="00510026" w:rsidRPr="00617599" w:rsidRDefault="00510026" w:rsidP="00510026">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27 </w:t>
            </w:r>
          </w:p>
        </w:tc>
        <w:tc>
          <w:tcPr>
            <w:tcW w:w="468" w:type="pct"/>
            <w:tcBorders>
              <w:top w:val="nil"/>
              <w:left w:val="nil"/>
              <w:bottom w:val="nil"/>
              <w:right w:val="nil"/>
            </w:tcBorders>
            <w:tcMar>
              <w:top w:w="0" w:type="dxa"/>
              <w:left w:w="0" w:type="dxa"/>
              <w:bottom w:w="0" w:type="dxa"/>
              <w:right w:w="0" w:type="dxa"/>
            </w:tcMar>
            <w:vAlign w:val="bottom"/>
            <w:hideMark/>
          </w:tcPr>
          <w:p w14:paraId="1CB87B15" w14:textId="734D5204"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30</w:t>
            </w:r>
          </w:p>
        </w:tc>
        <w:tc>
          <w:tcPr>
            <w:tcW w:w="467" w:type="pct"/>
            <w:tcBorders>
              <w:top w:val="nil"/>
              <w:left w:val="nil"/>
              <w:bottom w:val="nil"/>
              <w:right w:val="nil"/>
            </w:tcBorders>
            <w:tcMar>
              <w:top w:w="0" w:type="dxa"/>
              <w:left w:w="0" w:type="dxa"/>
              <w:bottom w:w="0" w:type="dxa"/>
              <w:right w:w="0" w:type="dxa"/>
            </w:tcMar>
            <w:vAlign w:val="bottom"/>
            <w:hideMark/>
          </w:tcPr>
          <w:p w14:paraId="6C56A314" w14:textId="3E487E93"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1.5</w:t>
            </w:r>
          </w:p>
        </w:tc>
        <w:tc>
          <w:tcPr>
            <w:tcW w:w="76" w:type="pct"/>
            <w:tcBorders>
              <w:top w:val="nil"/>
              <w:left w:val="nil"/>
              <w:bottom w:val="nil"/>
              <w:right w:val="nil"/>
            </w:tcBorders>
            <w:tcMar>
              <w:top w:w="0" w:type="dxa"/>
              <w:left w:w="0" w:type="dxa"/>
              <w:bottom w:w="0" w:type="dxa"/>
              <w:right w:w="0" w:type="dxa"/>
            </w:tcMar>
            <w:vAlign w:val="bottom"/>
            <w:hideMark/>
          </w:tcPr>
          <w:p w14:paraId="52BB16EC" w14:textId="57778906"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17" w:type="pct"/>
            <w:tcBorders>
              <w:top w:val="nil"/>
              <w:left w:val="nil"/>
              <w:bottom w:val="nil"/>
              <w:right w:val="nil"/>
            </w:tcBorders>
            <w:tcMar>
              <w:top w:w="0" w:type="dxa"/>
              <w:left w:w="0" w:type="dxa"/>
              <w:bottom w:w="0" w:type="dxa"/>
              <w:right w:w="0" w:type="dxa"/>
            </w:tcMar>
            <w:vAlign w:val="bottom"/>
            <w:hideMark/>
          </w:tcPr>
          <w:p w14:paraId="6E6B41DC" w14:textId="33B71A52"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4</w:t>
            </w:r>
          </w:p>
        </w:tc>
        <w:tc>
          <w:tcPr>
            <w:tcW w:w="518" w:type="pct"/>
            <w:tcBorders>
              <w:top w:val="nil"/>
              <w:left w:val="nil"/>
              <w:bottom w:val="nil"/>
              <w:right w:val="nil"/>
            </w:tcBorders>
            <w:tcMar>
              <w:top w:w="0" w:type="dxa"/>
              <w:left w:w="0" w:type="dxa"/>
              <w:bottom w:w="0" w:type="dxa"/>
              <w:right w:w="0" w:type="dxa"/>
            </w:tcMar>
            <w:vAlign w:val="bottom"/>
            <w:hideMark/>
          </w:tcPr>
          <w:p w14:paraId="23CA84DE" w14:textId="5DD58E81" w:rsidR="00510026" w:rsidRPr="00952173"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5.4</w:t>
            </w:r>
          </w:p>
        </w:tc>
        <w:tc>
          <w:tcPr>
            <w:tcW w:w="79" w:type="pct"/>
            <w:tcBorders>
              <w:top w:val="nil"/>
              <w:left w:val="nil"/>
              <w:bottom w:val="nil"/>
              <w:right w:val="nil"/>
            </w:tcBorders>
            <w:tcMar>
              <w:top w:w="0" w:type="dxa"/>
              <w:left w:w="0" w:type="dxa"/>
              <w:bottom w:w="0" w:type="dxa"/>
              <w:right w:w="0" w:type="dxa"/>
            </w:tcMar>
            <w:vAlign w:val="bottom"/>
            <w:hideMark/>
          </w:tcPr>
          <w:p w14:paraId="2B57FA83" w14:textId="78F066A4" w:rsidR="00510026" w:rsidRPr="00BA2B66" w:rsidRDefault="00510026" w:rsidP="00510026">
            <w:pPr>
              <w:spacing w:after="0" w:line="276" w:lineRule="auto"/>
              <w:jc w:val="right"/>
              <w:rPr>
                <w:rFonts w:ascii="Arial" w:eastAsia="Times New Roman" w:hAnsi="Arial" w:cs="Arial"/>
                <w:color w:val="FF0000"/>
                <w:sz w:val="16"/>
                <w:szCs w:val="16"/>
                <w:lang w:eastAsia="en-AU"/>
              </w:rPr>
            </w:pPr>
            <w:r>
              <w:rPr>
                <w:rFonts w:ascii="Arial" w:hAnsi="Arial" w:cs="Arial"/>
                <w:sz w:val="16"/>
                <w:szCs w:val="16"/>
              </w:rPr>
              <w:t> </w:t>
            </w:r>
          </w:p>
        </w:tc>
        <w:tc>
          <w:tcPr>
            <w:tcW w:w="543" w:type="pct"/>
            <w:tcBorders>
              <w:top w:val="nil"/>
              <w:left w:val="nil"/>
              <w:bottom w:val="nil"/>
              <w:right w:val="nil"/>
            </w:tcBorders>
            <w:tcMar>
              <w:top w:w="0" w:type="dxa"/>
              <w:left w:w="0" w:type="dxa"/>
              <w:bottom w:w="0" w:type="dxa"/>
              <w:right w:w="0" w:type="dxa"/>
            </w:tcMar>
            <w:vAlign w:val="bottom"/>
            <w:hideMark/>
          </w:tcPr>
          <w:p w14:paraId="69324077" w14:textId="399EA467"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0</w:t>
            </w:r>
          </w:p>
        </w:tc>
        <w:tc>
          <w:tcPr>
            <w:tcW w:w="544" w:type="pct"/>
            <w:tcBorders>
              <w:top w:val="nil"/>
              <w:left w:val="nil"/>
              <w:bottom w:val="nil"/>
              <w:right w:val="nil"/>
            </w:tcBorders>
            <w:tcMar>
              <w:top w:w="0" w:type="dxa"/>
              <w:left w:w="0" w:type="dxa"/>
              <w:bottom w:w="0" w:type="dxa"/>
              <w:right w:w="0" w:type="dxa"/>
            </w:tcMar>
            <w:vAlign w:val="bottom"/>
            <w:hideMark/>
          </w:tcPr>
          <w:p w14:paraId="47DFFD02" w14:textId="1615E2F4"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0.0</w:t>
            </w:r>
          </w:p>
        </w:tc>
        <w:tc>
          <w:tcPr>
            <w:tcW w:w="76" w:type="pct"/>
            <w:tcBorders>
              <w:top w:val="nil"/>
              <w:left w:val="nil"/>
              <w:bottom w:val="nil"/>
              <w:right w:val="nil"/>
            </w:tcBorders>
            <w:tcMar>
              <w:top w:w="0" w:type="dxa"/>
              <w:left w:w="0" w:type="dxa"/>
              <w:bottom w:w="0" w:type="dxa"/>
              <w:right w:w="0" w:type="dxa"/>
            </w:tcMar>
            <w:vAlign w:val="bottom"/>
            <w:hideMark/>
          </w:tcPr>
          <w:p w14:paraId="76F9FF27" w14:textId="60B074D1"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83" w:type="pct"/>
            <w:tcBorders>
              <w:top w:val="nil"/>
              <w:left w:val="nil"/>
              <w:bottom w:val="nil"/>
              <w:right w:val="nil"/>
            </w:tcBorders>
            <w:tcMar>
              <w:top w:w="0" w:type="dxa"/>
              <w:left w:w="0" w:type="dxa"/>
              <w:bottom w:w="0" w:type="dxa"/>
              <w:right w:w="0" w:type="dxa"/>
            </w:tcMar>
            <w:vAlign w:val="bottom"/>
            <w:hideMark/>
          </w:tcPr>
          <w:p w14:paraId="6FBE7BAB" w14:textId="6A7117C9"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34</w:t>
            </w:r>
          </w:p>
        </w:tc>
        <w:tc>
          <w:tcPr>
            <w:tcW w:w="582" w:type="pct"/>
            <w:tcBorders>
              <w:top w:val="nil"/>
              <w:left w:val="nil"/>
              <w:bottom w:val="nil"/>
              <w:right w:val="nil"/>
            </w:tcBorders>
            <w:tcMar>
              <w:top w:w="0" w:type="dxa"/>
              <w:left w:w="0" w:type="dxa"/>
              <w:bottom w:w="0" w:type="dxa"/>
              <w:right w:w="0" w:type="dxa"/>
            </w:tcMar>
            <w:vAlign w:val="bottom"/>
            <w:hideMark/>
          </w:tcPr>
          <w:p w14:paraId="799B3CBD" w14:textId="19173A48"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1.6</w:t>
            </w:r>
          </w:p>
        </w:tc>
      </w:tr>
      <w:tr w:rsidR="00510026" w:rsidRPr="00617599" w14:paraId="173418DC" w14:textId="77777777" w:rsidTr="00744BEE">
        <w:trPr>
          <w:trHeight w:val="227"/>
          <w:tblCellSpacing w:w="0" w:type="dxa"/>
        </w:trPr>
        <w:tc>
          <w:tcPr>
            <w:tcW w:w="547" w:type="pct"/>
            <w:tcBorders>
              <w:top w:val="nil"/>
              <w:left w:val="nil"/>
              <w:bottom w:val="nil"/>
              <w:right w:val="nil"/>
            </w:tcBorders>
            <w:tcMar>
              <w:top w:w="0" w:type="dxa"/>
              <w:left w:w="0" w:type="dxa"/>
              <w:bottom w:w="0" w:type="dxa"/>
              <w:right w:w="0" w:type="dxa"/>
            </w:tcMar>
            <w:vAlign w:val="center"/>
            <w:hideMark/>
          </w:tcPr>
          <w:p w14:paraId="740F671A" w14:textId="77777777" w:rsidR="00510026" w:rsidRPr="00617599" w:rsidRDefault="00510026" w:rsidP="00510026">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28-31 </w:t>
            </w:r>
          </w:p>
        </w:tc>
        <w:tc>
          <w:tcPr>
            <w:tcW w:w="468" w:type="pct"/>
            <w:tcBorders>
              <w:top w:val="nil"/>
              <w:left w:val="nil"/>
              <w:bottom w:val="nil"/>
              <w:right w:val="nil"/>
            </w:tcBorders>
            <w:tcMar>
              <w:top w:w="0" w:type="dxa"/>
              <w:left w:w="0" w:type="dxa"/>
              <w:bottom w:w="0" w:type="dxa"/>
              <w:right w:w="0" w:type="dxa"/>
            </w:tcMar>
            <w:vAlign w:val="center"/>
            <w:hideMark/>
          </w:tcPr>
          <w:p w14:paraId="0DF337B3" w14:textId="0F1669DC"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22</w:t>
            </w:r>
          </w:p>
        </w:tc>
        <w:tc>
          <w:tcPr>
            <w:tcW w:w="467" w:type="pct"/>
            <w:tcBorders>
              <w:top w:val="nil"/>
              <w:left w:val="nil"/>
              <w:bottom w:val="nil"/>
              <w:right w:val="nil"/>
            </w:tcBorders>
            <w:tcMar>
              <w:top w:w="0" w:type="dxa"/>
              <w:left w:w="0" w:type="dxa"/>
              <w:bottom w:w="0" w:type="dxa"/>
              <w:right w:w="0" w:type="dxa"/>
            </w:tcMar>
            <w:vAlign w:val="center"/>
            <w:hideMark/>
          </w:tcPr>
          <w:p w14:paraId="46AC8D31" w14:textId="7BF0B935"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1.1</w:t>
            </w:r>
          </w:p>
        </w:tc>
        <w:tc>
          <w:tcPr>
            <w:tcW w:w="76" w:type="pct"/>
            <w:tcBorders>
              <w:top w:val="nil"/>
              <w:left w:val="nil"/>
              <w:bottom w:val="nil"/>
              <w:right w:val="nil"/>
            </w:tcBorders>
            <w:tcMar>
              <w:top w:w="0" w:type="dxa"/>
              <w:left w:w="0" w:type="dxa"/>
              <w:bottom w:w="0" w:type="dxa"/>
              <w:right w:w="0" w:type="dxa"/>
            </w:tcMar>
            <w:vAlign w:val="center"/>
            <w:hideMark/>
          </w:tcPr>
          <w:p w14:paraId="64B16F5C" w14:textId="2D2E4F6E"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17" w:type="pct"/>
            <w:tcBorders>
              <w:top w:val="nil"/>
              <w:left w:val="nil"/>
              <w:bottom w:val="nil"/>
              <w:right w:val="nil"/>
            </w:tcBorders>
            <w:tcMar>
              <w:top w:w="0" w:type="dxa"/>
              <w:left w:w="0" w:type="dxa"/>
              <w:bottom w:w="0" w:type="dxa"/>
              <w:right w:w="0" w:type="dxa"/>
            </w:tcMar>
            <w:vAlign w:val="center"/>
            <w:hideMark/>
          </w:tcPr>
          <w:p w14:paraId="0609FF1B" w14:textId="05E1370C"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8</w:t>
            </w:r>
          </w:p>
        </w:tc>
        <w:tc>
          <w:tcPr>
            <w:tcW w:w="518" w:type="pct"/>
            <w:tcBorders>
              <w:top w:val="nil"/>
              <w:left w:val="nil"/>
              <w:bottom w:val="nil"/>
              <w:right w:val="nil"/>
            </w:tcBorders>
            <w:tcMar>
              <w:top w:w="0" w:type="dxa"/>
              <w:left w:w="0" w:type="dxa"/>
              <w:bottom w:w="0" w:type="dxa"/>
              <w:right w:w="0" w:type="dxa"/>
            </w:tcMar>
            <w:vAlign w:val="center"/>
            <w:hideMark/>
          </w:tcPr>
          <w:p w14:paraId="488C6AC0" w14:textId="049D1FB1" w:rsidR="00510026" w:rsidRPr="00952173"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10.8</w:t>
            </w:r>
          </w:p>
        </w:tc>
        <w:tc>
          <w:tcPr>
            <w:tcW w:w="79" w:type="pct"/>
            <w:tcBorders>
              <w:top w:val="nil"/>
              <w:left w:val="nil"/>
              <w:bottom w:val="nil"/>
              <w:right w:val="nil"/>
            </w:tcBorders>
            <w:tcMar>
              <w:top w:w="0" w:type="dxa"/>
              <w:left w:w="0" w:type="dxa"/>
              <w:bottom w:w="0" w:type="dxa"/>
              <w:right w:w="0" w:type="dxa"/>
            </w:tcMar>
            <w:vAlign w:val="center"/>
            <w:hideMark/>
          </w:tcPr>
          <w:p w14:paraId="4DE82D94" w14:textId="3E7A7E38" w:rsidR="00510026" w:rsidRPr="00BA2B66" w:rsidRDefault="00510026" w:rsidP="00510026">
            <w:pPr>
              <w:spacing w:after="0" w:line="276" w:lineRule="auto"/>
              <w:jc w:val="right"/>
              <w:rPr>
                <w:rFonts w:ascii="Arial" w:eastAsia="Times New Roman" w:hAnsi="Arial" w:cs="Arial"/>
                <w:color w:val="FF0000"/>
                <w:sz w:val="16"/>
                <w:szCs w:val="16"/>
                <w:lang w:eastAsia="en-AU"/>
              </w:rPr>
            </w:pPr>
            <w:r>
              <w:rPr>
                <w:rFonts w:ascii="Arial" w:hAnsi="Arial" w:cs="Arial"/>
                <w:sz w:val="16"/>
                <w:szCs w:val="16"/>
              </w:rPr>
              <w:t> </w:t>
            </w:r>
          </w:p>
        </w:tc>
        <w:tc>
          <w:tcPr>
            <w:tcW w:w="543" w:type="pct"/>
            <w:tcBorders>
              <w:top w:val="nil"/>
              <w:left w:val="nil"/>
              <w:bottom w:val="nil"/>
              <w:right w:val="nil"/>
            </w:tcBorders>
            <w:tcMar>
              <w:top w:w="0" w:type="dxa"/>
              <w:left w:w="0" w:type="dxa"/>
              <w:bottom w:w="0" w:type="dxa"/>
              <w:right w:w="0" w:type="dxa"/>
            </w:tcMar>
            <w:vAlign w:val="center"/>
            <w:hideMark/>
          </w:tcPr>
          <w:p w14:paraId="5F295AD5" w14:textId="7C490B86"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544" w:type="pct"/>
            <w:tcBorders>
              <w:top w:val="nil"/>
              <w:left w:val="nil"/>
              <w:bottom w:val="nil"/>
              <w:right w:val="nil"/>
            </w:tcBorders>
            <w:tcMar>
              <w:top w:w="0" w:type="dxa"/>
              <w:left w:w="0" w:type="dxa"/>
              <w:bottom w:w="0" w:type="dxa"/>
              <w:right w:w="0" w:type="dxa"/>
            </w:tcMar>
            <w:vAlign w:val="center"/>
            <w:hideMark/>
          </w:tcPr>
          <w:p w14:paraId="508E95F0" w14:textId="194C0413"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0.0</w:t>
            </w:r>
          </w:p>
        </w:tc>
        <w:tc>
          <w:tcPr>
            <w:tcW w:w="76" w:type="pct"/>
            <w:tcBorders>
              <w:top w:val="nil"/>
              <w:left w:val="nil"/>
              <w:bottom w:val="nil"/>
              <w:right w:val="nil"/>
            </w:tcBorders>
            <w:tcMar>
              <w:top w:w="0" w:type="dxa"/>
              <w:left w:w="0" w:type="dxa"/>
              <w:bottom w:w="0" w:type="dxa"/>
              <w:right w:w="0" w:type="dxa"/>
            </w:tcMar>
            <w:vAlign w:val="center"/>
            <w:hideMark/>
          </w:tcPr>
          <w:p w14:paraId="091AFBFF" w14:textId="14451210"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83" w:type="pct"/>
            <w:tcBorders>
              <w:top w:val="nil"/>
              <w:left w:val="nil"/>
              <w:bottom w:val="nil"/>
              <w:right w:val="nil"/>
            </w:tcBorders>
            <w:tcMar>
              <w:top w:w="0" w:type="dxa"/>
              <w:left w:w="0" w:type="dxa"/>
              <w:bottom w:w="0" w:type="dxa"/>
              <w:right w:w="0" w:type="dxa"/>
            </w:tcMar>
            <w:vAlign w:val="bottom"/>
            <w:hideMark/>
          </w:tcPr>
          <w:p w14:paraId="6B421703" w14:textId="0D8C5410"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30</w:t>
            </w:r>
          </w:p>
        </w:tc>
        <w:tc>
          <w:tcPr>
            <w:tcW w:w="582" w:type="pct"/>
            <w:tcBorders>
              <w:top w:val="nil"/>
              <w:left w:val="nil"/>
              <w:bottom w:val="nil"/>
              <w:right w:val="nil"/>
            </w:tcBorders>
            <w:tcMar>
              <w:top w:w="0" w:type="dxa"/>
              <w:left w:w="0" w:type="dxa"/>
              <w:bottom w:w="0" w:type="dxa"/>
              <w:right w:w="0" w:type="dxa"/>
            </w:tcMar>
            <w:vAlign w:val="bottom"/>
            <w:hideMark/>
          </w:tcPr>
          <w:p w14:paraId="6179C2D4" w14:textId="16EEEC62"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1.4</w:t>
            </w:r>
          </w:p>
        </w:tc>
      </w:tr>
      <w:tr w:rsidR="00510026" w:rsidRPr="00617599" w14:paraId="56F40790" w14:textId="77777777" w:rsidTr="00744BEE">
        <w:trPr>
          <w:trHeight w:val="227"/>
          <w:tblCellSpacing w:w="0" w:type="dxa"/>
        </w:trPr>
        <w:tc>
          <w:tcPr>
            <w:tcW w:w="547" w:type="pct"/>
            <w:tcBorders>
              <w:top w:val="nil"/>
              <w:left w:val="nil"/>
              <w:bottom w:val="nil"/>
              <w:right w:val="nil"/>
            </w:tcBorders>
            <w:tcMar>
              <w:top w:w="0" w:type="dxa"/>
              <w:left w:w="0" w:type="dxa"/>
              <w:bottom w:w="0" w:type="dxa"/>
              <w:right w:w="0" w:type="dxa"/>
            </w:tcMar>
            <w:vAlign w:val="center"/>
            <w:hideMark/>
          </w:tcPr>
          <w:p w14:paraId="44AA5B3B" w14:textId="77777777" w:rsidR="00510026" w:rsidRPr="00617599" w:rsidRDefault="00510026" w:rsidP="00510026">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32-36 </w:t>
            </w:r>
          </w:p>
        </w:tc>
        <w:tc>
          <w:tcPr>
            <w:tcW w:w="468" w:type="pct"/>
            <w:tcBorders>
              <w:top w:val="nil"/>
              <w:left w:val="nil"/>
              <w:bottom w:val="nil"/>
              <w:right w:val="nil"/>
            </w:tcBorders>
            <w:tcMar>
              <w:top w:w="0" w:type="dxa"/>
              <w:left w:w="0" w:type="dxa"/>
              <w:bottom w:w="0" w:type="dxa"/>
              <w:right w:w="0" w:type="dxa"/>
            </w:tcMar>
            <w:vAlign w:val="center"/>
            <w:hideMark/>
          </w:tcPr>
          <w:p w14:paraId="567ABFD2" w14:textId="1D32E6F6"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112</w:t>
            </w:r>
          </w:p>
        </w:tc>
        <w:tc>
          <w:tcPr>
            <w:tcW w:w="467" w:type="pct"/>
            <w:tcBorders>
              <w:top w:val="nil"/>
              <w:left w:val="nil"/>
              <w:bottom w:val="nil"/>
              <w:right w:val="nil"/>
            </w:tcBorders>
            <w:tcMar>
              <w:top w:w="0" w:type="dxa"/>
              <w:left w:w="0" w:type="dxa"/>
              <w:bottom w:w="0" w:type="dxa"/>
              <w:right w:w="0" w:type="dxa"/>
            </w:tcMar>
            <w:vAlign w:val="center"/>
            <w:hideMark/>
          </w:tcPr>
          <w:p w14:paraId="3E1DCFE1" w14:textId="72DFEFCD"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5.6</w:t>
            </w:r>
          </w:p>
        </w:tc>
        <w:tc>
          <w:tcPr>
            <w:tcW w:w="76" w:type="pct"/>
            <w:tcBorders>
              <w:top w:val="nil"/>
              <w:left w:val="nil"/>
              <w:bottom w:val="nil"/>
              <w:right w:val="nil"/>
            </w:tcBorders>
            <w:tcMar>
              <w:top w:w="0" w:type="dxa"/>
              <w:left w:w="0" w:type="dxa"/>
              <w:bottom w:w="0" w:type="dxa"/>
              <w:right w:w="0" w:type="dxa"/>
            </w:tcMar>
            <w:vAlign w:val="center"/>
            <w:hideMark/>
          </w:tcPr>
          <w:p w14:paraId="18BCB67E" w14:textId="6EB838B9"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17" w:type="pct"/>
            <w:tcBorders>
              <w:top w:val="nil"/>
              <w:left w:val="nil"/>
              <w:bottom w:val="nil"/>
              <w:right w:val="nil"/>
            </w:tcBorders>
            <w:tcMar>
              <w:top w:w="0" w:type="dxa"/>
              <w:left w:w="0" w:type="dxa"/>
              <w:bottom w:w="0" w:type="dxa"/>
              <w:right w:w="0" w:type="dxa"/>
            </w:tcMar>
            <w:vAlign w:val="center"/>
            <w:hideMark/>
          </w:tcPr>
          <w:p w14:paraId="1AB1CBC1" w14:textId="0ACA73D9"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42</w:t>
            </w:r>
          </w:p>
        </w:tc>
        <w:tc>
          <w:tcPr>
            <w:tcW w:w="518" w:type="pct"/>
            <w:tcBorders>
              <w:top w:val="nil"/>
              <w:left w:val="nil"/>
              <w:bottom w:val="nil"/>
              <w:right w:val="nil"/>
            </w:tcBorders>
            <w:tcMar>
              <w:top w:w="0" w:type="dxa"/>
              <w:left w:w="0" w:type="dxa"/>
              <w:bottom w:w="0" w:type="dxa"/>
              <w:right w:w="0" w:type="dxa"/>
            </w:tcMar>
            <w:vAlign w:val="center"/>
            <w:hideMark/>
          </w:tcPr>
          <w:p w14:paraId="31E265A2" w14:textId="6EE7BD67" w:rsidR="00510026" w:rsidRPr="00952173"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56.8</w:t>
            </w:r>
          </w:p>
        </w:tc>
        <w:tc>
          <w:tcPr>
            <w:tcW w:w="79" w:type="pct"/>
            <w:tcBorders>
              <w:top w:val="nil"/>
              <w:left w:val="nil"/>
              <w:bottom w:val="nil"/>
              <w:right w:val="nil"/>
            </w:tcBorders>
            <w:tcMar>
              <w:top w:w="0" w:type="dxa"/>
              <w:left w:w="0" w:type="dxa"/>
              <w:bottom w:w="0" w:type="dxa"/>
              <w:right w:w="0" w:type="dxa"/>
            </w:tcMar>
            <w:vAlign w:val="center"/>
            <w:hideMark/>
          </w:tcPr>
          <w:p w14:paraId="5561CC5F" w14:textId="3C219196" w:rsidR="00510026" w:rsidRPr="00BA2B66" w:rsidRDefault="00510026" w:rsidP="00510026">
            <w:pPr>
              <w:spacing w:after="0" w:line="276" w:lineRule="auto"/>
              <w:jc w:val="right"/>
              <w:rPr>
                <w:rFonts w:ascii="Arial" w:eastAsia="Times New Roman" w:hAnsi="Arial" w:cs="Arial"/>
                <w:color w:val="FF0000"/>
                <w:sz w:val="16"/>
                <w:szCs w:val="16"/>
                <w:lang w:eastAsia="en-AU"/>
              </w:rPr>
            </w:pPr>
            <w:r>
              <w:rPr>
                <w:rFonts w:ascii="Arial" w:hAnsi="Arial" w:cs="Arial"/>
                <w:sz w:val="16"/>
                <w:szCs w:val="16"/>
              </w:rPr>
              <w:t> </w:t>
            </w:r>
          </w:p>
        </w:tc>
        <w:tc>
          <w:tcPr>
            <w:tcW w:w="543" w:type="pct"/>
            <w:tcBorders>
              <w:top w:val="nil"/>
              <w:left w:val="nil"/>
              <w:bottom w:val="nil"/>
              <w:right w:val="nil"/>
            </w:tcBorders>
            <w:tcMar>
              <w:top w:w="0" w:type="dxa"/>
              <w:left w:w="0" w:type="dxa"/>
              <w:bottom w:w="0" w:type="dxa"/>
              <w:right w:w="0" w:type="dxa"/>
            </w:tcMar>
            <w:vAlign w:val="center"/>
            <w:hideMark/>
          </w:tcPr>
          <w:p w14:paraId="23EA2E28" w14:textId="6EDB0620"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544" w:type="pct"/>
            <w:tcBorders>
              <w:top w:val="nil"/>
              <w:left w:val="nil"/>
              <w:bottom w:val="nil"/>
              <w:right w:val="nil"/>
            </w:tcBorders>
            <w:tcMar>
              <w:top w:w="0" w:type="dxa"/>
              <w:left w:w="0" w:type="dxa"/>
              <w:bottom w:w="0" w:type="dxa"/>
              <w:right w:w="0" w:type="dxa"/>
            </w:tcMar>
            <w:vAlign w:val="center"/>
            <w:hideMark/>
          </w:tcPr>
          <w:p w14:paraId="69F97F9B" w14:textId="6386E346"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0.0</w:t>
            </w:r>
          </w:p>
        </w:tc>
        <w:tc>
          <w:tcPr>
            <w:tcW w:w="76" w:type="pct"/>
            <w:tcBorders>
              <w:top w:val="nil"/>
              <w:left w:val="nil"/>
              <w:bottom w:val="nil"/>
              <w:right w:val="nil"/>
            </w:tcBorders>
            <w:tcMar>
              <w:top w:w="0" w:type="dxa"/>
              <w:left w:w="0" w:type="dxa"/>
              <w:bottom w:w="0" w:type="dxa"/>
              <w:right w:w="0" w:type="dxa"/>
            </w:tcMar>
            <w:vAlign w:val="center"/>
            <w:hideMark/>
          </w:tcPr>
          <w:p w14:paraId="23A15DAA" w14:textId="48C9D2C4"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83" w:type="pct"/>
            <w:tcBorders>
              <w:top w:val="nil"/>
              <w:left w:val="nil"/>
              <w:bottom w:val="nil"/>
              <w:right w:val="nil"/>
            </w:tcBorders>
            <w:tcMar>
              <w:top w:w="0" w:type="dxa"/>
              <w:left w:w="0" w:type="dxa"/>
              <w:bottom w:w="0" w:type="dxa"/>
              <w:right w:w="0" w:type="dxa"/>
            </w:tcMar>
            <w:vAlign w:val="bottom"/>
            <w:hideMark/>
          </w:tcPr>
          <w:p w14:paraId="0092FC02" w14:textId="0281A629"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154</w:t>
            </w:r>
          </w:p>
        </w:tc>
        <w:tc>
          <w:tcPr>
            <w:tcW w:w="582" w:type="pct"/>
            <w:tcBorders>
              <w:top w:val="nil"/>
              <w:left w:val="nil"/>
              <w:bottom w:val="nil"/>
              <w:right w:val="nil"/>
            </w:tcBorders>
            <w:tcMar>
              <w:top w:w="0" w:type="dxa"/>
              <w:left w:w="0" w:type="dxa"/>
              <w:bottom w:w="0" w:type="dxa"/>
              <w:right w:w="0" w:type="dxa"/>
            </w:tcMar>
            <w:vAlign w:val="bottom"/>
            <w:hideMark/>
          </w:tcPr>
          <w:p w14:paraId="21DA8383" w14:textId="46235EC6"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7.4</w:t>
            </w:r>
          </w:p>
        </w:tc>
      </w:tr>
      <w:tr w:rsidR="00510026" w:rsidRPr="00617599" w14:paraId="5C7C2042" w14:textId="77777777" w:rsidTr="009E4E52">
        <w:trPr>
          <w:trHeight w:val="227"/>
          <w:tblCellSpacing w:w="0" w:type="dxa"/>
        </w:trPr>
        <w:tc>
          <w:tcPr>
            <w:tcW w:w="547" w:type="pct"/>
            <w:tcBorders>
              <w:top w:val="nil"/>
              <w:left w:val="nil"/>
              <w:bottom w:val="nil"/>
              <w:right w:val="nil"/>
            </w:tcBorders>
            <w:tcMar>
              <w:top w:w="0" w:type="dxa"/>
              <w:left w:w="0" w:type="dxa"/>
              <w:bottom w:w="0" w:type="dxa"/>
              <w:right w:w="0" w:type="dxa"/>
            </w:tcMar>
            <w:vAlign w:val="center"/>
            <w:hideMark/>
          </w:tcPr>
          <w:p w14:paraId="6AD315E2" w14:textId="77777777" w:rsidR="00510026" w:rsidRPr="00617599" w:rsidRDefault="00510026" w:rsidP="00510026">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37 </w:t>
            </w:r>
          </w:p>
        </w:tc>
        <w:tc>
          <w:tcPr>
            <w:tcW w:w="468" w:type="pct"/>
            <w:tcBorders>
              <w:top w:val="nil"/>
              <w:left w:val="nil"/>
              <w:bottom w:val="nil"/>
              <w:right w:val="nil"/>
            </w:tcBorders>
            <w:tcMar>
              <w:top w:w="0" w:type="dxa"/>
              <w:left w:w="0" w:type="dxa"/>
              <w:bottom w:w="0" w:type="dxa"/>
              <w:right w:w="0" w:type="dxa"/>
            </w:tcMar>
            <w:vAlign w:val="bottom"/>
            <w:hideMark/>
          </w:tcPr>
          <w:p w14:paraId="3EFB7D48" w14:textId="4C08EFE7"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1,837</w:t>
            </w:r>
          </w:p>
        </w:tc>
        <w:tc>
          <w:tcPr>
            <w:tcW w:w="467" w:type="pct"/>
            <w:tcBorders>
              <w:top w:val="nil"/>
              <w:left w:val="nil"/>
              <w:bottom w:val="nil"/>
              <w:right w:val="nil"/>
            </w:tcBorders>
            <w:tcMar>
              <w:top w:w="0" w:type="dxa"/>
              <w:left w:w="0" w:type="dxa"/>
              <w:bottom w:w="0" w:type="dxa"/>
              <w:right w:w="0" w:type="dxa"/>
            </w:tcMar>
            <w:vAlign w:val="bottom"/>
            <w:hideMark/>
          </w:tcPr>
          <w:p w14:paraId="51020880" w14:textId="2665C52C"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91.8</w:t>
            </w:r>
          </w:p>
        </w:tc>
        <w:tc>
          <w:tcPr>
            <w:tcW w:w="76" w:type="pct"/>
            <w:tcBorders>
              <w:top w:val="nil"/>
              <w:left w:val="nil"/>
              <w:bottom w:val="nil"/>
              <w:right w:val="nil"/>
            </w:tcBorders>
            <w:tcMar>
              <w:top w:w="0" w:type="dxa"/>
              <w:left w:w="0" w:type="dxa"/>
              <w:bottom w:w="0" w:type="dxa"/>
              <w:right w:w="0" w:type="dxa"/>
            </w:tcMar>
            <w:vAlign w:val="bottom"/>
            <w:hideMark/>
          </w:tcPr>
          <w:p w14:paraId="560CEC11" w14:textId="25418188"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17" w:type="pct"/>
            <w:tcBorders>
              <w:top w:val="nil"/>
              <w:left w:val="nil"/>
              <w:bottom w:val="nil"/>
              <w:right w:val="nil"/>
            </w:tcBorders>
            <w:tcMar>
              <w:top w:w="0" w:type="dxa"/>
              <w:left w:w="0" w:type="dxa"/>
              <w:bottom w:w="0" w:type="dxa"/>
              <w:right w:w="0" w:type="dxa"/>
            </w:tcMar>
            <w:vAlign w:val="bottom"/>
            <w:hideMark/>
          </w:tcPr>
          <w:p w14:paraId="48C932A6" w14:textId="56E8C61E"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20</w:t>
            </w:r>
          </w:p>
        </w:tc>
        <w:tc>
          <w:tcPr>
            <w:tcW w:w="518" w:type="pct"/>
            <w:tcBorders>
              <w:top w:val="nil"/>
              <w:left w:val="nil"/>
              <w:bottom w:val="nil"/>
              <w:right w:val="nil"/>
            </w:tcBorders>
            <w:tcMar>
              <w:top w:w="0" w:type="dxa"/>
              <w:left w:w="0" w:type="dxa"/>
              <w:bottom w:w="0" w:type="dxa"/>
              <w:right w:w="0" w:type="dxa"/>
            </w:tcMar>
            <w:vAlign w:val="bottom"/>
            <w:hideMark/>
          </w:tcPr>
          <w:p w14:paraId="69A8E86A" w14:textId="53E4F8ED"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27.0</w:t>
            </w:r>
          </w:p>
        </w:tc>
        <w:tc>
          <w:tcPr>
            <w:tcW w:w="79" w:type="pct"/>
            <w:tcBorders>
              <w:top w:val="nil"/>
              <w:left w:val="nil"/>
              <w:bottom w:val="nil"/>
              <w:right w:val="nil"/>
            </w:tcBorders>
            <w:tcMar>
              <w:top w:w="0" w:type="dxa"/>
              <w:left w:w="0" w:type="dxa"/>
              <w:bottom w:w="0" w:type="dxa"/>
              <w:right w:w="0" w:type="dxa"/>
            </w:tcMar>
            <w:vAlign w:val="bottom"/>
            <w:hideMark/>
          </w:tcPr>
          <w:p w14:paraId="0FE909BF" w14:textId="00262D23"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43" w:type="pct"/>
            <w:tcBorders>
              <w:top w:val="nil"/>
              <w:left w:val="nil"/>
              <w:bottom w:val="nil"/>
              <w:right w:val="nil"/>
            </w:tcBorders>
            <w:tcMar>
              <w:top w:w="0" w:type="dxa"/>
              <w:left w:w="0" w:type="dxa"/>
              <w:bottom w:w="0" w:type="dxa"/>
              <w:right w:w="0" w:type="dxa"/>
            </w:tcMar>
            <w:vAlign w:val="bottom"/>
            <w:hideMark/>
          </w:tcPr>
          <w:p w14:paraId="7A2792B0" w14:textId="539E5215"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0</w:t>
            </w:r>
          </w:p>
        </w:tc>
        <w:tc>
          <w:tcPr>
            <w:tcW w:w="544" w:type="pct"/>
            <w:tcBorders>
              <w:top w:val="nil"/>
              <w:left w:val="nil"/>
              <w:bottom w:val="nil"/>
              <w:right w:val="nil"/>
            </w:tcBorders>
            <w:tcMar>
              <w:top w:w="0" w:type="dxa"/>
              <w:left w:w="0" w:type="dxa"/>
              <w:bottom w:w="0" w:type="dxa"/>
              <w:right w:w="0" w:type="dxa"/>
            </w:tcMar>
            <w:vAlign w:val="bottom"/>
            <w:hideMark/>
          </w:tcPr>
          <w:p w14:paraId="5B3373E1" w14:textId="7BBFDC93"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0.0</w:t>
            </w:r>
          </w:p>
        </w:tc>
        <w:tc>
          <w:tcPr>
            <w:tcW w:w="76" w:type="pct"/>
            <w:tcBorders>
              <w:top w:val="nil"/>
              <w:left w:val="nil"/>
              <w:bottom w:val="nil"/>
              <w:right w:val="nil"/>
            </w:tcBorders>
            <w:tcMar>
              <w:top w:w="0" w:type="dxa"/>
              <w:left w:w="0" w:type="dxa"/>
              <w:bottom w:w="0" w:type="dxa"/>
              <w:right w:w="0" w:type="dxa"/>
            </w:tcMar>
            <w:vAlign w:val="bottom"/>
            <w:hideMark/>
          </w:tcPr>
          <w:p w14:paraId="5FF16803" w14:textId="0A7DDFAD"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 </w:t>
            </w:r>
          </w:p>
        </w:tc>
        <w:tc>
          <w:tcPr>
            <w:tcW w:w="583" w:type="pct"/>
            <w:tcBorders>
              <w:top w:val="nil"/>
              <w:left w:val="nil"/>
              <w:bottom w:val="nil"/>
              <w:right w:val="nil"/>
            </w:tcBorders>
            <w:tcMar>
              <w:top w:w="0" w:type="dxa"/>
              <w:left w:w="0" w:type="dxa"/>
              <w:bottom w:w="0" w:type="dxa"/>
              <w:right w:w="0" w:type="dxa"/>
            </w:tcMar>
            <w:vAlign w:val="bottom"/>
            <w:hideMark/>
          </w:tcPr>
          <w:p w14:paraId="4B301CCC" w14:textId="180167B3"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1,857</w:t>
            </w:r>
          </w:p>
        </w:tc>
        <w:tc>
          <w:tcPr>
            <w:tcW w:w="582" w:type="pct"/>
            <w:tcBorders>
              <w:top w:val="nil"/>
              <w:left w:val="nil"/>
              <w:bottom w:val="nil"/>
              <w:right w:val="nil"/>
            </w:tcBorders>
            <w:tcMar>
              <w:top w:w="0" w:type="dxa"/>
              <w:left w:w="0" w:type="dxa"/>
              <w:bottom w:w="0" w:type="dxa"/>
              <w:right w:w="0" w:type="dxa"/>
            </w:tcMar>
            <w:vAlign w:val="bottom"/>
            <w:hideMark/>
          </w:tcPr>
          <w:p w14:paraId="0FCD928F" w14:textId="14563314" w:rsidR="00510026" w:rsidRPr="00BA4B54" w:rsidRDefault="00510026" w:rsidP="00510026">
            <w:pPr>
              <w:spacing w:after="0" w:line="276" w:lineRule="auto"/>
              <w:jc w:val="right"/>
              <w:rPr>
                <w:rFonts w:ascii="Arial" w:eastAsia="Times New Roman" w:hAnsi="Arial" w:cs="Arial"/>
                <w:sz w:val="16"/>
                <w:szCs w:val="16"/>
                <w:lang w:eastAsia="en-AU"/>
              </w:rPr>
            </w:pPr>
            <w:r>
              <w:rPr>
                <w:rFonts w:ascii="Arial" w:hAnsi="Arial" w:cs="Arial"/>
                <w:sz w:val="16"/>
                <w:szCs w:val="16"/>
              </w:rPr>
              <w:t>89.5</w:t>
            </w:r>
          </w:p>
        </w:tc>
      </w:tr>
      <w:tr w:rsidR="0054730B" w:rsidRPr="00617599" w14:paraId="415E6514" w14:textId="77777777" w:rsidTr="009E4E52">
        <w:trPr>
          <w:trHeight w:val="227"/>
          <w:tblCellSpacing w:w="0" w:type="dxa"/>
        </w:trPr>
        <w:tc>
          <w:tcPr>
            <w:tcW w:w="547" w:type="pct"/>
            <w:tcBorders>
              <w:top w:val="nil"/>
              <w:left w:val="nil"/>
              <w:bottom w:val="single" w:sz="12" w:space="0" w:color="000000"/>
              <w:right w:val="nil"/>
            </w:tcBorders>
            <w:tcMar>
              <w:top w:w="0" w:type="dxa"/>
              <w:left w:w="0" w:type="dxa"/>
              <w:bottom w:w="28" w:type="dxa"/>
              <w:right w:w="0" w:type="dxa"/>
            </w:tcMar>
            <w:vAlign w:val="center"/>
            <w:hideMark/>
          </w:tcPr>
          <w:p w14:paraId="20EE798B" w14:textId="77777777" w:rsidR="0054730B" w:rsidRPr="00087467" w:rsidRDefault="0054730B" w:rsidP="0054730B">
            <w:pPr>
              <w:spacing w:after="0" w:line="276" w:lineRule="auto"/>
              <w:rPr>
                <w:rFonts w:ascii="Arial" w:eastAsia="Times New Roman" w:hAnsi="Arial" w:cs="Arial"/>
                <w:b/>
                <w:sz w:val="16"/>
                <w:szCs w:val="16"/>
                <w:lang w:eastAsia="en-AU"/>
              </w:rPr>
            </w:pPr>
            <w:r w:rsidRPr="00087467">
              <w:rPr>
                <w:rFonts w:ascii="Arial" w:eastAsia="Times New Roman" w:hAnsi="Arial" w:cs="Arial"/>
                <w:b/>
                <w:sz w:val="16"/>
                <w:szCs w:val="16"/>
                <w:lang w:eastAsia="en-AU"/>
              </w:rPr>
              <w:t xml:space="preserve">Total </w:t>
            </w:r>
          </w:p>
        </w:tc>
        <w:tc>
          <w:tcPr>
            <w:tcW w:w="468" w:type="pct"/>
            <w:tcBorders>
              <w:top w:val="nil"/>
              <w:left w:val="nil"/>
              <w:bottom w:val="single" w:sz="12" w:space="0" w:color="000000"/>
              <w:right w:val="nil"/>
            </w:tcBorders>
            <w:tcMar>
              <w:top w:w="0" w:type="dxa"/>
              <w:left w:w="0" w:type="dxa"/>
              <w:bottom w:w="28" w:type="dxa"/>
              <w:right w:w="0" w:type="dxa"/>
            </w:tcMar>
            <w:vAlign w:val="bottom"/>
            <w:hideMark/>
          </w:tcPr>
          <w:p w14:paraId="77B97CBE" w14:textId="5A76C8C5" w:rsidR="0054730B" w:rsidRPr="00BA4B54" w:rsidRDefault="00510026" w:rsidP="0054730B">
            <w:pPr>
              <w:spacing w:after="0" w:line="276" w:lineRule="auto"/>
              <w:jc w:val="right"/>
              <w:rPr>
                <w:rFonts w:ascii="Arial" w:eastAsia="Times New Roman" w:hAnsi="Arial" w:cs="Arial"/>
                <w:b/>
                <w:sz w:val="16"/>
                <w:szCs w:val="16"/>
                <w:lang w:eastAsia="en-AU"/>
              </w:rPr>
            </w:pPr>
            <w:r>
              <w:rPr>
                <w:rFonts w:ascii="Arial" w:eastAsia="Times New Roman" w:hAnsi="Arial" w:cs="Arial"/>
                <w:b/>
                <w:bCs/>
                <w:sz w:val="16"/>
                <w:szCs w:val="16"/>
                <w:lang w:eastAsia="en-AU"/>
              </w:rPr>
              <w:t>2,011</w:t>
            </w:r>
          </w:p>
        </w:tc>
        <w:tc>
          <w:tcPr>
            <w:tcW w:w="467" w:type="pct"/>
            <w:tcBorders>
              <w:top w:val="nil"/>
              <w:left w:val="nil"/>
              <w:bottom w:val="single" w:sz="12" w:space="0" w:color="000000"/>
              <w:right w:val="nil"/>
            </w:tcBorders>
            <w:tcMar>
              <w:top w:w="0" w:type="dxa"/>
              <w:left w:w="0" w:type="dxa"/>
              <w:bottom w:w="28" w:type="dxa"/>
              <w:right w:w="0" w:type="dxa"/>
            </w:tcMar>
            <w:vAlign w:val="bottom"/>
            <w:hideMark/>
          </w:tcPr>
          <w:p w14:paraId="21F38E85" w14:textId="4738154A" w:rsidR="0054730B" w:rsidRPr="00BA4B54" w:rsidRDefault="0054730B" w:rsidP="0054730B">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76" w:type="pct"/>
            <w:tcBorders>
              <w:top w:val="nil"/>
              <w:left w:val="nil"/>
              <w:bottom w:val="single" w:sz="12" w:space="0" w:color="000000"/>
              <w:right w:val="nil"/>
            </w:tcBorders>
            <w:tcMar>
              <w:top w:w="0" w:type="dxa"/>
              <w:left w:w="0" w:type="dxa"/>
              <w:bottom w:w="28" w:type="dxa"/>
              <w:right w:w="0" w:type="dxa"/>
            </w:tcMar>
            <w:vAlign w:val="bottom"/>
            <w:hideMark/>
          </w:tcPr>
          <w:p w14:paraId="17AF43C9" w14:textId="4D95A1E8" w:rsidR="0054730B" w:rsidRPr="00BA4B54" w:rsidRDefault="0054730B" w:rsidP="0054730B">
            <w:pPr>
              <w:spacing w:after="0" w:line="276" w:lineRule="auto"/>
              <w:jc w:val="right"/>
              <w:rPr>
                <w:rFonts w:ascii="Arial" w:eastAsia="Times New Roman" w:hAnsi="Arial" w:cs="Arial"/>
                <w:b/>
                <w:sz w:val="16"/>
                <w:szCs w:val="16"/>
                <w:lang w:eastAsia="en-AU"/>
              </w:rPr>
            </w:pPr>
            <w:r>
              <w:rPr>
                <w:rFonts w:ascii="Arial" w:hAnsi="Arial" w:cs="Arial"/>
                <w:sz w:val="16"/>
                <w:szCs w:val="16"/>
              </w:rPr>
              <w:t> </w:t>
            </w:r>
          </w:p>
        </w:tc>
        <w:tc>
          <w:tcPr>
            <w:tcW w:w="517" w:type="pct"/>
            <w:tcBorders>
              <w:top w:val="nil"/>
              <w:left w:val="nil"/>
              <w:bottom w:val="single" w:sz="12" w:space="0" w:color="000000"/>
              <w:right w:val="nil"/>
            </w:tcBorders>
            <w:tcMar>
              <w:top w:w="0" w:type="dxa"/>
              <w:left w:w="0" w:type="dxa"/>
              <w:bottom w:w="28" w:type="dxa"/>
              <w:right w:w="0" w:type="dxa"/>
            </w:tcMar>
            <w:vAlign w:val="bottom"/>
            <w:hideMark/>
          </w:tcPr>
          <w:p w14:paraId="39C823BA" w14:textId="0647E9C1" w:rsidR="0054730B" w:rsidRPr="00BA4B54" w:rsidRDefault="00510026" w:rsidP="0054730B">
            <w:pPr>
              <w:spacing w:after="0" w:line="276" w:lineRule="auto"/>
              <w:jc w:val="right"/>
              <w:rPr>
                <w:rFonts w:ascii="Arial" w:eastAsia="Times New Roman" w:hAnsi="Arial" w:cs="Arial"/>
                <w:b/>
                <w:sz w:val="16"/>
                <w:szCs w:val="16"/>
                <w:lang w:eastAsia="en-AU"/>
              </w:rPr>
            </w:pPr>
            <w:r>
              <w:rPr>
                <w:rFonts w:ascii="Arial" w:eastAsia="Times New Roman" w:hAnsi="Arial" w:cs="Arial"/>
                <w:b/>
                <w:sz w:val="16"/>
                <w:szCs w:val="16"/>
                <w:lang w:eastAsia="en-AU"/>
              </w:rPr>
              <w:t>74</w:t>
            </w:r>
          </w:p>
        </w:tc>
        <w:tc>
          <w:tcPr>
            <w:tcW w:w="518" w:type="pct"/>
            <w:tcBorders>
              <w:top w:val="nil"/>
              <w:left w:val="nil"/>
              <w:bottom w:val="single" w:sz="12" w:space="0" w:color="000000"/>
              <w:right w:val="nil"/>
            </w:tcBorders>
            <w:tcMar>
              <w:top w:w="0" w:type="dxa"/>
              <w:left w:w="0" w:type="dxa"/>
              <w:bottom w:w="28" w:type="dxa"/>
              <w:right w:w="0" w:type="dxa"/>
            </w:tcMar>
            <w:vAlign w:val="bottom"/>
            <w:hideMark/>
          </w:tcPr>
          <w:p w14:paraId="4E0F68C4" w14:textId="43D04803" w:rsidR="0054730B" w:rsidRPr="00BA4B54" w:rsidRDefault="0054730B" w:rsidP="0054730B">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79" w:type="pct"/>
            <w:tcBorders>
              <w:top w:val="nil"/>
              <w:left w:val="nil"/>
              <w:bottom w:val="single" w:sz="12" w:space="0" w:color="000000"/>
              <w:right w:val="nil"/>
            </w:tcBorders>
            <w:tcMar>
              <w:top w:w="0" w:type="dxa"/>
              <w:left w:w="0" w:type="dxa"/>
              <w:bottom w:w="28" w:type="dxa"/>
              <w:right w:w="0" w:type="dxa"/>
            </w:tcMar>
            <w:vAlign w:val="bottom"/>
            <w:hideMark/>
          </w:tcPr>
          <w:p w14:paraId="40330B02" w14:textId="286778F0" w:rsidR="0054730B" w:rsidRPr="00BA4B54" w:rsidRDefault="0054730B" w:rsidP="0054730B">
            <w:pPr>
              <w:spacing w:after="0" w:line="276" w:lineRule="auto"/>
              <w:jc w:val="right"/>
              <w:rPr>
                <w:rFonts w:ascii="Arial" w:eastAsia="Times New Roman" w:hAnsi="Arial" w:cs="Arial"/>
                <w:b/>
                <w:sz w:val="16"/>
                <w:szCs w:val="16"/>
                <w:lang w:eastAsia="en-AU"/>
              </w:rPr>
            </w:pPr>
            <w:r>
              <w:rPr>
                <w:rFonts w:ascii="Arial" w:hAnsi="Arial" w:cs="Arial"/>
                <w:sz w:val="16"/>
                <w:szCs w:val="16"/>
              </w:rPr>
              <w:t> </w:t>
            </w:r>
          </w:p>
        </w:tc>
        <w:tc>
          <w:tcPr>
            <w:tcW w:w="543" w:type="pct"/>
            <w:tcBorders>
              <w:top w:val="nil"/>
              <w:left w:val="nil"/>
              <w:bottom w:val="single" w:sz="12" w:space="0" w:color="000000"/>
              <w:right w:val="nil"/>
            </w:tcBorders>
            <w:tcMar>
              <w:top w:w="0" w:type="dxa"/>
              <w:left w:w="0" w:type="dxa"/>
              <w:bottom w:w="28" w:type="dxa"/>
              <w:right w:w="0" w:type="dxa"/>
            </w:tcMar>
            <w:vAlign w:val="bottom"/>
            <w:hideMark/>
          </w:tcPr>
          <w:p w14:paraId="013A2379" w14:textId="24976941" w:rsidR="0054730B" w:rsidRPr="00BA4B54" w:rsidRDefault="0054730B" w:rsidP="0054730B">
            <w:pPr>
              <w:spacing w:after="0" w:line="276" w:lineRule="auto"/>
              <w:jc w:val="right"/>
              <w:rPr>
                <w:rFonts w:ascii="Arial" w:eastAsia="Times New Roman" w:hAnsi="Arial" w:cs="Arial"/>
                <w:b/>
                <w:sz w:val="16"/>
                <w:szCs w:val="16"/>
                <w:lang w:eastAsia="en-AU"/>
              </w:rPr>
            </w:pPr>
            <w:r>
              <w:rPr>
                <w:rFonts w:ascii="Arial" w:hAnsi="Arial" w:cs="Arial"/>
                <w:b/>
                <w:bCs/>
                <w:color w:val="000000"/>
                <w:sz w:val="16"/>
                <w:szCs w:val="16"/>
              </w:rPr>
              <w:t>0</w:t>
            </w:r>
          </w:p>
        </w:tc>
        <w:tc>
          <w:tcPr>
            <w:tcW w:w="544" w:type="pct"/>
            <w:tcBorders>
              <w:top w:val="nil"/>
              <w:left w:val="nil"/>
              <w:bottom w:val="single" w:sz="12" w:space="0" w:color="000000"/>
              <w:right w:val="nil"/>
            </w:tcBorders>
            <w:tcMar>
              <w:top w:w="0" w:type="dxa"/>
              <w:left w:w="0" w:type="dxa"/>
              <w:bottom w:w="28" w:type="dxa"/>
              <w:right w:w="0" w:type="dxa"/>
            </w:tcMar>
            <w:vAlign w:val="bottom"/>
            <w:hideMark/>
          </w:tcPr>
          <w:p w14:paraId="2E6F80F8" w14:textId="5FADA2D3" w:rsidR="0054730B" w:rsidRPr="00BA4B54" w:rsidRDefault="0054730B" w:rsidP="0054730B">
            <w:pPr>
              <w:spacing w:after="0" w:line="276" w:lineRule="auto"/>
              <w:jc w:val="right"/>
              <w:rPr>
                <w:rFonts w:ascii="Arial" w:eastAsia="Times New Roman" w:hAnsi="Arial" w:cs="Arial"/>
                <w:b/>
                <w:sz w:val="16"/>
                <w:szCs w:val="16"/>
                <w:lang w:eastAsia="en-AU"/>
              </w:rPr>
            </w:pPr>
            <w:r>
              <w:rPr>
                <w:rFonts w:ascii="Arial" w:hAnsi="Arial" w:cs="Arial"/>
                <w:b/>
                <w:bCs/>
                <w:sz w:val="16"/>
                <w:szCs w:val="16"/>
              </w:rPr>
              <w:t>0.0</w:t>
            </w:r>
          </w:p>
        </w:tc>
        <w:tc>
          <w:tcPr>
            <w:tcW w:w="76" w:type="pct"/>
            <w:tcBorders>
              <w:top w:val="nil"/>
              <w:left w:val="nil"/>
              <w:bottom w:val="single" w:sz="12" w:space="0" w:color="000000"/>
              <w:right w:val="nil"/>
            </w:tcBorders>
            <w:tcMar>
              <w:top w:w="0" w:type="dxa"/>
              <w:left w:w="0" w:type="dxa"/>
              <w:bottom w:w="28" w:type="dxa"/>
              <w:right w:w="0" w:type="dxa"/>
            </w:tcMar>
            <w:vAlign w:val="bottom"/>
            <w:hideMark/>
          </w:tcPr>
          <w:p w14:paraId="06B383CA" w14:textId="234C6C0B" w:rsidR="0054730B" w:rsidRPr="00BA4B54" w:rsidRDefault="0054730B" w:rsidP="0054730B">
            <w:pPr>
              <w:spacing w:after="0" w:line="276" w:lineRule="auto"/>
              <w:jc w:val="right"/>
              <w:rPr>
                <w:rFonts w:ascii="Arial" w:eastAsia="Times New Roman" w:hAnsi="Arial" w:cs="Arial"/>
                <w:b/>
                <w:sz w:val="16"/>
                <w:szCs w:val="16"/>
                <w:lang w:eastAsia="en-AU"/>
              </w:rPr>
            </w:pPr>
            <w:r>
              <w:rPr>
                <w:rFonts w:ascii="Arial" w:hAnsi="Arial" w:cs="Arial"/>
                <w:sz w:val="16"/>
                <w:szCs w:val="16"/>
              </w:rPr>
              <w:t> </w:t>
            </w:r>
          </w:p>
        </w:tc>
        <w:tc>
          <w:tcPr>
            <w:tcW w:w="583" w:type="pct"/>
            <w:tcBorders>
              <w:top w:val="nil"/>
              <w:left w:val="nil"/>
              <w:bottom w:val="single" w:sz="12" w:space="0" w:color="000000"/>
              <w:right w:val="nil"/>
            </w:tcBorders>
            <w:tcMar>
              <w:top w:w="0" w:type="dxa"/>
              <w:left w:w="0" w:type="dxa"/>
              <w:bottom w:w="28" w:type="dxa"/>
              <w:right w:w="0" w:type="dxa"/>
            </w:tcMar>
            <w:vAlign w:val="bottom"/>
            <w:hideMark/>
          </w:tcPr>
          <w:p w14:paraId="2FD38542" w14:textId="6CC35E03" w:rsidR="0054730B" w:rsidRPr="00BA4B54" w:rsidRDefault="0054730B" w:rsidP="0054730B">
            <w:pPr>
              <w:spacing w:after="0" w:line="276" w:lineRule="auto"/>
              <w:jc w:val="right"/>
              <w:rPr>
                <w:rFonts w:ascii="Arial" w:eastAsia="Times New Roman" w:hAnsi="Arial" w:cs="Arial"/>
                <w:b/>
                <w:sz w:val="16"/>
                <w:szCs w:val="16"/>
                <w:lang w:eastAsia="en-AU"/>
              </w:rPr>
            </w:pPr>
            <w:r>
              <w:rPr>
                <w:rFonts w:ascii="Arial" w:hAnsi="Arial" w:cs="Arial"/>
                <w:b/>
                <w:bCs/>
                <w:color w:val="000000"/>
                <w:sz w:val="16"/>
                <w:szCs w:val="16"/>
              </w:rPr>
              <w:t>2,0</w:t>
            </w:r>
            <w:r w:rsidR="00510026">
              <w:rPr>
                <w:rFonts w:ascii="Arial" w:hAnsi="Arial" w:cs="Arial"/>
                <w:b/>
                <w:bCs/>
                <w:color w:val="000000"/>
                <w:sz w:val="16"/>
                <w:szCs w:val="16"/>
              </w:rPr>
              <w:t>7</w:t>
            </w:r>
            <w:r>
              <w:rPr>
                <w:rFonts w:ascii="Arial" w:hAnsi="Arial" w:cs="Arial"/>
                <w:b/>
                <w:bCs/>
                <w:color w:val="000000"/>
                <w:sz w:val="16"/>
                <w:szCs w:val="16"/>
              </w:rPr>
              <w:t>5</w:t>
            </w:r>
          </w:p>
        </w:tc>
        <w:tc>
          <w:tcPr>
            <w:tcW w:w="582" w:type="pct"/>
            <w:tcBorders>
              <w:top w:val="nil"/>
              <w:left w:val="nil"/>
              <w:bottom w:val="single" w:sz="12" w:space="0" w:color="000000"/>
              <w:right w:val="nil"/>
            </w:tcBorders>
            <w:tcMar>
              <w:top w:w="0" w:type="dxa"/>
              <w:left w:w="0" w:type="dxa"/>
              <w:bottom w:w="28" w:type="dxa"/>
              <w:right w:w="0" w:type="dxa"/>
            </w:tcMar>
            <w:vAlign w:val="bottom"/>
            <w:hideMark/>
          </w:tcPr>
          <w:p w14:paraId="60ABFEE4" w14:textId="4B756485" w:rsidR="0054730B" w:rsidRPr="00BA4B54" w:rsidRDefault="0054730B" w:rsidP="0054730B">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r>
    </w:tbl>
    <w:p w14:paraId="5D58962B" w14:textId="77777777" w:rsidR="009303CD" w:rsidRPr="00617599" w:rsidRDefault="009303CD" w:rsidP="009303CD">
      <w:pPr>
        <w:spacing w:after="0" w:line="240" w:lineRule="auto"/>
        <w:rPr>
          <w:rFonts w:ascii="Arial" w:hAnsi="Arial" w:cs="Arial"/>
          <w:b/>
          <w:sz w:val="28"/>
        </w:rPr>
      </w:pPr>
      <w:r w:rsidRPr="00617599">
        <w:rPr>
          <w:rFonts w:ascii="Arial" w:hAnsi="Arial" w:cs="Arial"/>
        </w:rPr>
        <w:br w:type="page"/>
      </w:r>
    </w:p>
    <w:p w14:paraId="2A85CAA9" w14:textId="77777777" w:rsidR="009303CD" w:rsidRPr="00532FFF" w:rsidRDefault="009303CD" w:rsidP="009303CD">
      <w:pPr>
        <w:keepNext/>
        <w:keepLines/>
        <w:tabs>
          <w:tab w:val="left" w:pos="794"/>
          <w:tab w:val="left" w:pos="1191"/>
          <w:tab w:val="left" w:pos="2778"/>
        </w:tabs>
        <w:spacing w:before="300" w:after="120" w:line="320" w:lineRule="atLeast"/>
        <w:outlineLvl w:val="2"/>
        <w:rPr>
          <w:rFonts w:ascii="Arial" w:eastAsia="Times New Roman" w:hAnsi="Arial" w:cs="Arial"/>
          <w:b/>
          <w:sz w:val="28"/>
        </w:rPr>
      </w:pPr>
      <w:bookmarkStart w:id="338" w:name="_Toc453061483"/>
      <w:bookmarkStart w:id="339" w:name="_Toc453054850"/>
      <w:r w:rsidRPr="00532FFF">
        <w:rPr>
          <w:rFonts w:ascii="Arial" w:eastAsia="Times New Roman" w:hAnsi="Arial" w:cs="Arial"/>
          <w:b/>
          <w:sz w:val="28"/>
        </w:rPr>
        <w:lastRenderedPageBreak/>
        <w:t>Birth outcomes</w:t>
      </w:r>
      <w:bookmarkEnd w:id="338"/>
      <w:bookmarkEnd w:id="339"/>
    </w:p>
    <w:p w14:paraId="69BC8378" w14:textId="52CEEC43" w:rsidR="009303CD" w:rsidRDefault="009303CD" w:rsidP="009303CD">
      <w:pPr>
        <w:pStyle w:val="NPESUbodytext"/>
        <w:rPr>
          <w:rFonts w:cs="Arial"/>
          <w:lang w:eastAsia="en-AU"/>
        </w:rPr>
      </w:pPr>
      <w:r w:rsidRPr="00532FFF">
        <w:rPr>
          <w:rFonts w:cs="Arial"/>
          <w:lang w:eastAsia="en-AU"/>
        </w:rPr>
        <w:t xml:space="preserve">The average birthweight for liveborn babies to women who had autologous and recipient embryo transfer cycles </w:t>
      </w:r>
      <w:r w:rsidRPr="006B5B59">
        <w:rPr>
          <w:rFonts w:cs="Arial"/>
          <w:lang w:eastAsia="en-AU"/>
        </w:rPr>
        <w:t xml:space="preserve">was </w:t>
      </w:r>
      <w:r w:rsidRPr="00952173">
        <w:rPr>
          <w:rFonts w:cs="Arial"/>
          <w:lang w:eastAsia="en-AU"/>
        </w:rPr>
        <w:t>3,</w:t>
      </w:r>
      <w:r w:rsidR="006B5B59" w:rsidRPr="00952173">
        <w:rPr>
          <w:rFonts w:cs="Arial"/>
          <w:lang w:eastAsia="en-AU"/>
        </w:rPr>
        <w:t>3</w:t>
      </w:r>
      <w:r w:rsidR="00EA5840">
        <w:rPr>
          <w:rFonts w:cs="Arial"/>
          <w:lang w:eastAsia="en-AU"/>
        </w:rPr>
        <w:t>20</w:t>
      </w:r>
      <w:r w:rsidR="006B5B59" w:rsidRPr="00952173">
        <w:rPr>
          <w:rFonts w:cs="Arial"/>
          <w:lang w:eastAsia="en-AU"/>
        </w:rPr>
        <w:t xml:space="preserve"> </w:t>
      </w:r>
      <w:r w:rsidRPr="00952173">
        <w:rPr>
          <w:rFonts w:cs="Arial"/>
          <w:lang w:eastAsia="en-AU"/>
        </w:rPr>
        <w:t>grams</w:t>
      </w:r>
      <w:r w:rsidRPr="006B5B59">
        <w:rPr>
          <w:rFonts w:cs="Arial"/>
          <w:lang w:eastAsia="en-AU"/>
        </w:rPr>
        <w:t xml:space="preserve">. Of </w:t>
      </w:r>
      <w:r w:rsidRPr="00532FFF">
        <w:rPr>
          <w:rFonts w:cs="Arial"/>
          <w:lang w:eastAsia="en-AU"/>
        </w:rPr>
        <w:t xml:space="preserve">all liveborn babies, </w:t>
      </w:r>
      <w:r w:rsidR="00F572D5">
        <w:rPr>
          <w:rFonts w:cs="Arial"/>
          <w:lang w:eastAsia="en-AU"/>
        </w:rPr>
        <w:t>8</w:t>
      </w:r>
      <w:r w:rsidR="0041782B">
        <w:rPr>
          <w:rFonts w:cs="Arial"/>
          <w:lang w:eastAsia="en-AU"/>
        </w:rPr>
        <w:t>.4</w:t>
      </w:r>
      <w:r w:rsidRPr="00532FFF">
        <w:rPr>
          <w:rFonts w:cs="Arial"/>
          <w:lang w:eastAsia="en-AU"/>
        </w:rPr>
        <w:t>% were low birthweight (less than 2,500 grams) (Table 2</w:t>
      </w:r>
      <w:r w:rsidR="00761766">
        <w:rPr>
          <w:rFonts w:cs="Arial"/>
          <w:lang w:eastAsia="en-AU"/>
        </w:rPr>
        <w:t>5</w:t>
      </w:r>
      <w:r w:rsidRPr="00532FFF">
        <w:rPr>
          <w:rFonts w:cs="Arial"/>
          <w:lang w:eastAsia="en-AU"/>
        </w:rPr>
        <w:t xml:space="preserve">). The average birthweight was </w:t>
      </w:r>
      <w:r w:rsidR="00532FFF" w:rsidRPr="00952173">
        <w:rPr>
          <w:rFonts w:cs="Arial"/>
          <w:lang w:eastAsia="en-AU"/>
        </w:rPr>
        <w:t>3,</w:t>
      </w:r>
      <w:r w:rsidR="002E50D8" w:rsidRPr="00952173">
        <w:rPr>
          <w:rFonts w:cs="Arial"/>
          <w:lang w:eastAsia="en-AU"/>
        </w:rPr>
        <w:t>3</w:t>
      </w:r>
      <w:r w:rsidR="00EA5840">
        <w:rPr>
          <w:rFonts w:cs="Arial"/>
          <w:lang w:eastAsia="en-AU"/>
        </w:rPr>
        <w:t>55</w:t>
      </w:r>
      <w:r w:rsidR="002E50D8" w:rsidRPr="00952173">
        <w:rPr>
          <w:rFonts w:cs="Arial"/>
          <w:lang w:eastAsia="en-AU"/>
        </w:rPr>
        <w:t xml:space="preserve"> </w:t>
      </w:r>
      <w:r w:rsidRPr="00952173">
        <w:rPr>
          <w:rFonts w:cs="Arial"/>
          <w:lang w:eastAsia="en-AU"/>
        </w:rPr>
        <w:t xml:space="preserve">grams and </w:t>
      </w:r>
      <w:r w:rsidR="00532FFF" w:rsidRPr="00952173">
        <w:rPr>
          <w:rFonts w:cs="Arial"/>
          <w:lang w:eastAsia="en-AU"/>
        </w:rPr>
        <w:t>2,</w:t>
      </w:r>
      <w:r w:rsidR="00EA5840">
        <w:rPr>
          <w:rFonts w:cs="Arial"/>
          <w:lang w:eastAsia="en-AU"/>
        </w:rPr>
        <w:t>307</w:t>
      </w:r>
      <w:r w:rsidR="002E50D8" w:rsidRPr="00952173">
        <w:rPr>
          <w:rFonts w:cs="Arial"/>
          <w:lang w:eastAsia="en-AU"/>
        </w:rPr>
        <w:t xml:space="preserve"> </w:t>
      </w:r>
      <w:r w:rsidRPr="00532FFF">
        <w:rPr>
          <w:rFonts w:cs="Arial"/>
          <w:lang w:eastAsia="en-AU"/>
        </w:rPr>
        <w:t>grams for liveborn ART singletons and twins</w:t>
      </w:r>
      <w:r w:rsidR="003B50D1">
        <w:rPr>
          <w:rFonts w:cs="Arial"/>
          <w:lang w:eastAsia="en-AU"/>
        </w:rPr>
        <w:t>,</w:t>
      </w:r>
      <w:r w:rsidRPr="00532FFF">
        <w:rPr>
          <w:rFonts w:cs="Arial"/>
          <w:lang w:eastAsia="en-AU"/>
        </w:rPr>
        <w:t xml:space="preserve"> respectively. Low birthweight was reported for </w:t>
      </w:r>
      <w:r w:rsidR="0041782B">
        <w:rPr>
          <w:rFonts w:cs="Arial"/>
          <w:lang w:eastAsia="en-AU"/>
        </w:rPr>
        <w:t>6.8</w:t>
      </w:r>
      <w:r w:rsidRPr="00532FFF">
        <w:rPr>
          <w:rFonts w:cs="Arial"/>
          <w:lang w:eastAsia="en-AU"/>
        </w:rPr>
        <w:t>% of liveborn singletons following SET.</w:t>
      </w:r>
    </w:p>
    <w:p w14:paraId="6EC89DFE" w14:textId="317AAB4A" w:rsidR="003258B3" w:rsidRPr="00584635" w:rsidRDefault="003258B3" w:rsidP="00CC6C74">
      <w:pPr>
        <w:pStyle w:val="Caption"/>
        <w:rPr>
          <w:lang w:eastAsia="en-AU"/>
        </w:rPr>
      </w:pPr>
      <w:bookmarkStart w:id="340" w:name="_Toc158026574"/>
      <w:r w:rsidRPr="00584635">
        <w:rPr>
          <w:lang w:eastAsia="en-AU"/>
        </w:rPr>
        <w:t>Table 2</w:t>
      </w:r>
      <w:r w:rsidR="00F400A5">
        <w:rPr>
          <w:lang w:eastAsia="en-AU"/>
        </w:rPr>
        <w:t>5</w:t>
      </w:r>
      <w:r w:rsidRPr="00584635">
        <w:rPr>
          <w:lang w:eastAsia="en-AU"/>
        </w:rPr>
        <w:t>: Liveborn babies by birthweight group and plurality</w:t>
      </w:r>
      <w:r w:rsidR="00B432F5" w:rsidRPr="00584635">
        <w:rPr>
          <w:lang w:eastAsia="en-AU"/>
        </w:rPr>
        <w:t xml:space="preserve">, </w:t>
      </w:r>
      <w:r w:rsidR="00A501CE">
        <w:rPr>
          <w:lang w:eastAsia="en-AU"/>
        </w:rPr>
        <w:t>New Zealand, 20</w:t>
      </w:r>
      <w:r w:rsidR="00B352B0">
        <w:rPr>
          <w:lang w:eastAsia="en-AU"/>
        </w:rPr>
        <w:t>2</w:t>
      </w:r>
      <w:r w:rsidR="00413A27">
        <w:rPr>
          <w:lang w:eastAsia="en-AU"/>
        </w:rPr>
        <w:t>1</w:t>
      </w:r>
      <w:bookmarkEnd w:id="340"/>
      <w:r w:rsidR="00A501CE">
        <w:rPr>
          <w:lang w:eastAsia="en-AU"/>
        </w:rPr>
        <w:t xml:space="preserve"> </w:t>
      </w:r>
    </w:p>
    <w:tbl>
      <w:tblPr>
        <w:tblW w:w="4876" w:type="pct"/>
        <w:tblCellSpacing w:w="0" w:type="dxa"/>
        <w:tblCellMar>
          <w:top w:w="30" w:type="dxa"/>
          <w:left w:w="30" w:type="dxa"/>
          <w:bottom w:w="30" w:type="dxa"/>
          <w:right w:w="30" w:type="dxa"/>
        </w:tblCellMar>
        <w:tblLook w:val="04A0" w:firstRow="1" w:lastRow="0" w:firstColumn="1" w:lastColumn="0" w:noHBand="0" w:noVBand="1"/>
      </w:tblPr>
      <w:tblGrid>
        <w:gridCol w:w="275"/>
        <w:gridCol w:w="1565"/>
        <w:gridCol w:w="1468"/>
        <w:gridCol w:w="1473"/>
        <w:gridCol w:w="1334"/>
        <w:gridCol w:w="1347"/>
        <w:gridCol w:w="1340"/>
      </w:tblGrid>
      <w:tr w:rsidR="00925F63" w:rsidRPr="00617599" w14:paraId="438BB995" w14:textId="77777777" w:rsidTr="00360E75">
        <w:trPr>
          <w:trHeight w:val="227"/>
          <w:tblHeader/>
          <w:tblCellSpacing w:w="0" w:type="dxa"/>
        </w:trPr>
        <w:tc>
          <w:tcPr>
            <w:tcW w:w="1045" w:type="pct"/>
            <w:gridSpan w:val="2"/>
            <w:tcBorders>
              <w:top w:val="single" w:sz="12" w:space="0" w:color="000000"/>
              <w:left w:val="nil"/>
              <w:bottom w:val="nil"/>
              <w:right w:val="nil"/>
            </w:tcBorders>
            <w:tcMar>
              <w:top w:w="28" w:type="dxa"/>
              <w:left w:w="0" w:type="dxa"/>
              <w:bottom w:w="0" w:type="dxa"/>
              <w:right w:w="0" w:type="dxa"/>
            </w:tcMar>
            <w:vAlign w:val="center"/>
            <w:hideMark/>
          </w:tcPr>
          <w:p w14:paraId="0F69B7F1" w14:textId="77777777" w:rsidR="00925F63" w:rsidRPr="00617599" w:rsidRDefault="00925F63" w:rsidP="00360E75">
            <w:pPr>
              <w:spacing w:after="0" w:line="276" w:lineRule="auto"/>
              <w:rPr>
                <w:rFonts w:ascii="Arial" w:eastAsia="Times New Roman" w:hAnsi="Arial" w:cs="Arial"/>
                <w:sz w:val="16"/>
                <w:szCs w:val="16"/>
                <w:lang w:eastAsia="en-AU"/>
              </w:rPr>
            </w:pPr>
          </w:p>
        </w:tc>
        <w:tc>
          <w:tcPr>
            <w:tcW w:w="1671" w:type="pct"/>
            <w:gridSpan w:val="2"/>
            <w:tcBorders>
              <w:top w:val="single" w:sz="12" w:space="0" w:color="000000"/>
              <w:left w:val="nil"/>
              <w:bottom w:val="single" w:sz="6" w:space="0" w:color="000000"/>
              <w:right w:val="nil"/>
            </w:tcBorders>
            <w:tcMar>
              <w:top w:w="28" w:type="dxa"/>
              <w:left w:w="0" w:type="dxa"/>
              <w:bottom w:w="28" w:type="dxa"/>
              <w:right w:w="0" w:type="dxa"/>
            </w:tcMar>
            <w:vAlign w:val="center"/>
            <w:hideMark/>
          </w:tcPr>
          <w:p w14:paraId="65C25B76" w14:textId="77777777" w:rsidR="00925F63" w:rsidRPr="00617599" w:rsidRDefault="00925F63" w:rsidP="00360E75">
            <w:pPr>
              <w:spacing w:after="0" w:line="276" w:lineRule="auto"/>
              <w:jc w:val="center"/>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Singletons </w:t>
            </w:r>
          </w:p>
        </w:tc>
        <w:tc>
          <w:tcPr>
            <w:tcW w:w="2284" w:type="pct"/>
            <w:gridSpan w:val="3"/>
            <w:tcBorders>
              <w:top w:val="single" w:sz="12" w:space="0" w:color="000000"/>
              <w:left w:val="nil"/>
              <w:bottom w:val="nil"/>
              <w:right w:val="nil"/>
            </w:tcBorders>
            <w:tcMar>
              <w:top w:w="28" w:type="dxa"/>
              <w:left w:w="0" w:type="dxa"/>
              <w:bottom w:w="0" w:type="dxa"/>
              <w:right w:w="0" w:type="dxa"/>
            </w:tcMar>
            <w:vAlign w:val="center"/>
            <w:hideMark/>
          </w:tcPr>
          <w:p w14:paraId="46659ED9" w14:textId="77777777" w:rsidR="00925F63" w:rsidRPr="00617599" w:rsidRDefault="00925F63" w:rsidP="00360E75">
            <w:pPr>
              <w:spacing w:after="0" w:line="276" w:lineRule="auto"/>
              <w:rPr>
                <w:rFonts w:ascii="Arial" w:eastAsia="Times New Roman" w:hAnsi="Arial" w:cs="Arial"/>
                <w:b/>
                <w:bCs/>
                <w:sz w:val="16"/>
                <w:szCs w:val="16"/>
                <w:lang w:eastAsia="en-AU"/>
              </w:rPr>
            </w:pPr>
          </w:p>
        </w:tc>
      </w:tr>
      <w:tr w:rsidR="00925F63" w:rsidRPr="00617599" w14:paraId="74F9BA84" w14:textId="77777777" w:rsidTr="00360E75">
        <w:trPr>
          <w:trHeight w:val="227"/>
          <w:tblHeader/>
          <w:tblCellSpacing w:w="0" w:type="dxa"/>
        </w:trPr>
        <w:tc>
          <w:tcPr>
            <w:tcW w:w="1045" w:type="pct"/>
            <w:gridSpan w:val="2"/>
            <w:tcBorders>
              <w:top w:val="nil"/>
              <w:left w:val="nil"/>
              <w:bottom w:val="single" w:sz="6" w:space="0" w:color="000000"/>
              <w:right w:val="nil"/>
            </w:tcBorders>
            <w:tcMar>
              <w:top w:w="0" w:type="dxa"/>
              <w:left w:w="0" w:type="dxa"/>
              <w:bottom w:w="28" w:type="dxa"/>
              <w:right w:w="0" w:type="dxa"/>
            </w:tcMar>
            <w:vAlign w:val="center"/>
            <w:hideMark/>
          </w:tcPr>
          <w:p w14:paraId="625B5F4B" w14:textId="5F72A86A" w:rsidR="00925F63" w:rsidRPr="00B7274E" w:rsidRDefault="00925F63" w:rsidP="00360E75">
            <w:pPr>
              <w:spacing w:after="0" w:line="276" w:lineRule="auto"/>
              <w:rPr>
                <w:rFonts w:ascii="Arial" w:eastAsia="Times New Roman" w:hAnsi="Arial" w:cs="Arial"/>
                <w:b/>
                <w:sz w:val="16"/>
                <w:szCs w:val="16"/>
                <w:lang w:eastAsia="en-AU"/>
              </w:rPr>
            </w:pPr>
            <w:r w:rsidRPr="00B7274E">
              <w:rPr>
                <w:rFonts w:ascii="Arial" w:eastAsia="Times New Roman" w:hAnsi="Arial" w:cs="Arial"/>
                <w:b/>
                <w:sz w:val="16"/>
                <w:szCs w:val="16"/>
                <w:lang w:eastAsia="en-AU"/>
              </w:rPr>
              <w:t>Birthweight (grams)</w:t>
            </w:r>
          </w:p>
        </w:tc>
        <w:tc>
          <w:tcPr>
            <w:tcW w:w="834" w:type="pct"/>
            <w:tcBorders>
              <w:top w:val="nil"/>
              <w:left w:val="nil"/>
              <w:bottom w:val="single" w:sz="6" w:space="0" w:color="000000"/>
              <w:right w:val="nil"/>
            </w:tcBorders>
            <w:tcMar>
              <w:top w:w="0" w:type="dxa"/>
              <w:left w:w="0" w:type="dxa"/>
              <w:bottom w:w="28" w:type="dxa"/>
              <w:right w:w="0" w:type="dxa"/>
            </w:tcMar>
            <w:vAlign w:val="center"/>
            <w:hideMark/>
          </w:tcPr>
          <w:p w14:paraId="6663BC1A" w14:textId="77777777" w:rsidR="00925F63" w:rsidRPr="00617599" w:rsidRDefault="00925F63"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SET</w:t>
            </w:r>
            <w:r w:rsidRPr="00617599">
              <w:rPr>
                <w:rFonts w:ascii="Arial" w:eastAsia="Times New Roman" w:hAnsi="Arial" w:cs="Arial"/>
                <w:b/>
                <w:bCs/>
                <w:sz w:val="16"/>
                <w:szCs w:val="16"/>
                <w:vertAlign w:val="superscript"/>
                <w:lang w:eastAsia="en-AU"/>
              </w:rPr>
              <w:t>(a)</w:t>
            </w:r>
            <w:r w:rsidRPr="00617599">
              <w:rPr>
                <w:rFonts w:ascii="Arial" w:eastAsia="Times New Roman" w:hAnsi="Arial" w:cs="Arial"/>
                <w:b/>
                <w:bCs/>
                <w:sz w:val="16"/>
                <w:szCs w:val="16"/>
                <w:lang w:eastAsia="en-AU"/>
              </w:rPr>
              <w:t xml:space="preserve"> </w:t>
            </w:r>
          </w:p>
        </w:tc>
        <w:tc>
          <w:tcPr>
            <w:tcW w:w="837" w:type="pct"/>
            <w:tcBorders>
              <w:top w:val="nil"/>
              <w:left w:val="nil"/>
              <w:bottom w:val="single" w:sz="6" w:space="0" w:color="000000"/>
              <w:right w:val="nil"/>
            </w:tcBorders>
            <w:tcMar>
              <w:top w:w="0" w:type="dxa"/>
              <w:left w:w="0" w:type="dxa"/>
              <w:bottom w:w="28" w:type="dxa"/>
              <w:right w:w="0" w:type="dxa"/>
            </w:tcMar>
            <w:vAlign w:val="center"/>
            <w:hideMark/>
          </w:tcPr>
          <w:p w14:paraId="1B3414F4" w14:textId="77777777" w:rsidR="00925F63" w:rsidRPr="00617599" w:rsidRDefault="00925F63"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DET</w:t>
            </w:r>
            <w:r w:rsidRPr="00617599">
              <w:rPr>
                <w:rFonts w:ascii="Arial" w:eastAsia="Times New Roman" w:hAnsi="Arial" w:cs="Arial"/>
                <w:b/>
                <w:bCs/>
                <w:sz w:val="16"/>
                <w:szCs w:val="16"/>
                <w:vertAlign w:val="superscript"/>
                <w:lang w:eastAsia="en-AU"/>
              </w:rPr>
              <w:t>(b)</w:t>
            </w:r>
            <w:r w:rsidRPr="00617599">
              <w:rPr>
                <w:rFonts w:ascii="Arial" w:eastAsia="Times New Roman" w:hAnsi="Arial" w:cs="Arial"/>
                <w:b/>
                <w:bCs/>
                <w:sz w:val="16"/>
                <w:szCs w:val="16"/>
                <w:lang w:eastAsia="en-AU"/>
              </w:rPr>
              <w:t xml:space="preserve"> </w:t>
            </w:r>
          </w:p>
        </w:tc>
        <w:tc>
          <w:tcPr>
            <w:tcW w:w="758" w:type="pct"/>
            <w:tcBorders>
              <w:top w:val="nil"/>
              <w:left w:val="nil"/>
              <w:bottom w:val="single" w:sz="6" w:space="0" w:color="000000"/>
              <w:right w:val="nil"/>
            </w:tcBorders>
            <w:tcMar>
              <w:top w:w="0" w:type="dxa"/>
              <w:left w:w="0" w:type="dxa"/>
              <w:bottom w:w="28" w:type="dxa"/>
              <w:right w:w="0" w:type="dxa"/>
            </w:tcMar>
            <w:vAlign w:val="center"/>
            <w:hideMark/>
          </w:tcPr>
          <w:p w14:paraId="07F8AA17" w14:textId="77777777" w:rsidR="00925F63" w:rsidRPr="00617599" w:rsidRDefault="00925F63"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Twins </w:t>
            </w:r>
          </w:p>
        </w:tc>
        <w:tc>
          <w:tcPr>
            <w:tcW w:w="765" w:type="pct"/>
            <w:tcBorders>
              <w:top w:val="nil"/>
              <w:left w:val="nil"/>
              <w:bottom w:val="single" w:sz="6" w:space="0" w:color="000000"/>
              <w:right w:val="nil"/>
            </w:tcBorders>
            <w:tcMar>
              <w:top w:w="0" w:type="dxa"/>
              <w:left w:w="0" w:type="dxa"/>
              <w:bottom w:w="28" w:type="dxa"/>
              <w:right w:w="0" w:type="dxa"/>
            </w:tcMar>
            <w:vAlign w:val="center"/>
            <w:hideMark/>
          </w:tcPr>
          <w:p w14:paraId="69A1E62E" w14:textId="77777777" w:rsidR="00925F63" w:rsidRPr="00617599" w:rsidRDefault="00925F63"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Higher order multiples </w:t>
            </w:r>
          </w:p>
        </w:tc>
        <w:tc>
          <w:tcPr>
            <w:tcW w:w="761" w:type="pct"/>
            <w:tcBorders>
              <w:top w:val="nil"/>
              <w:left w:val="nil"/>
              <w:bottom w:val="single" w:sz="6" w:space="0" w:color="000000"/>
              <w:right w:val="nil"/>
            </w:tcBorders>
            <w:tcMar>
              <w:top w:w="0" w:type="dxa"/>
              <w:left w:w="0" w:type="dxa"/>
              <w:bottom w:w="28" w:type="dxa"/>
              <w:right w:w="0" w:type="dxa"/>
            </w:tcMar>
            <w:vAlign w:val="center"/>
            <w:hideMark/>
          </w:tcPr>
          <w:p w14:paraId="03086AE6" w14:textId="29272ADE" w:rsidR="00925F63" w:rsidRPr="00617599" w:rsidRDefault="00925F63" w:rsidP="00360E75">
            <w:pPr>
              <w:spacing w:after="0" w:line="276" w:lineRule="auto"/>
              <w:jc w:val="right"/>
              <w:rPr>
                <w:rFonts w:ascii="Arial" w:eastAsia="Times New Roman" w:hAnsi="Arial" w:cs="Arial"/>
                <w:b/>
                <w:bCs/>
                <w:sz w:val="16"/>
                <w:szCs w:val="16"/>
                <w:lang w:eastAsia="en-AU"/>
              </w:rPr>
            </w:pPr>
            <w:r w:rsidRPr="00617599">
              <w:rPr>
                <w:rFonts w:ascii="Arial" w:eastAsia="Times New Roman" w:hAnsi="Arial" w:cs="Arial"/>
                <w:b/>
                <w:bCs/>
                <w:sz w:val="16"/>
                <w:szCs w:val="16"/>
                <w:lang w:eastAsia="en-AU"/>
              </w:rPr>
              <w:t xml:space="preserve">Total </w:t>
            </w:r>
          </w:p>
        </w:tc>
      </w:tr>
      <w:tr w:rsidR="00925F63" w:rsidRPr="00613321" w14:paraId="1F1F78F8" w14:textId="77777777" w:rsidTr="00360E75">
        <w:trPr>
          <w:gridBefore w:val="1"/>
          <w:wBefore w:w="156" w:type="pct"/>
          <w:trHeight w:val="227"/>
          <w:tblCellSpacing w:w="0" w:type="dxa"/>
        </w:trPr>
        <w:tc>
          <w:tcPr>
            <w:tcW w:w="889" w:type="pct"/>
            <w:tcBorders>
              <w:top w:val="nil"/>
              <w:left w:val="nil"/>
              <w:bottom w:val="nil"/>
              <w:right w:val="nil"/>
            </w:tcBorders>
            <w:tcMar>
              <w:top w:w="0" w:type="dxa"/>
              <w:left w:w="0" w:type="dxa"/>
              <w:bottom w:w="0" w:type="dxa"/>
              <w:right w:w="0" w:type="dxa"/>
            </w:tcMar>
            <w:vAlign w:val="center"/>
          </w:tcPr>
          <w:p w14:paraId="68CD65AB" w14:textId="535819E8" w:rsidR="00925F63" w:rsidRPr="00617599" w:rsidRDefault="00925F63" w:rsidP="00360E75">
            <w:pPr>
              <w:spacing w:after="0" w:line="276" w:lineRule="auto"/>
              <w:rPr>
                <w:rFonts w:ascii="Arial" w:eastAsia="Times New Roman" w:hAnsi="Arial" w:cs="Arial"/>
                <w:i/>
                <w:sz w:val="16"/>
                <w:szCs w:val="16"/>
                <w:lang w:eastAsia="en-AU"/>
              </w:rPr>
            </w:pPr>
          </w:p>
        </w:tc>
        <w:tc>
          <w:tcPr>
            <w:tcW w:w="3955" w:type="pct"/>
            <w:gridSpan w:val="5"/>
            <w:tcBorders>
              <w:top w:val="nil"/>
              <w:left w:val="nil"/>
              <w:bottom w:val="nil"/>
              <w:right w:val="nil"/>
            </w:tcBorders>
            <w:tcMar>
              <w:top w:w="0" w:type="dxa"/>
              <w:left w:w="0" w:type="dxa"/>
              <w:bottom w:w="0" w:type="dxa"/>
              <w:right w:w="0" w:type="dxa"/>
            </w:tcMar>
            <w:vAlign w:val="center"/>
          </w:tcPr>
          <w:p w14:paraId="271D0397" w14:textId="04FA19F8" w:rsidR="00925F63" w:rsidRPr="00584635" w:rsidRDefault="000E2E9E" w:rsidP="00360E75">
            <w:pPr>
              <w:spacing w:after="0" w:line="276" w:lineRule="auto"/>
              <w:jc w:val="center"/>
              <w:rPr>
                <w:rFonts w:ascii="Arial" w:hAnsi="Arial" w:cs="Arial"/>
                <w:b/>
                <w:sz w:val="16"/>
                <w:szCs w:val="16"/>
              </w:rPr>
            </w:pPr>
            <w:r>
              <w:rPr>
                <w:rFonts w:ascii="Arial" w:eastAsia="Times New Roman" w:hAnsi="Arial" w:cs="Arial"/>
                <w:b/>
                <w:sz w:val="16"/>
                <w:szCs w:val="16"/>
                <w:lang w:eastAsia="en-AU"/>
              </w:rPr>
              <w:t>n</w:t>
            </w:r>
          </w:p>
        </w:tc>
      </w:tr>
      <w:tr w:rsidR="00413A27" w:rsidRPr="00613321" w14:paraId="2109A16A" w14:textId="77777777" w:rsidTr="00744BEE">
        <w:trPr>
          <w:gridBefore w:val="1"/>
          <w:wBefore w:w="156" w:type="pct"/>
          <w:trHeight w:val="227"/>
          <w:tblCellSpacing w:w="0" w:type="dxa"/>
        </w:trPr>
        <w:tc>
          <w:tcPr>
            <w:tcW w:w="889" w:type="pct"/>
            <w:tcBorders>
              <w:top w:val="nil"/>
              <w:left w:val="nil"/>
              <w:bottom w:val="nil"/>
              <w:right w:val="nil"/>
            </w:tcBorders>
            <w:tcMar>
              <w:top w:w="0" w:type="dxa"/>
              <w:left w:w="0" w:type="dxa"/>
              <w:bottom w:w="0" w:type="dxa"/>
              <w:right w:w="0" w:type="dxa"/>
            </w:tcMar>
            <w:vAlign w:val="center"/>
            <w:hideMark/>
          </w:tcPr>
          <w:p w14:paraId="00F1996D" w14:textId="77777777" w:rsidR="00413A27" w:rsidRPr="00617599" w:rsidRDefault="00413A27" w:rsidP="00413A27">
            <w:pPr>
              <w:spacing w:after="0" w:line="276" w:lineRule="auto"/>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  &lt; 1,000 </w:t>
            </w:r>
          </w:p>
        </w:tc>
        <w:tc>
          <w:tcPr>
            <w:tcW w:w="834" w:type="pct"/>
            <w:tcBorders>
              <w:top w:val="nil"/>
              <w:left w:val="nil"/>
              <w:bottom w:val="nil"/>
              <w:right w:val="nil"/>
            </w:tcBorders>
            <w:tcMar>
              <w:top w:w="0" w:type="dxa"/>
              <w:left w:w="0" w:type="dxa"/>
              <w:bottom w:w="0" w:type="dxa"/>
              <w:right w:w="0" w:type="dxa"/>
            </w:tcMar>
            <w:vAlign w:val="bottom"/>
          </w:tcPr>
          <w:p w14:paraId="4F979EF9" w14:textId="557B65D0"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13</w:t>
            </w:r>
          </w:p>
        </w:tc>
        <w:tc>
          <w:tcPr>
            <w:tcW w:w="837" w:type="pct"/>
            <w:tcBorders>
              <w:top w:val="nil"/>
              <w:left w:val="nil"/>
              <w:bottom w:val="nil"/>
              <w:right w:val="nil"/>
            </w:tcBorders>
            <w:tcMar>
              <w:top w:w="0" w:type="dxa"/>
              <w:left w:w="0" w:type="dxa"/>
              <w:bottom w:w="0" w:type="dxa"/>
              <w:right w:w="0" w:type="dxa"/>
            </w:tcMar>
            <w:vAlign w:val="bottom"/>
          </w:tcPr>
          <w:p w14:paraId="06BA8F07" w14:textId="16F4CBF4"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0</w:t>
            </w:r>
          </w:p>
        </w:tc>
        <w:tc>
          <w:tcPr>
            <w:tcW w:w="758" w:type="pct"/>
            <w:tcBorders>
              <w:top w:val="nil"/>
              <w:left w:val="nil"/>
              <w:bottom w:val="nil"/>
              <w:right w:val="nil"/>
            </w:tcBorders>
            <w:tcMar>
              <w:top w:w="0" w:type="dxa"/>
              <w:left w:w="0" w:type="dxa"/>
              <w:bottom w:w="0" w:type="dxa"/>
              <w:right w:w="0" w:type="dxa"/>
            </w:tcMar>
            <w:vAlign w:val="bottom"/>
          </w:tcPr>
          <w:p w14:paraId="2E96B89E" w14:textId="01AB615E"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5</w:t>
            </w:r>
          </w:p>
        </w:tc>
        <w:tc>
          <w:tcPr>
            <w:tcW w:w="765" w:type="pct"/>
            <w:tcBorders>
              <w:top w:val="nil"/>
              <w:left w:val="nil"/>
              <w:bottom w:val="nil"/>
              <w:right w:val="nil"/>
            </w:tcBorders>
            <w:tcMar>
              <w:top w:w="0" w:type="dxa"/>
              <w:left w:w="0" w:type="dxa"/>
              <w:bottom w:w="0" w:type="dxa"/>
              <w:right w:w="0" w:type="dxa"/>
            </w:tcMar>
            <w:vAlign w:val="bottom"/>
          </w:tcPr>
          <w:p w14:paraId="673562E8" w14:textId="21EAC4EC"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0</w:t>
            </w:r>
          </w:p>
        </w:tc>
        <w:tc>
          <w:tcPr>
            <w:tcW w:w="761" w:type="pct"/>
            <w:tcBorders>
              <w:top w:val="nil"/>
              <w:left w:val="nil"/>
              <w:bottom w:val="nil"/>
              <w:right w:val="nil"/>
            </w:tcBorders>
            <w:tcMar>
              <w:top w:w="0" w:type="dxa"/>
              <w:left w:w="0" w:type="dxa"/>
              <w:bottom w:w="0" w:type="dxa"/>
              <w:right w:w="0" w:type="dxa"/>
            </w:tcMar>
            <w:vAlign w:val="bottom"/>
          </w:tcPr>
          <w:p w14:paraId="06205280" w14:textId="52D8E395"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sz w:val="16"/>
                <w:szCs w:val="16"/>
              </w:rPr>
              <w:t>18</w:t>
            </w:r>
          </w:p>
        </w:tc>
      </w:tr>
      <w:tr w:rsidR="00413A27" w:rsidRPr="00613321" w14:paraId="02FA4B29" w14:textId="77777777" w:rsidTr="00744BEE">
        <w:trPr>
          <w:gridBefore w:val="1"/>
          <w:wBefore w:w="156" w:type="pct"/>
          <w:trHeight w:val="227"/>
          <w:tblCellSpacing w:w="0" w:type="dxa"/>
        </w:trPr>
        <w:tc>
          <w:tcPr>
            <w:tcW w:w="889" w:type="pct"/>
            <w:tcBorders>
              <w:top w:val="nil"/>
              <w:left w:val="nil"/>
              <w:bottom w:val="nil"/>
              <w:right w:val="nil"/>
            </w:tcBorders>
            <w:tcMar>
              <w:top w:w="0" w:type="dxa"/>
              <w:left w:w="0" w:type="dxa"/>
              <w:bottom w:w="0" w:type="dxa"/>
              <w:right w:w="0" w:type="dxa"/>
            </w:tcMar>
            <w:vAlign w:val="center"/>
            <w:hideMark/>
          </w:tcPr>
          <w:p w14:paraId="098219BB" w14:textId="77777777" w:rsidR="00413A27" w:rsidRPr="00617599" w:rsidRDefault="00413A27" w:rsidP="00413A27">
            <w:pPr>
              <w:spacing w:after="0" w:line="276" w:lineRule="auto"/>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  1,000-1,499 </w:t>
            </w:r>
          </w:p>
        </w:tc>
        <w:tc>
          <w:tcPr>
            <w:tcW w:w="834" w:type="pct"/>
            <w:tcBorders>
              <w:top w:val="nil"/>
              <w:left w:val="nil"/>
              <w:bottom w:val="nil"/>
              <w:right w:val="nil"/>
            </w:tcBorders>
            <w:tcMar>
              <w:top w:w="0" w:type="dxa"/>
              <w:left w:w="0" w:type="dxa"/>
              <w:bottom w:w="0" w:type="dxa"/>
              <w:right w:w="0" w:type="dxa"/>
            </w:tcMar>
            <w:vAlign w:val="bottom"/>
          </w:tcPr>
          <w:p w14:paraId="5F21D394" w14:textId="3BB04B6D"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17</w:t>
            </w:r>
          </w:p>
        </w:tc>
        <w:tc>
          <w:tcPr>
            <w:tcW w:w="837" w:type="pct"/>
            <w:tcBorders>
              <w:top w:val="nil"/>
              <w:left w:val="nil"/>
              <w:bottom w:val="nil"/>
              <w:right w:val="nil"/>
            </w:tcBorders>
            <w:tcMar>
              <w:top w:w="0" w:type="dxa"/>
              <w:left w:w="0" w:type="dxa"/>
              <w:bottom w:w="0" w:type="dxa"/>
              <w:right w:w="0" w:type="dxa"/>
            </w:tcMar>
            <w:vAlign w:val="bottom"/>
          </w:tcPr>
          <w:p w14:paraId="2FBEBAE5" w14:textId="42593D6C"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1</w:t>
            </w:r>
          </w:p>
        </w:tc>
        <w:tc>
          <w:tcPr>
            <w:tcW w:w="758" w:type="pct"/>
            <w:tcBorders>
              <w:top w:val="nil"/>
              <w:left w:val="nil"/>
              <w:bottom w:val="nil"/>
              <w:right w:val="nil"/>
            </w:tcBorders>
            <w:tcMar>
              <w:top w:w="0" w:type="dxa"/>
              <w:left w:w="0" w:type="dxa"/>
              <w:bottom w:w="0" w:type="dxa"/>
              <w:right w:w="0" w:type="dxa"/>
            </w:tcMar>
            <w:vAlign w:val="bottom"/>
          </w:tcPr>
          <w:p w14:paraId="0B34E9A5" w14:textId="40201F2E"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3</w:t>
            </w:r>
          </w:p>
        </w:tc>
        <w:tc>
          <w:tcPr>
            <w:tcW w:w="765" w:type="pct"/>
            <w:tcBorders>
              <w:top w:val="nil"/>
              <w:left w:val="nil"/>
              <w:bottom w:val="nil"/>
              <w:right w:val="nil"/>
            </w:tcBorders>
            <w:tcMar>
              <w:top w:w="0" w:type="dxa"/>
              <w:left w:w="0" w:type="dxa"/>
              <w:bottom w:w="0" w:type="dxa"/>
              <w:right w:w="0" w:type="dxa"/>
            </w:tcMar>
            <w:vAlign w:val="bottom"/>
          </w:tcPr>
          <w:p w14:paraId="07F41DE3" w14:textId="0F725D59"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0</w:t>
            </w:r>
          </w:p>
        </w:tc>
        <w:tc>
          <w:tcPr>
            <w:tcW w:w="761" w:type="pct"/>
            <w:tcBorders>
              <w:top w:val="nil"/>
              <w:left w:val="nil"/>
              <w:bottom w:val="nil"/>
              <w:right w:val="nil"/>
            </w:tcBorders>
            <w:tcMar>
              <w:top w:w="0" w:type="dxa"/>
              <w:left w:w="0" w:type="dxa"/>
              <w:bottom w:w="0" w:type="dxa"/>
              <w:right w:w="0" w:type="dxa"/>
            </w:tcMar>
            <w:vAlign w:val="bottom"/>
          </w:tcPr>
          <w:p w14:paraId="3B2B30C2" w14:textId="4456D644"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sz w:val="16"/>
                <w:szCs w:val="16"/>
              </w:rPr>
              <w:t>21</w:t>
            </w:r>
          </w:p>
        </w:tc>
      </w:tr>
      <w:tr w:rsidR="00413A27" w:rsidRPr="00613321" w14:paraId="7D612824" w14:textId="77777777" w:rsidTr="00744BEE">
        <w:trPr>
          <w:gridBefore w:val="1"/>
          <w:wBefore w:w="156" w:type="pct"/>
          <w:trHeight w:val="227"/>
          <w:tblCellSpacing w:w="0" w:type="dxa"/>
        </w:trPr>
        <w:tc>
          <w:tcPr>
            <w:tcW w:w="889" w:type="pct"/>
            <w:tcBorders>
              <w:top w:val="nil"/>
              <w:left w:val="nil"/>
              <w:bottom w:val="nil"/>
              <w:right w:val="nil"/>
            </w:tcBorders>
            <w:tcMar>
              <w:top w:w="0" w:type="dxa"/>
              <w:left w:w="0" w:type="dxa"/>
              <w:bottom w:w="0" w:type="dxa"/>
              <w:right w:w="0" w:type="dxa"/>
            </w:tcMar>
            <w:vAlign w:val="center"/>
            <w:hideMark/>
          </w:tcPr>
          <w:p w14:paraId="57221EB6" w14:textId="77777777" w:rsidR="00413A27" w:rsidRPr="00617599" w:rsidRDefault="00413A27" w:rsidP="00413A27">
            <w:pPr>
              <w:spacing w:after="0" w:line="276" w:lineRule="auto"/>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  1,500-1,999 </w:t>
            </w:r>
          </w:p>
        </w:tc>
        <w:tc>
          <w:tcPr>
            <w:tcW w:w="834" w:type="pct"/>
            <w:tcBorders>
              <w:top w:val="nil"/>
              <w:left w:val="nil"/>
              <w:bottom w:val="nil"/>
              <w:right w:val="nil"/>
            </w:tcBorders>
            <w:tcMar>
              <w:top w:w="0" w:type="dxa"/>
              <w:left w:w="0" w:type="dxa"/>
              <w:bottom w:w="0" w:type="dxa"/>
              <w:right w:w="0" w:type="dxa"/>
            </w:tcMar>
            <w:vAlign w:val="bottom"/>
          </w:tcPr>
          <w:p w14:paraId="53011C83" w14:textId="4D30C245"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28</w:t>
            </w:r>
          </w:p>
        </w:tc>
        <w:tc>
          <w:tcPr>
            <w:tcW w:w="837" w:type="pct"/>
            <w:tcBorders>
              <w:top w:val="nil"/>
              <w:left w:val="nil"/>
              <w:bottom w:val="nil"/>
              <w:right w:val="nil"/>
            </w:tcBorders>
            <w:tcMar>
              <w:top w:w="0" w:type="dxa"/>
              <w:left w:w="0" w:type="dxa"/>
              <w:bottom w:w="0" w:type="dxa"/>
              <w:right w:w="0" w:type="dxa"/>
            </w:tcMar>
            <w:vAlign w:val="bottom"/>
          </w:tcPr>
          <w:p w14:paraId="6CAFA9C0" w14:textId="3CD990F8"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0</w:t>
            </w:r>
          </w:p>
        </w:tc>
        <w:tc>
          <w:tcPr>
            <w:tcW w:w="758" w:type="pct"/>
            <w:tcBorders>
              <w:top w:val="nil"/>
              <w:left w:val="nil"/>
              <w:bottom w:val="nil"/>
              <w:right w:val="nil"/>
            </w:tcBorders>
            <w:tcMar>
              <w:top w:w="0" w:type="dxa"/>
              <w:left w:w="0" w:type="dxa"/>
              <w:bottom w:w="0" w:type="dxa"/>
              <w:right w:w="0" w:type="dxa"/>
            </w:tcMar>
            <w:vAlign w:val="bottom"/>
          </w:tcPr>
          <w:p w14:paraId="45F40AED" w14:textId="4003BD15"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4</w:t>
            </w:r>
          </w:p>
        </w:tc>
        <w:tc>
          <w:tcPr>
            <w:tcW w:w="765" w:type="pct"/>
            <w:tcBorders>
              <w:top w:val="nil"/>
              <w:left w:val="nil"/>
              <w:bottom w:val="nil"/>
              <w:right w:val="nil"/>
            </w:tcBorders>
            <w:tcMar>
              <w:top w:w="0" w:type="dxa"/>
              <w:left w:w="0" w:type="dxa"/>
              <w:bottom w:w="0" w:type="dxa"/>
              <w:right w:w="0" w:type="dxa"/>
            </w:tcMar>
            <w:vAlign w:val="bottom"/>
          </w:tcPr>
          <w:p w14:paraId="3E5406E8" w14:textId="5663B632"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0</w:t>
            </w:r>
          </w:p>
        </w:tc>
        <w:tc>
          <w:tcPr>
            <w:tcW w:w="761" w:type="pct"/>
            <w:tcBorders>
              <w:top w:val="nil"/>
              <w:left w:val="nil"/>
              <w:bottom w:val="nil"/>
              <w:right w:val="nil"/>
            </w:tcBorders>
            <w:tcMar>
              <w:top w:w="0" w:type="dxa"/>
              <w:left w:w="0" w:type="dxa"/>
              <w:bottom w:w="0" w:type="dxa"/>
              <w:right w:w="0" w:type="dxa"/>
            </w:tcMar>
            <w:vAlign w:val="bottom"/>
          </w:tcPr>
          <w:p w14:paraId="3899BFD5" w14:textId="35AC8D8F"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sz w:val="16"/>
                <w:szCs w:val="16"/>
              </w:rPr>
              <w:t>32</w:t>
            </w:r>
          </w:p>
        </w:tc>
      </w:tr>
      <w:tr w:rsidR="00413A27" w:rsidRPr="00613321" w14:paraId="6B907A46" w14:textId="77777777" w:rsidTr="00744BEE">
        <w:trPr>
          <w:gridBefore w:val="1"/>
          <w:wBefore w:w="156" w:type="pct"/>
          <w:trHeight w:val="227"/>
          <w:tblCellSpacing w:w="0" w:type="dxa"/>
        </w:trPr>
        <w:tc>
          <w:tcPr>
            <w:tcW w:w="889" w:type="pct"/>
            <w:tcBorders>
              <w:top w:val="nil"/>
              <w:left w:val="nil"/>
              <w:bottom w:val="nil"/>
              <w:right w:val="nil"/>
            </w:tcBorders>
            <w:tcMar>
              <w:top w:w="0" w:type="dxa"/>
              <w:left w:w="0" w:type="dxa"/>
              <w:bottom w:w="0" w:type="dxa"/>
              <w:right w:w="0" w:type="dxa"/>
            </w:tcMar>
            <w:vAlign w:val="center"/>
            <w:hideMark/>
          </w:tcPr>
          <w:p w14:paraId="134DDE26" w14:textId="77777777" w:rsidR="00413A27" w:rsidRPr="00617599" w:rsidRDefault="00413A27" w:rsidP="00413A27">
            <w:pPr>
              <w:spacing w:after="0" w:line="276" w:lineRule="auto"/>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  2,000-2,499 </w:t>
            </w:r>
          </w:p>
        </w:tc>
        <w:tc>
          <w:tcPr>
            <w:tcW w:w="834" w:type="pct"/>
            <w:tcBorders>
              <w:top w:val="nil"/>
              <w:left w:val="nil"/>
              <w:bottom w:val="nil"/>
              <w:right w:val="nil"/>
            </w:tcBorders>
            <w:tcMar>
              <w:top w:w="0" w:type="dxa"/>
              <w:left w:w="0" w:type="dxa"/>
              <w:bottom w:w="0" w:type="dxa"/>
              <w:right w:w="0" w:type="dxa"/>
            </w:tcMar>
            <w:vAlign w:val="bottom"/>
          </w:tcPr>
          <w:p w14:paraId="2D500F07" w14:textId="45166116"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74</w:t>
            </w:r>
          </w:p>
        </w:tc>
        <w:tc>
          <w:tcPr>
            <w:tcW w:w="837" w:type="pct"/>
            <w:tcBorders>
              <w:top w:val="nil"/>
              <w:left w:val="nil"/>
              <w:bottom w:val="nil"/>
              <w:right w:val="nil"/>
            </w:tcBorders>
            <w:tcMar>
              <w:top w:w="0" w:type="dxa"/>
              <w:left w:w="0" w:type="dxa"/>
              <w:bottom w:w="0" w:type="dxa"/>
              <w:right w:w="0" w:type="dxa"/>
            </w:tcMar>
            <w:vAlign w:val="bottom"/>
          </w:tcPr>
          <w:p w14:paraId="735D545C" w14:textId="7824BDA5"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3</w:t>
            </w:r>
          </w:p>
        </w:tc>
        <w:tc>
          <w:tcPr>
            <w:tcW w:w="758" w:type="pct"/>
            <w:tcBorders>
              <w:top w:val="nil"/>
              <w:left w:val="nil"/>
              <w:bottom w:val="nil"/>
              <w:right w:val="nil"/>
            </w:tcBorders>
            <w:tcMar>
              <w:top w:w="0" w:type="dxa"/>
              <w:left w:w="0" w:type="dxa"/>
              <w:bottom w:w="0" w:type="dxa"/>
              <w:right w:w="0" w:type="dxa"/>
            </w:tcMar>
            <w:vAlign w:val="bottom"/>
          </w:tcPr>
          <w:p w14:paraId="12CD5E39" w14:textId="05B39793"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22</w:t>
            </w:r>
          </w:p>
        </w:tc>
        <w:tc>
          <w:tcPr>
            <w:tcW w:w="765" w:type="pct"/>
            <w:tcBorders>
              <w:top w:val="nil"/>
              <w:left w:val="nil"/>
              <w:bottom w:val="nil"/>
              <w:right w:val="nil"/>
            </w:tcBorders>
            <w:tcMar>
              <w:top w:w="0" w:type="dxa"/>
              <w:left w:w="0" w:type="dxa"/>
              <w:bottom w:w="0" w:type="dxa"/>
              <w:right w:w="0" w:type="dxa"/>
            </w:tcMar>
            <w:vAlign w:val="bottom"/>
          </w:tcPr>
          <w:p w14:paraId="6BA46CCC" w14:textId="560A5FBF"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color w:val="000000"/>
                <w:sz w:val="16"/>
                <w:szCs w:val="16"/>
              </w:rPr>
              <w:t>0</w:t>
            </w:r>
          </w:p>
        </w:tc>
        <w:tc>
          <w:tcPr>
            <w:tcW w:w="761" w:type="pct"/>
            <w:tcBorders>
              <w:top w:val="nil"/>
              <w:left w:val="nil"/>
              <w:bottom w:val="nil"/>
              <w:right w:val="nil"/>
            </w:tcBorders>
            <w:tcMar>
              <w:top w:w="0" w:type="dxa"/>
              <w:left w:w="0" w:type="dxa"/>
              <w:bottom w:w="0" w:type="dxa"/>
              <w:right w:w="0" w:type="dxa"/>
            </w:tcMar>
            <w:vAlign w:val="bottom"/>
          </w:tcPr>
          <w:p w14:paraId="1DEEC1E0" w14:textId="3C7D3F8A" w:rsidR="00413A27" w:rsidRPr="00413A27" w:rsidRDefault="00413A27" w:rsidP="00413A27">
            <w:pPr>
              <w:spacing w:after="0" w:line="276" w:lineRule="auto"/>
              <w:jc w:val="right"/>
              <w:rPr>
                <w:rFonts w:ascii="Arial" w:eastAsia="Times New Roman" w:hAnsi="Arial" w:cs="Arial"/>
                <w:i/>
                <w:iCs/>
                <w:sz w:val="16"/>
                <w:szCs w:val="16"/>
                <w:lang w:eastAsia="en-AU"/>
              </w:rPr>
            </w:pPr>
            <w:r w:rsidRPr="00413A27">
              <w:rPr>
                <w:rFonts w:ascii="Arial" w:hAnsi="Arial" w:cs="Arial"/>
                <w:i/>
                <w:iCs/>
                <w:sz w:val="16"/>
                <w:szCs w:val="16"/>
              </w:rPr>
              <w:t>99</w:t>
            </w:r>
          </w:p>
        </w:tc>
      </w:tr>
      <w:tr w:rsidR="00413A27" w:rsidRPr="00B360C3" w14:paraId="577EE09E" w14:textId="77777777" w:rsidTr="00744BEE">
        <w:trPr>
          <w:trHeight w:val="227"/>
          <w:tblCellSpacing w:w="0" w:type="dxa"/>
        </w:trPr>
        <w:tc>
          <w:tcPr>
            <w:tcW w:w="1045" w:type="pct"/>
            <w:gridSpan w:val="2"/>
            <w:tcBorders>
              <w:top w:val="nil"/>
              <w:left w:val="nil"/>
              <w:bottom w:val="nil"/>
              <w:right w:val="nil"/>
            </w:tcBorders>
            <w:tcMar>
              <w:top w:w="0" w:type="dxa"/>
              <w:left w:w="0" w:type="dxa"/>
              <w:bottom w:w="0" w:type="dxa"/>
              <w:right w:w="0" w:type="dxa"/>
            </w:tcMar>
            <w:vAlign w:val="center"/>
          </w:tcPr>
          <w:p w14:paraId="20AFCFB6" w14:textId="77777777" w:rsidR="00413A27" w:rsidRPr="00617599" w:rsidRDefault="00413A27" w:rsidP="00413A27">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&lt; 2,500 </w:t>
            </w:r>
          </w:p>
        </w:tc>
        <w:tc>
          <w:tcPr>
            <w:tcW w:w="834" w:type="pct"/>
            <w:tcBorders>
              <w:top w:val="nil"/>
              <w:left w:val="nil"/>
              <w:bottom w:val="nil"/>
              <w:right w:val="nil"/>
            </w:tcBorders>
            <w:tcMar>
              <w:top w:w="0" w:type="dxa"/>
              <w:left w:w="0" w:type="dxa"/>
              <w:bottom w:w="0" w:type="dxa"/>
              <w:right w:w="0" w:type="dxa"/>
            </w:tcMar>
            <w:vAlign w:val="bottom"/>
          </w:tcPr>
          <w:p w14:paraId="13C02B66" w14:textId="65FED2BE" w:rsidR="00413A27" w:rsidRPr="006B5B59"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132</w:t>
            </w:r>
          </w:p>
        </w:tc>
        <w:tc>
          <w:tcPr>
            <w:tcW w:w="837" w:type="pct"/>
            <w:tcBorders>
              <w:top w:val="nil"/>
              <w:left w:val="nil"/>
              <w:bottom w:val="nil"/>
              <w:right w:val="nil"/>
            </w:tcBorders>
            <w:tcMar>
              <w:top w:w="0" w:type="dxa"/>
              <w:left w:w="0" w:type="dxa"/>
              <w:bottom w:w="0" w:type="dxa"/>
              <w:right w:w="0" w:type="dxa"/>
            </w:tcMar>
            <w:vAlign w:val="bottom"/>
          </w:tcPr>
          <w:p w14:paraId="4E4D96F6" w14:textId="0034738E"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4</w:t>
            </w:r>
          </w:p>
        </w:tc>
        <w:tc>
          <w:tcPr>
            <w:tcW w:w="758" w:type="pct"/>
            <w:tcBorders>
              <w:top w:val="nil"/>
              <w:left w:val="nil"/>
              <w:bottom w:val="nil"/>
              <w:right w:val="nil"/>
            </w:tcBorders>
            <w:tcMar>
              <w:top w:w="0" w:type="dxa"/>
              <w:left w:w="0" w:type="dxa"/>
              <w:bottom w:w="0" w:type="dxa"/>
              <w:right w:w="0" w:type="dxa"/>
            </w:tcMar>
            <w:vAlign w:val="bottom"/>
          </w:tcPr>
          <w:p w14:paraId="0847D754" w14:textId="30CA30F8"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34</w:t>
            </w:r>
          </w:p>
        </w:tc>
        <w:tc>
          <w:tcPr>
            <w:tcW w:w="765" w:type="pct"/>
            <w:tcBorders>
              <w:top w:val="nil"/>
              <w:left w:val="nil"/>
              <w:bottom w:val="nil"/>
              <w:right w:val="nil"/>
            </w:tcBorders>
            <w:tcMar>
              <w:top w:w="0" w:type="dxa"/>
              <w:left w:w="0" w:type="dxa"/>
              <w:bottom w:w="0" w:type="dxa"/>
              <w:right w:w="0" w:type="dxa"/>
            </w:tcMar>
            <w:vAlign w:val="bottom"/>
          </w:tcPr>
          <w:p w14:paraId="471C68E3" w14:textId="4C9BADE5"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761" w:type="pct"/>
            <w:tcBorders>
              <w:top w:val="nil"/>
              <w:left w:val="nil"/>
              <w:bottom w:val="nil"/>
              <w:right w:val="nil"/>
            </w:tcBorders>
            <w:tcMar>
              <w:top w:w="0" w:type="dxa"/>
              <w:left w:w="0" w:type="dxa"/>
              <w:bottom w:w="0" w:type="dxa"/>
              <w:right w:w="0" w:type="dxa"/>
            </w:tcMar>
            <w:vAlign w:val="bottom"/>
          </w:tcPr>
          <w:p w14:paraId="27F0AF39" w14:textId="21759060"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170</w:t>
            </w:r>
          </w:p>
        </w:tc>
      </w:tr>
      <w:tr w:rsidR="00413A27" w:rsidRPr="00B360C3" w14:paraId="7A63E57B" w14:textId="77777777" w:rsidTr="00744BEE">
        <w:trPr>
          <w:trHeight w:val="227"/>
          <w:tblCellSpacing w:w="0" w:type="dxa"/>
        </w:trPr>
        <w:tc>
          <w:tcPr>
            <w:tcW w:w="1045" w:type="pct"/>
            <w:gridSpan w:val="2"/>
            <w:tcBorders>
              <w:top w:val="nil"/>
              <w:left w:val="nil"/>
              <w:bottom w:val="nil"/>
              <w:right w:val="nil"/>
            </w:tcBorders>
            <w:tcMar>
              <w:top w:w="0" w:type="dxa"/>
              <w:left w:w="0" w:type="dxa"/>
              <w:bottom w:w="0" w:type="dxa"/>
              <w:right w:w="0" w:type="dxa"/>
            </w:tcMar>
            <w:vAlign w:val="center"/>
            <w:hideMark/>
          </w:tcPr>
          <w:p w14:paraId="397BEF1B" w14:textId="77777777" w:rsidR="00413A27" w:rsidRPr="00617599" w:rsidRDefault="00413A27" w:rsidP="00413A27">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2,500-2,999 </w:t>
            </w:r>
          </w:p>
        </w:tc>
        <w:tc>
          <w:tcPr>
            <w:tcW w:w="834" w:type="pct"/>
            <w:tcBorders>
              <w:top w:val="nil"/>
              <w:left w:val="nil"/>
              <w:bottom w:val="nil"/>
              <w:right w:val="nil"/>
            </w:tcBorders>
            <w:tcMar>
              <w:top w:w="0" w:type="dxa"/>
              <w:left w:w="0" w:type="dxa"/>
              <w:bottom w:w="0" w:type="dxa"/>
              <w:right w:w="0" w:type="dxa"/>
            </w:tcMar>
            <w:vAlign w:val="bottom"/>
          </w:tcPr>
          <w:p w14:paraId="6290B340" w14:textId="7E28EA72" w:rsidR="00413A27" w:rsidRPr="006B5B59"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281</w:t>
            </w:r>
          </w:p>
        </w:tc>
        <w:tc>
          <w:tcPr>
            <w:tcW w:w="837" w:type="pct"/>
            <w:tcBorders>
              <w:top w:val="nil"/>
              <w:left w:val="nil"/>
              <w:bottom w:val="nil"/>
              <w:right w:val="nil"/>
            </w:tcBorders>
            <w:tcMar>
              <w:top w:w="0" w:type="dxa"/>
              <w:left w:w="0" w:type="dxa"/>
              <w:bottom w:w="0" w:type="dxa"/>
              <w:right w:w="0" w:type="dxa"/>
            </w:tcMar>
            <w:vAlign w:val="bottom"/>
          </w:tcPr>
          <w:p w14:paraId="64399349" w14:textId="425479B3"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w:t>
            </w:r>
          </w:p>
        </w:tc>
        <w:tc>
          <w:tcPr>
            <w:tcW w:w="758" w:type="pct"/>
            <w:tcBorders>
              <w:top w:val="nil"/>
              <w:left w:val="nil"/>
              <w:bottom w:val="nil"/>
              <w:right w:val="nil"/>
            </w:tcBorders>
            <w:tcMar>
              <w:top w:w="0" w:type="dxa"/>
              <w:left w:w="0" w:type="dxa"/>
              <w:bottom w:w="0" w:type="dxa"/>
              <w:right w:w="0" w:type="dxa"/>
            </w:tcMar>
            <w:vAlign w:val="bottom"/>
          </w:tcPr>
          <w:p w14:paraId="5E9DF83E" w14:textId="16F8311C"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24</w:t>
            </w:r>
          </w:p>
        </w:tc>
        <w:tc>
          <w:tcPr>
            <w:tcW w:w="765" w:type="pct"/>
            <w:tcBorders>
              <w:top w:val="nil"/>
              <w:left w:val="nil"/>
              <w:bottom w:val="nil"/>
              <w:right w:val="nil"/>
            </w:tcBorders>
            <w:tcMar>
              <w:top w:w="0" w:type="dxa"/>
              <w:left w:w="0" w:type="dxa"/>
              <w:bottom w:w="0" w:type="dxa"/>
              <w:right w:w="0" w:type="dxa"/>
            </w:tcMar>
            <w:vAlign w:val="bottom"/>
          </w:tcPr>
          <w:p w14:paraId="6D4945A7" w14:textId="4532E8E9"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761" w:type="pct"/>
            <w:tcBorders>
              <w:top w:val="nil"/>
              <w:left w:val="nil"/>
              <w:bottom w:val="nil"/>
              <w:right w:val="nil"/>
            </w:tcBorders>
            <w:tcMar>
              <w:top w:w="0" w:type="dxa"/>
              <w:left w:w="0" w:type="dxa"/>
              <w:bottom w:w="0" w:type="dxa"/>
              <w:right w:w="0" w:type="dxa"/>
            </w:tcMar>
            <w:vAlign w:val="bottom"/>
          </w:tcPr>
          <w:p w14:paraId="2F01FD6C" w14:textId="13451492"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307</w:t>
            </w:r>
          </w:p>
        </w:tc>
      </w:tr>
      <w:tr w:rsidR="00413A27" w:rsidRPr="00B360C3" w14:paraId="29F69C85" w14:textId="77777777" w:rsidTr="00744BEE">
        <w:trPr>
          <w:trHeight w:val="227"/>
          <w:tblCellSpacing w:w="0" w:type="dxa"/>
        </w:trPr>
        <w:tc>
          <w:tcPr>
            <w:tcW w:w="1045" w:type="pct"/>
            <w:gridSpan w:val="2"/>
            <w:tcBorders>
              <w:top w:val="nil"/>
              <w:left w:val="nil"/>
              <w:bottom w:val="nil"/>
              <w:right w:val="nil"/>
            </w:tcBorders>
            <w:tcMar>
              <w:top w:w="0" w:type="dxa"/>
              <w:left w:w="0" w:type="dxa"/>
              <w:bottom w:w="0" w:type="dxa"/>
              <w:right w:w="0" w:type="dxa"/>
            </w:tcMar>
            <w:vAlign w:val="center"/>
            <w:hideMark/>
          </w:tcPr>
          <w:p w14:paraId="6567AA4D" w14:textId="77777777" w:rsidR="00413A27" w:rsidRPr="00617599" w:rsidRDefault="00413A27" w:rsidP="00413A27">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3,000-3,499 </w:t>
            </w:r>
          </w:p>
        </w:tc>
        <w:tc>
          <w:tcPr>
            <w:tcW w:w="834" w:type="pct"/>
            <w:tcBorders>
              <w:top w:val="nil"/>
              <w:left w:val="nil"/>
              <w:bottom w:val="nil"/>
              <w:right w:val="nil"/>
            </w:tcBorders>
            <w:tcMar>
              <w:top w:w="0" w:type="dxa"/>
              <w:left w:w="0" w:type="dxa"/>
              <w:bottom w:w="0" w:type="dxa"/>
              <w:right w:w="0" w:type="dxa"/>
            </w:tcMar>
            <w:vAlign w:val="bottom"/>
          </w:tcPr>
          <w:p w14:paraId="54FD274F" w14:textId="24951E0B"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656</w:t>
            </w:r>
          </w:p>
        </w:tc>
        <w:tc>
          <w:tcPr>
            <w:tcW w:w="837" w:type="pct"/>
            <w:tcBorders>
              <w:top w:val="nil"/>
              <w:left w:val="nil"/>
              <w:bottom w:val="nil"/>
              <w:right w:val="nil"/>
            </w:tcBorders>
            <w:tcMar>
              <w:top w:w="0" w:type="dxa"/>
              <w:left w:w="0" w:type="dxa"/>
              <w:bottom w:w="0" w:type="dxa"/>
              <w:right w:w="0" w:type="dxa"/>
            </w:tcMar>
            <w:vAlign w:val="bottom"/>
          </w:tcPr>
          <w:p w14:paraId="0ED9EBA7" w14:textId="448082B6" w:rsidR="00413A27" w:rsidRPr="0095217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5</w:t>
            </w:r>
          </w:p>
        </w:tc>
        <w:tc>
          <w:tcPr>
            <w:tcW w:w="758" w:type="pct"/>
            <w:tcBorders>
              <w:top w:val="nil"/>
              <w:left w:val="nil"/>
              <w:bottom w:val="nil"/>
              <w:right w:val="nil"/>
            </w:tcBorders>
            <w:tcMar>
              <w:top w:w="0" w:type="dxa"/>
              <w:left w:w="0" w:type="dxa"/>
              <w:bottom w:w="0" w:type="dxa"/>
              <w:right w:w="0" w:type="dxa"/>
            </w:tcMar>
            <w:vAlign w:val="bottom"/>
          </w:tcPr>
          <w:p w14:paraId="710FBCB7" w14:textId="16CE4031"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7</w:t>
            </w:r>
          </w:p>
        </w:tc>
        <w:tc>
          <w:tcPr>
            <w:tcW w:w="765" w:type="pct"/>
            <w:tcBorders>
              <w:top w:val="nil"/>
              <w:left w:val="nil"/>
              <w:bottom w:val="nil"/>
              <w:right w:val="nil"/>
            </w:tcBorders>
            <w:tcMar>
              <w:top w:w="0" w:type="dxa"/>
              <w:left w:w="0" w:type="dxa"/>
              <w:bottom w:w="0" w:type="dxa"/>
              <w:right w:w="0" w:type="dxa"/>
            </w:tcMar>
            <w:vAlign w:val="bottom"/>
          </w:tcPr>
          <w:p w14:paraId="03C7B0E5" w14:textId="5B0BD39D"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761" w:type="pct"/>
            <w:tcBorders>
              <w:top w:val="nil"/>
              <w:left w:val="nil"/>
              <w:bottom w:val="nil"/>
              <w:right w:val="nil"/>
            </w:tcBorders>
            <w:tcMar>
              <w:top w:w="0" w:type="dxa"/>
              <w:left w:w="0" w:type="dxa"/>
              <w:bottom w:w="0" w:type="dxa"/>
              <w:right w:w="0" w:type="dxa"/>
            </w:tcMar>
            <w:vAlign w:val="bottom"/>
          </w:tcPr>
          <w:p w14:paraId="1ED9F0C6" w14:textId="05BFCAF5"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668</w:t>
            </w:r>
          </w:p>
        </w:tc>
      </w:tr>
      <w:tr w:rsidR="00413A27" w:rsidRPr="00B360C3" w14:paraId="640A3557" w14:textId="77777777" w:rsidTr="00744BEE">
        <w:trPr>
          <w:trHeight w:val="227"/>
          <w:tblCellSpacing w:w="0" w:type="dxa"/>
        </w:trPr>
        <w:tc>
          <w:tcPr>
            <w:tcW w:w="1045" w:type="pct"/>
            <w:gridSpan w:val="2"/>
            <w:tcBorders>
              <w:top w:val="nil"/>
              <w:left w:val="nil"/>
              <w:bottom w:val="nil"/>
              <w:right w:val="nil"/>
            </w:tcBorders>
            <w:tcMar>
              <w:top w:w="0" w:type="dxa"/>
              <w:left w:w="0" w:type="dxa"/>
              <w:bottom w:w="0" w:type="dxa"/>
              <w:right w:w="0" w:type="dxa"/>
            </w:tcMar>
            <w:vAlign w:val="center"/>
            <w:hideMark/>
          </w:tcPr>
          <w:p w14:paraId="74DF63D1" w14:textId="77777777" w:rsidR="00413A27" w:rsidRPr="00617599" w:rsidRDefault="00413A27" w:rsidP="00413A27">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3,500-3,999 </w:t>
            </w:r>
          </w:p>
        </w:tc>
        <w:tc>
          <w:tcPr>
            <w:tcW w:w="834" w:type="pct"/>
            <w:tcBorders>
              <w:top w:val="nil"/>
              <w:left w:val="nil"/>
              <w:bottom w:val="nil"/>
              <w:right w:val="nil"/>
            </w:tcBorders>
            <w:tcMar>
              <w:top w:w="0" w:type="dxa"/>
              <w:left w:w="0" w:type="dxa"/>
              <w:bottom w:w="0" w:type="dxa"/>
              <w:right w:w="0" w:type="dxa"/>
            </w:tcMar>
            <w:vAlign w:val="bottom"/>
          </w:tcPr>
          <w:p w14:paraId="39055066" w14:textId="2427551D"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623</w:t>
            </w:r>
          </w:p>
        </w:tc>
        <w:tc>
          <w:tcPr>
            <w:tcW w:w="837" w:type="pct"/>
            <w:tcBorders>
              <w:top w:val="nil"/>
              <w:left w:val="nil"/>
              <w:bottom w:val="nil"/>
              <w:right w:val="nil"/>
            </w:tcBorders>
            <w:tcMar>
              <w:top w:w="0" w:type="dxa"/>
              <w:left w:w="0" w:type="dxa"/>
              <w:bottom w:w="0" w:type="dxa"/>
              <w:right w:w="0" w:type="dxa"/>
            </w:tcMar>
            <w:vAlign w:val="bottom"/>
          </w:tcPr>
          <w:p w14:paraId="1BEA1C1E" w14:textId="5540DD5B" w:rsidR="00413A27" w:rsidRPr="0095217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7</w:t>
            </w:r>
          </w:p>
        </w:tc>
        <w:tc>
          <w:tcPr>
            <w:tcW w:w="758" w:type="pct"/>
            <w:tcBorders>
              <w:top w:val="nil"/>
              <w:left w:val="nil"/>
              <w:bottom w:val="nil"/>
              <w:right w:val="nil"/>
            </w:tcBorders>
            <w:tcMar>
              <w:top w:w="0" w:type="dxa"/>
              <w:left w:w="0" w:type="dxa"/>
              <w:bottom w:w="0" w:type="dxa"/>
              <w:right w:w="0" w:type="dxa"/>
            </w:tcMar>
            <w:vAlign w:val="bottom"/>
          </w:tcPr>
          <w:p w14:paraId="2686D4EA" w14:textId="1B2139A4"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w:t>
            </w:r>
          </w:p>
        </w:tc>
        <w:tc>
          <w:tcPr>
            <w:tcW w:w="765" w:type="pct"/>
            <w:tcBorders>
              <w:top w:val="nil"/>
              <w:left w:val="nil"/>
              <w:bottom w:val="nil"/>
              <w:right w:val="nil"/>
            </w:tcBorders>
            <w:tcMar>
              <w:top w:w="0" w:type="dxa"/>
              <w:left w:w="0" w:type="dxa"/>
              <w:bottom w:w="0" w:type="dxa"/>
              <w:right w:w="0" w:type="dxa"/>
            </w:tcMar>
            <w:vAlign w:val="bottom"/>
          </w:tcPr>
          <w:p w14:paraId="1DA2E482" w14:textId="5AD5BC30"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761" w:type="pct"/>
            <w:tcBorders>
              <w:top w:val="nil"/>
              <w:left w:val="nil"/>
              <w:bottom w:val="nil"/>
              <w:right w:val="nil"/>
            </w:tcBorders>
            <w:tcMar>
              <w:top w:w="0" w:type="dxa"/>
              <w:left w:w="0" w:type="dxa"/>
              <w:bottom w:w="0" w:type="dxa"/>
              <w:right w:w="0" w:type="dxa"/>
            </w:tcMar>
            <w:vAlign w:val="bottom"/>
          </w:tcPr>
          <w:p w14:paraId="0D251E5B" w14:textId="4F7DEF5B"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631</w:t>
            </w:r>
          </w:p>
        </w:tc>
      </w:tr>
      <w:tr w:rsidR="00413A27" w:rsidRPr="00B360C3" w14:paraId="4A605C45" w14:textId="77777777" w:rsidTr="00744BEE">
        <w:trPr>
          <w:trHeight w:val="227"/>
          <w:tblCellSpacing w:w="0" w:type="dxa"/>
        </w:trPr>
        <w:tc>
          <w:tcPr>
            <w:tcW w:w="1045" w:type="pct"/>
            <w:gridSpan w:val="2"/>
            <w:tcBorders>
              <w:top w:val="nil"/>
              <w:left w:val="nil"/>
              <w:bottom w:val="nil"/>
              <w:right w:val="nil"/>
            </w:tcBorders>
            <w:tcMar>
              <w:top w:w="0" w:type="dxa"/>
              <w:left w:w="0" w:type="dxa"/>
              <w:bottom w:w="0" w:type="dxa"/>
              <w:right w:w="0" w:type="dxa"/>
            </w:tcMar>
            <w:vAlign w:val="center"/>
            <w:hideMark/>
          </w:tcPr>
          <w:p w14:paraId="76AD31DB" w14:textId="77777777" w:rsidR="00413A27" w:rsidRPr="00617599" w:rsidRDefault="00413A27" w:rsidP="00413A27">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 4,000 </w:t>
            </w:r>
          </w:p>
        </w:tc>
        <w:tc>
          <w:tcPr>
            <w:tcW w:w="834" w:type="pct"/>
            <w:tcBorders>
              <w:top w:val="nil"/>
              <w:left w:val="nil"/>
              <w:bottom w:val="nil"/>
              <w:right w:val="nil"/>
            </w:tcBorders>
            <w:tcMar>
              <w:top w:w="0" w:type="dxa"/>
              <w:left w:w="0" w:type="dxa"/>
              <w:bottom w:w="0" w:type="dxa"/>
              <w:right w:w="0" w:type="dxa"/>
            </w:tcMar>
            <w:vAlign w:val="bottom"/>
          </w:tcPr>
          <w:p w14:paraId="6D5E83EF" w14:textId="19589BE6"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233</w:t>
            </w:r>
          </w:p>
        </w:tc>
        <w:tc>
          <w:tcPr>
            <w:tcW w:w="837" w:type="pct"/>
            <w:tcBorders>
              <w:top w:val="nil"/>
              <w:left w:val="nil"/>
              <w:bottom w:val="nil"/>
              <w:right w:val="nil"/>
            </w:tcBorders>
            <w:tcMar>
              <w:top w:w="0" w:type="dxa"/>
              <w:left w:w="0" w:type="dxa"/>
              <w:bottom w:w="0" w:type="dxa"/>
              <w:right w:w="0" w:type="dxa"/>
            </w:tcMar>
            <w:vAlign w:val="bottom"/>
          </w:tcPr>
          <w:p w14:paraId="5DF85EE2" w14:textId="7256CDC8" w:rsidR="00413A27" w:rsidRPr="006B5B59"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w:t>
            </w:r>
          </w:p>
        </w:tc>
        <w:tc>
          <w:tcPr>
            <w:tcW w:w="758" w:type="pct"/>
            <w:tcBorders>
              <w:top w:val="nil"/>
              <w:left w:val="nil"/>
              <w:bottom w:val="nil"/>
              <w:right w:val="nil"/>
            </w:tcBorders>
            <w:tcMar>
              <w:top w:w="0" w:type="dxa"/>
              <w:left w:w="0" w:type="dxa"/>
              <w:bottom w:w="0" w:type="dxa"/>
              <w:right w:w="0" w:type="dxa"/>
            </w:tcMar>
            <w:vAlign w:val="bottom"/>
          </w:tcPr>
          <w:p w14:paraId="3558CE95" w14:textId="274DEB5D"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765" w:type="pct"/>
            <w:tcBorders>
              <w:top w:val="nil"/>
              <w:left w:val="nil"/>
              <w:bottom w:val="nil"/>
              <w:right w:val="nil"/>
            </w:tcBorders>
            <w:tcMar>
              <w:top w:w="0" w:type="dxa"/>
              <w:left w:w="0" w:type="dxa"/>
              <w:bottom w:w="0" w:type="dxa"/>
              <w:right w:w="0" w:type="dxa"/>
            </w:tcMar>
            <w:vAlign w:val="bottom"/>
          </w:tcPr>
          <w:p w14:paraId="2AF9ECE4" w14:textId="21B09E59"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761" w:type="pct"/>
            <w:tcBorders>
              <w:top w:val="nil"/>
              <w:left w:val="nil"/>
              <w:bottom w:val="nil"/>
              <w:right w:val="nil"/>
            </w:tcBorders>
            <w:tcMar>
              <w:top w:w="0" w:type="dxa"/>
              <w:left w:w="0" w:type="dxa"/>
              <w:bottom w:w="0" w:type="dxa"/>
              <w:right w:w="0" w:type="dxa"/>
            </w:tcMar>
            <w:vAlign w:val="bottom"/>
          </w:tcPr>
          <w:p w14:paraId="5101BA99" w14:textId="0D31D3E4"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236</w:t>
            </w:r>
          </w:p>
        </w:tc>
      </w:tr>
      <w:tr w:rsidR="00413A27" w:rsidRPr="00B360C3" w14:paraId="10D28093" w14:textId="77777777" w:rsidTr="00744BEE">
        <w:trPr>
          <w:trHeight w:val="227"/>
          <w:tblCellSpacing w:w="0" w:type="dxa"/>
        </w:trPr>
        <w:tc>
          <w:tcPr>
            <w:tcW w:w="1045" w:type="pct"/>
            <w:gridSpan w:val="2"/>
            <w:tcBorders>
              <w:top w:val="nil"/>
              <w:left w:val="nil"/>
              <w:bottom w:val="nil"/>
              <w:right w:val="nil"/>
            </w:tcBorders>
            <w:tcMar>
              <w:top w:w="0" w:type="dxa"/>
              <w:left w:w="0" w:type="dxa"/>
              <w:bottom w:w="0" w:type="dxa"/>
              <w:right w:w="0" w:type="dxa"/>
            </w:tcMar>
            <w:vAlign w:val="center"/>
            <w:hideMark/>
          </w:tcPr>
          <w:p w14:paraId="6DC090FD" w14:textId="77777777" w:rsidR="00413A27" w:rsidRPr="00617599" w:rsidRDefault="00413A27" w:rsidP="00413A27">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Not stated </w:t>
            </w:r>
          </w:p>
        </w:tc>
        <w:tc>
          <w:tcPr>
            <w:tcW w:w="834" w:type="pct"/>
            <w:tcBorders>
              <w:top w:val="nil"/>
              <w:left w:val="nil"/>
              <w:bottom w:val="nil"/>
              <w:right w:val="nil"/>
            </w:tcBorders>
            <w:tcMar>
              <w:top w:w="0" w:type="dxa"/>
              <w:left w:w="0" w:type="dxa"/>
              <w:bottom w:w="0" w:type="dxa"/>
              <w:right w:w="0" w:type="dxa"/>
            </w:tcMar>
            <w:vAlign w:val="bottom"/>
          </w:tcPr>
          <w:p w14:paraId="0F873685" w14:textId="0066651E"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16</w:t>
            </w:r>
          </w:p>
        </w:tc>
        <w:tc>
          <w:tcPr>
            <w:tcW w:w="837" w:type="pct"/>
            <w:tcBorders>
              <w:top w:val="nil"/>
              <w:left w:val="nil"/>
              <w:bottom w:val="nil"/>
              <w:right w:val="nil"/>
            </w:tcBorders>
            <w:tcMar>
              <w:top w:w="0" w:type="dxa"/>
              <w:left w:w="0" w:type="dxa"/>
              <w:bottom w:w="0" w:type="dxa"/>
              <w:right w:w="0" w:type="dxa"/>
            </w:tcMar>
            <w:vAlign w:val="bottom"/>
          </w:tcPr>
          <w:p w14:paraId="5143427D" w14:textId="41E4E9BD"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w:t>
            </w:r>
          </w:p>
        </w:tc>
        <w:tc>
          <w:tcPr>
            <w:tcW w:w="758" w:type="pct"/>
            <w:tcBorders>
              <w:top w:val="nil"/>
              <w:left w:val="nil"/>
              <w:bottom w:val="nil"/>
              <w:right w:val="nil"/>
            </w:tcBorders>
            <w:tcMar>
              <w:top w:w="0" w:type="dxa"/>
              <w:left w:w="0" w:type="dxa"/>
              <w:bottom w:w="0" w:type="dxa"/>
              <w:right w:w="0" w:type="dxa"/>
            </w:tcMar>
            <w:vAlign w:val="bottom"/>
          </w:tcPr>
          <w:p w14:paraId="5B166653" w14:textId="288DF67C"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5</w:t>
            </w:r>
          </w:p>
        </w:tc>
        <w:tc>
          <w:tcPr>
            <w:tcW w:w="765" w:type="pct"/>
            <w:tcBorders>
              <w:top w:val="nil"/>
              <w:left w:val="nil"/>
              <w:bottom w:val="nil"/>
              <w:right w:val="nil"/>
            </w:tcBorders>
            <w:tcMar>
              <w:top w:w="0" w:type="dxa"/>
              <w:left w:w="0" w:type="dxa"/>
              <w:bottom w:w="0" w:type="dxa"/>
              <w:right w:w="0" w:type="dxa"/>
            </w:tcMar>
            <w:vAlign w:val="bottom"/>
          </w:tcPr>
          <w:p w14:paraId="056059DE" w14:textId="4E69C480"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0</w:t>
            </w:r>
          </w:p>
        </w:tc>
        <w:tc>
          <w:tcPr>
            <w:tcW w:w="761" w:type="pct"/>
            <w:tcBorders>
              <w:top w:val="nil"/>
              <w:left w:val="nil"/>
              <w:bottom w:val="nil"/>
              <w:right w:val="nil"/>
            </w:tcBorders>
            <w:tcMar>
              <w:top w:w="0" w:type="dxa"/>
              <w:left w:w="0" w:type="dxa"/>
              <w:bottom w:w="0" w:type="dxa"/>
              <w:right w:w="0" w:type="dxa"/>
            </w:tcMar>
            <w:vAlign w:val="bottom"/>
          </w:tcPr>
          <w:p w14:paraId="5C6459B6" w14:textId="1B10173E"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22</w:t>
            </w:r>
          </w:p>
        </w:tc>
      </w:tr>
      <w:tr w:rsidR="00413A27" w:rsidRPr="00B360C3" w14:paraId="3019CD94" w14:textId="77777777" w:rsidTr="00744BEE">
        <w:trPr>
          <w:trHeight w:val="227"/>
          <w:tblCellSpacing w:w="0" w:type="dxa"/>
        </w:trPr>
        <w:tc>
          <w:tcPr>
            <w:tcW w:w="1045" w:type="pct"/>
            <w:gridSpan w:val="2"/>
            <w:tcBorders>
              <w:top w:val="nil"/>
              <w:left w:val="nil"/>
              <w:bottom w:val="nil"/>
              <w:right w:val="nil"/>
            </w:tcBorders>
            <w:tcMar>
              <w:top w:w="0" w:type="dxa"/>
              <w:left w:w="0" w:type="dxa"/>
              <w:bottom w:w="0" w:type="dxa"/>
              <w:right w:w="0" w:type="dxa"/>
            </w:tcMar>
            <w:vAlign w:val="center"/>
            <w:hideMark/>
          </w:tcPr>
          <w:p w14:paraId="769B38A1" w14:textId="77777777" w:rsidR="00413A27" w:rsidRPr="00087467" w:rsidRDefault="00413A27" w:rsidP="00413A27">
            <w:pPr>
              <w:spacing w:after="0" w:line="276" w:lineRule="auto"/>
              <w:rPr>
                <w:rFonts w:ascii="Arial" w:eastAsia="Times New Roman" w:hAnsi="Arial" w:cs="Arial"/>
                <w:b/>
                <w:sz w:val="16"/>
                <w:szCs w:val="16"/>
                <w:lang w:eastAsia="en-AU"/>
              </w:rPr>
            </w:pPr>
            <w:r w:rsidRPr="00087467">
              <w:rPr>
                <w:rFonts w:ascii="Arial" w:eastAsia="Times New Roman" w:hAnsi="Arial" w:cs="Arial"/>
                <w:b/>
                <w:sz w:val="16"/>
                <w:szCs w:val="16"/>
                <w:lang w:eastAsia="en-AU"/>
              </w:rPr>
              <w:t xml:space="preserve">  Total </w:t>
            </w:r>
          </w:p>
        </w:tc>
        <w:tc>
          <w:tcPr>
            <w:tcW w:w="834" w:type="pct"/>
            <w:tcBorders>
              <w:top w:val="nil"/>
              <w:left w:val="nil"/>
              <w:bottom w:val="nil"/>
              <w:right w:val="nil"/>
            </w:tcBorders>
            <w:tcMar>
              <w:top w:w="0" w:type="dxa"/>
              <w:left w:w="0" w:type="dxa"/>
              <w:bottom w:w="0" w:type="dxa"/>
              <w:right w:w="0" w:type="dxa"/>
            </w:tcMar>
            <w:vAlign w:val="bottom"/>
          </w:tcPr>
          <w:p w14:paraId="3BD85F4A" w14:textId="03323A72" w:rsidR="00413A27" w:rsidRPr="00087467" w:rsidRDefault="00413A27" w:rsidP="00413A27">
            <w:pPr>
              <w:spacing w:after="0" w:line="276" w:lineRule="auto"/>
              <w:jc w:val="right"/>
              <w:rPr>
                <w:rFonts w:ascii="Arial" w:eastAsia="Times New Roman" w:hAnsi="Arial" w:cs="Arial"/>
                <w:b/>
                <w:sz w:val="16"/>
                <w:szCs w:val="16"/>
                <w:lang w:eastAsia="en-AU"/>
              </w:rPr>
            </w:pPr>
            <w:r>
              <w:rPr>
                <w:rFonts w:ascii="Arial" w:hAnsi="Arial" w:cs="Arial"/>
                <w:b/>
                <w:bCs/>
                <w:sz w:val="16"/>
                <w:szCs w:val="16"/>
              </w:rPr>
              <w:t>1,941</w:t>
            </w:r>
          </w:p>
        </w:tc>
        <w:tc>
          <w:tcPr>
            <w:tcW w:w="837" w:type="pct"/>
            <w:tcBorders>
              <w:top w:val="nil"/>
              <w:left w:val="nil"/>
              <w:bottom w:val="nil"/>
              <w:right w:val="nil"/>
            </w:tcBorders>
            <w:tcMar>
              <w:top w:w="0" w:type="dxa"/>
              <w:left w:w="0" w:type="dxa"/>
              <w:bottom w:w="0" w:type="dxa"/>
              <w:right w:w="0" w:type="dxa"/>
            </w:tcMar>
            <w:vAlign w:val="bottom"/>
          </w:tcPr>
          <w:p w14:paraId="76CC7BD0" w14:textId="3F621DF3" w:rsidR="00413A27" w:rsidRPr="00F00A63" w:rsidRDefault="00413A27" w:rsidP="00413A27">
            <w:pPr>
              <w:spacing w:after="0" w:line="276" w:lineRule="auto"/>
              <w:jc w:val="right"/>
              <w:rPr>
                <w:rFonts w:ascii="Arial" w:eastAsia="Times New Roman" w:hAnsi="Arial" w:cs="Arial"/>
                <w:b/>
                <w:sz w:val="16"/>
                <w:szCs w:val="16"/>
                <w:lang w:eastAsia="en-AU"/>
              </w:rPr>
            </w:pPr>
            <w:r>
              <w:rPr>
                <w:rFonts w:ascii="Arial" w:hAnsi="Arial" w:cs="Arial"/>
                <w:b/>
                <w:bCs/>
                <w:sz w:val="16"/>
                <w:szCs w:val="16"/>
              </w:rPr>
              <w:t>22</w:t>
            </w:r>
          </w:p>
        </w:tc>
        <w:tc>
          <w:tcPr>
            <w:tcW w:w="758" w:type="pct"/>
            <w:tcBorders>
              <w:top w:val="nil"/>
              <w:left w:val="nil"/>
              <w:bottom w:val="nil"/>
              <w:right w:val="nil"/>
            </w:tcBorders>
            <w:tcMar>
              <w:top w:w="0" w:type="dxa"/>
              <w:left w:w="0" w:type="dxa"/>
              <w:bottom w:w="0" w:type="dxa"/>
              <w:right w:w="0" w:type="dxa"/>
            </w:tcMar>
            <w:vAlign w:val="bottom"/>
          </w:tcPr>
          <w:p w14:paraId="0786AA79" w14:textId="2192344E" w:rsidR="00413A27" w:rsidRPr="00F00A63" w:rsidRDefault="00413A27" w:rsidP="00413A27">
            <w:pPr>
              <w:spacing w:after="0" w:line="276" w:lineRule="auto"/>
              <w:jc w:val="right"/>
              <w:rPr>
                <w:rFonts w:ascii="Arial" w:eastAsia="Times New Roman" w:hAnsi="Arial" w:cs="Arial"/>
                <w:b/>
                <w:sz w:val="16"/>
                <w:szCs w:val="16"/>
                <w:lang w:eastAsia="en-AU"/>
              </w:rPr>
            </w:pPr>
            <w:r>
              <w:rPr>
                <w:rFonts w:ascii="Arial" w:hAnsi="Arial" w:cs="Arial"/>
                <w:b/>
                <w:bCs/>
                <w:sz w:val="16"/>
                <w:szCs w:val="16"/>
              </w:rPr>
              <w:t>71</w:t>
            </w:r>
          </w:p>
        </w:tc>
        <w:tc>
          <w:tcPr>
            <w:tcW w:w="765" w:type="pct"/>
            <w:tcBorders>
              <w:top w:val="nil"/>
              <w:left w:val="nil"/>
              <w:bottom w:val="nil"/>
              <w:right w:val="nil"/>
            </w:tcBorders>
            <w:tcMar>
              <w:top w:w="0" w:type="dxa"/>
              <w:left w:w="0" w:type="dxa"/>
              <w:bottom w:w="0" w:type="dxa"/>
              <w:right w:w="0" w:type="dxa"/>
            </w:tcMar>
            <w:vAlign w:val="bottom"/>
          </w:tcPr>
          <w:p w14:paraId="54469BDA" w14:textId="2F1BAC5C" w:rsidR="00413A27" w:rsidRPr="00087467" w:rsidRDefault="00413A27" w:rsidP="00413A27">
            <w:pPr>
              <w:spacing w:after="0" w:line="276" w:lineRule="auto"/>
              <w:jc w:val="right"/>
              <w:rPr>
                <w:rFonts w:ascii="Arial" w:eastAsia="Times New Roman" w:hAnsi="Arial" w:cs="Arial"/>
                <w:b/>
                <w:sz w:val="16"/>
                <w:szCs w:val="16"/>
                <w:lang w:eastAsia="en-AU"/>
              </w:rPr>
            </w:pPr>
            <w:r>
              <w:rPr>
                <w:rFonts w:ascii="Arial" w:hAnsi="Arial" w:cs="Arial"/>
                <w:b/>
                <w:bCs/>
                <w:color w:val="000000"/>
                <w:sz w:val="16"/>
                <w:szCs w:val="16"/>
              </w:rPr>
              <w:t>0</w:t>
            </w:r>
          </w:p>
        </w:tc>
        <w:tc>
          <w:tcPr>
            <w:tcW w:w="761" w:type="pct"/>
            <w:tcBorders>
              <w:top w:val="nil"/>
              <w:left w:val="nil"/>
              <w:bottom w:val="nil"/>
              <w:right w:val="nil"/>
            </w:tcBorders>
            <w:tcMar>
              <w:top w:w="0" w:type="dxa"/>
              <w:left w:w="0" w:type="dxa"/>
              <w:bottom w:w="0" w:type="dxa"/>
              <w:right w:w="0" w:type="dxa"/>
            </w:tcMar>
            <w:vAlign w:val="bottom"/>
          </w:tcPr>
          <w:p w14:paraId="33D5E75E" w14:textId="225F3C0C" w:rsidR="00413A27" w:rsidRPr="00087467" w:rsidRDefault="00413A27" w:rsidP="00413A27">
            <w:pPr>
              <w:spacing w:after="0" w:line="276" w:lineRule="auto"/>
              <w:jc w:val="right"/>
              <w:rPr>
                <w:rFonts w:ascii="Arial" w:eastAsia="Times New Roman" w:hAnsi="Arial" w:cs="Arial"/>
                <w:b/>
                <w:sz w:val="16"/>
                <w:szCs w:val="16"/>
                <w:lang w:eastAsia="en-AU"/>
              </w:rPr>
            </w:pPr>
            <w:r>
              <w:rPr>
                <w:rFonts w:ascii="Arial" w:hAnsi="Arial" w:cs="Arial"/>
                <w:b/>
                <w:bCs/>
                <w:sz w:val="16"/>
                <w:szCs w:val="16"/>
              </w:rPr>
              <w:t>2,034</w:t>
            </w:r>
          </w:p>
        </w:tc>
      </w:tr>
      <w:tr w:rsidR="00925F63" w:rsidRPr="00617599" w14:paraId="3223C6F7" w14:textId="77777777" w:rsidTr="00360E75">
        <w:trPr>
          <w:gridBefore w:val="1"/>
          <w:wBefore w:w="156" w:type="pct"/>
          <w:trHeight w:val="227"/>
          <w:tblCellSpacing w:w="0" w:type="dxa"/>
        </w:trPr>
        <w:tc>
          <w:tcPr>
            <w:tcW w:w="889" w:type="pct"/>
            <w:tcBorders>
              <w:top w:val="nil"/>
              <w:left w:val="nil"/>
              <w:bottom w:val="nil"/>
              <w:right w:val="nil"/>
            </w:tcBorders>
            <w:tcMar>
              <w:top w:w="0" w:type="dxa"/>
              <w:left w:w="0" w:type="dxa"/>
              <w:bottom w:w="0" w:type="dxa"/>
              <w:right w:w="0" w:type="dxa"/>
            </w:tcMar>
            <w:vAlign w:val="center"/>
          </w:tcPr>
          <w:p w14:paraId="2B5C0D65" w14:textId="58554B53" w:rsidR="00925F63" w:rsidRPr="00617599" w:rsidRDefault="00925F63" w:rsidP="00360E75">
            <w:pPr>
              <w:spacing w:after="0" w:line="276" w:lineRule="auto"/>
              <w:rPr>
                <w:rFonts w:ascii="Arial" w:eastAsia="Times New Roman" w:hAnsi="Arial" w:cs="Arial"/>
                <w:i/>
                <w:sz w:val="16"/>
                <w:szCs w:val="16"/>
                <w:lang w:eastAsia="en-AU"/>
              </w:rPr>
            </w:pPr>
          </w:p>
        </w:tc>
        <w:tc>
          <w:tcPr>
            <w:tcW w:w="3955" w:type="pct"/>
            <w:gridSpan w:val="5"/>
            <w:tcBorders>
              <w:top w:val="nil"/>
              <w:left w:val="nil"/>
              <w:bottom w:val="nil"/>
              <w:right w:val="nil"/>
            </w:tcBorders>
            <w:tcMar>
              <w:top w:w="0" w:type="dxa"/>
              <w:left w:w="0" w:type="dxa"/>
              <w:bottom w:w="0" w:type="dxa"/>
              <w:right w:w="0" w:type="dxa"/>
            </w:tcMar>
            <w:vAlign w:val="center"/>
          </w:tcPr>
          <w:p w14:paraId="479ECCCE" w14:textId="2BD132B2" w:rsidR="00925F63" w:rsidRPr="00584635" w:rsidRDefault="00A97D2D" w:rsidP="00360E75">
            <w:pPr>
              <w:spacing w:after="0" w:line="276" w:lineRule="auto"/>
              <w:jc w:val="center"/>
              <w:rPr>
                <w:rFonts w:ascii="Arial" w:hAnsi="Arial" w:cs="Arial"/>
                <w:b/>
                <w:iCs/>
                <w:sz w:val="16"/>
                <w:szCs w:val="16"/>
              </w:rPr>
            </w:pPr>
            <w:r>
              <w:rPr>
                <w:rFonts w:ascii="Arial" w:hAnsi="Arial" w:cs="Arial"/>
                <w:b/>
                <w:iCs/>
                <w:sz w:val="16"/>
                <w:szCs w:val="16"/>
              </w:rPr>
              <w:t>%</w:t>
            </w:r>
          </w:p>
        </w:tc>
      </w:tr>
      <w:tr w:rsidR="00413A27" w:rsidRPr="00617599" w14:paraId="1A6D0782" w14:textId="77777777" w:rsidTr="00744BEE">
        <w:trPr>
          <w:gridBefore w:val="1"/>
          <w:wBefore w:w="156" w:type="pct"/>
          <w:trHeight w:val="227"/>
          <w:tblCellSpacing w:w="0" w:type="dxa"/>
        </w:trPr>
        <w:tc>
          <w:tcPr>
            <w:tcW w:w="889" w:type="pct"/>
            <w:tcBorders>
              <w:top w:val="nil"/>
              <w:left w:val="nil"/>
              <w:bottom w:val="nil"/>
              <w:right w:val="nil"/>
            </w:tcBorders>
            <w:tcMar>
              <w:top w:w="0" w:type="dxa"/>
              <w:left w:w="0" w:type="dxa"/>
              <w:bottom w:w="0" w:type="dxa"/>
              <w:right w:w="0" w:type="dxa"/>
            </w:tcMar>
            <w:vAlign w:val="center"/>
            <w:hideMark/>
          </w:tcPr>
          <w:p w14:paraId="05EF1640" w14:textId="77777777" w:rsidR="00413A27" w:rsidRPr="00617599" w:rsidRDefault="00413A27" w:rsidP="00413A27">
            <w:pPr>
              <w:spacing w:after="0" w:line="276" w:lineRule="auto"/>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  &lt; 1,000 </w:t>
            </w:r>
          </w:p>
        </w:tc>
        <w:tc>
          <w:tcPr>
            <w:tcW w:w="834" w:type="pct"/>
            <w:tcBorders>
              <w:top w:val="nil"/>
              <w:left w:val="nil"/>
              <w:bottom w:val="nil"/>
              <w:right w:val="nil"/>
            </w:tcBorders>
            <w:tcMar>
              <w:top w:w="0" w:type="dxa"/>
              <w:left w:w="0" w:type="dxa"/>
              <w:bottom w:w="0" w:type="dxa"/>
              <w:right w:w="0" w:type="dxa"/>
            </w:tcMar>
            <w:vAlign w:val="bottom"/>
          </w:tcPr>
          <w:p w14:paraId="40354B33" w14:textId="176CAB58" w:rsidR="00413A27" w:rsidRPr="00613321"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0.7</w:t>
            </w:r>
          </w:p>
        </w:tc>
        <w:tc>
          <w:tcPr>
            <w:tcW w:w="837" w:type="pct"/>
            <w:tcBorders>
              <w:top w:val="nil"/>
              <w:left w:val="nil"/>
              <w:bottom w:val="nil"/>
              <w:right w:val="nil"/>
            </w:tcBorders>
            <w:tcMar>
              <w:top w:w="0" w:type="dxa"/>
              <w:left w:w="0" w:type="dxa"/>
              <w:bottom w:w="0" w:type="dxa"/>
              <w:right w:w="0" w:type="dxa"/>
            </w:tcMar>
            <w:vAlign w:val="bottom"/>
          </w:tcPr>
          <w:p w14:paraId="5792B4F9" w14:textId="012725CD" w:rsidR="00413A27" w:rsidRPr="006B5B59"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0.0</w:t>
            </w:r>
          </w:p>
        </w:tc>
        <w:tc>
          <w:tcPr>
            <w:tcW w:w="758" w:type="pct"/>
            <w:tcBorders>
              <w:top w:val="nil"/>
              <w:left w:val="nil"/>
              <w:bottom w:val="nil"/>
              <w:right w:val="nil"/>
            </w:tcBorders>
            <w:tcMar>
              <w:top w:w="0" w:type="dxa"/>
              <w:left w:w="0" w:type="dxa"/>
              <w:bottom w:w="0" w:type="dxa"/>
              <w:right w:w="0" w:type="dxa"/>
            </w:tcMar>
            <w:vAlign w:val="bottom"/>
          </w:tcPr>
          <w:p w14:paraId="4E2D4DEC" w14:textId="56C0729C" w:rsidR="00413A27" w:rsidRPr="00952173"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7.0</w:t>
            </w:r>
          </w:p>
        </w:tc>
        <w:tc>
          <w:tcPr>
            <w:tcW w:w="765" w:type="pct"/>
            <w:tcBorders>
              <w:top w:val="nil"/>
              <w:left w:val="nil"/>
              <w:bottom w:val="nil"/>
              <w:right w:val="nil"/>
            </w:tcBorders>
            <w:tcMar>
              <w:top w:w="0" w:type="dxa"/>
              <w:left w:w="0" w:type="dxa"/>
              <w:bottom w:w="0" w:type="dxa"/>
              <w:right w:w="0" w:type="dxa"/>
            </w:tcMar>
            <w:vAlign w:val="bottom"/>
          </w:tcPr>
          <w:p w14:paraId="3B1347BA" w14:textId="7659DE91" w:rsidR="00413A27" w:rsidRPr="006B5B59" w:rsidRDefault="00413A27" w:rsidP="00413A27">
            <w:pPr>
              <w:spacing w:after="0" w:line="276" w:lineRule="auto"/>
              <w:jc w:val="right"/>
              <w:rPr>
                <w:rFonts w:ascii="Arial" w:eastAsia="Times New Roman" w:hAnsi="Arial" w:cs="Arial"/>
                <w:i/>
                <w:sz w:val="16"/>
                <w:szCs w:val="16"/>
                <w:lang w:eastAsia="en-AU"/>
              </w:rPr>
            </w:pPr>
            <w:r>
              <w:rPr>
                <w:rFonts w:ascii="Arial" w:hAnsi="Arial" w:cs="Arial"/>
                <w:sz w:val="16"/>
                <w:szCs w:val="16"/>
              </w:rPr>
              <w:t>..</w:t>
            </w:r>
          </w:p>
        </w:tc>
        <w:tc>
          <w:tcPr>
            <w:tcW w:w="761" w:type="pct"/>
            <w:tcBorders>
              <w:top w:val="nil"/>
              <w:left w:val="nil"/>
              <w:bottom w:val="nil"/>
              <w:right w:val="nil"/>
            </w:tcBorders>
            <w:tcMar>
              <w:top w:w="0" w:type="dxa"/>
              <w:left w:w="0" w:type="dxa"/>
              <w:bottom w:w="0" w:type="dxa"/>
              <w:right w:w="0" w:type="dxa"/>
            </w:tcMar>
            <w:vAlign w:val="bottom"/>
          </w:tcPr>
          <w:p w14:paraId="6DB3811C" w14:textId="18C64CAA" w:rsidR="00413A27" w:rsidRPr="00613321"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0.9</w:t>
            </w:r>
          </w:p>
        </w:tc>
      </w:tr>
      <w:tr w:rsidR="00413A27" w:rsidRPr="00617599" w14:paraId="1045F2EB" w14:textId="77777777" w:rsidTr="002A7B88">
        <w:trPr>
          <w:gridBefore w:val="1"/>
          <w:wBefore w:w="156" w:type="pct"/>
          <w:trHeight w:val="227"/>
          <w:tblCellSpacing w:w="0" w:type="dxa"/>
        </w:trPr>
        <w:tc>
          <w:tcPr>
            <w:tcW w:w="889" w:type="pct"/>
            <w:tcBorders>
              <w:top w:val="nil"/>
              <w:left w:val="nil"/>
              <w:bottom w:val="nil"/>
              <w:right w:val="nil"/>
            </w:tcBorders>
            <w:tcMar>
              <w:top w:w="0" w:type="dxa"/>
              <w:left w:w="0" w:type="dxa"/>
              <w:bottom w:w="0" w:type="dxa"/>
              <w:right w:w="0" w:type="dxa"/>
            </w:tcMar>
            <w:vAlign w:val="center"/>
            <w:hideMark/>
          </w:tcPr>
          <w:p w14:paraId="63C5D546" w14:textId="77777777" w:rsidR="00413A27" w:rsidRPr="00617599" w:rsidRDefault="00413A27" w:rsidP="00413A27">
            <w:pPr>
              <w:spacing w:after="0" w:line="276" w:lineRule="auto"/>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  1,000-1,499 </w:t>
            </w:r>
          </w:p>
        </w:tc>
        <w:tc>
          <w:tcPr>
            <w:tcW w:w="834" w:type="pct"/>
            <w:tcBorders>
              <w:top w:val="nil"/>
              <w:left w:val="nil"/>
              <w:bottom w:val="nil"/>
              <w:right w:val="nil"/>
            </w:tcBorders>
            <w:tcMar>
              <w:top w:w="0" w:type="dxa"/>
              <w:left w:w="0" w:type="dxa"/>
              <w:bottom w:w="0" w:type="dxa"/>
              <w:right w:w="0" w:type="dxa"/>
            </w:tcMar>
            <w:vAlign w:val="bottom"/>
          </w:tcPr>
          <w:p w14:paraId="3793D079" w14:textId="1A64E205" w:rsidR="00413A27" w:rsidRPr="00613321"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0.9</w:t>
            </w:r>
          </w:p>
        </w:tc>
        <w:tc>
          <w:tcPr>
            <w:tcW w:w="837" w:type="pct"/>
            <w:tcBorders>
              <w:top w:val="nil"/>
              <w:left w:val="nil"/>
              <w:bottom w:val="nil"/>
              <w:right w:val="nil"/>
            </w:tcBorders>
            <w:tcMar>
              <w:top w:w="0" w:type="dxa"/>
              <w:left w:w="0" w:type="dxa"/>
              <w:bottom w:w="0" w:type="dxa"/>
              <w:right w:w="0" w:type="dxa"/>
            </w:tcMar>
            <w:vAlign w:val="bottom"/>
          </w:tcPr>
          <w:p w14:paraId="3CB176F7" w14:textId="4067048E" w:rsidR="00413A27" w:rsidRPr="006B5B59" w:rsidRDefault="00413A27" w:rsidP="00413A27">
            <w:pPr>
              <w:spacing w:after="0" w:line="276" w:lineRule="auto"/>
              <w:jc w:val="right"/>
              <w:rPr>
                <w:rFonts w:ascii="Arial" w:eastAsia="Times New Roman" w:hAnsi="Arial" w:cs="Arial"/>
                <w:i/>
                <w:color w:val="FF0000"/>
                <w:sz w:val="16"/>
                <w:szCs w:val="16"/>
                <w:lang w:eastAsia="en-AU"/>
              </w:rPr>
            </w:pPr>
            <w:r>
              <w:rPr>
                <w:rFonts w:ascii="Arial" w:hAnsi="Arial" w:cs="Arial"/>
                <w:i/>
                <w:iCs/>
                <w:sz w:val="16"/>
                <w:szCs w:val="16"/>
              </w:rPr>
              <w:t>4.5</w:t>
            </w:r>
          </w:p>
        </w:tc>
        <w:tc>
          <w:tcPr>
            <w:tcW w:w="758" w:type="pct"/>
            <w:tcBorders>
              <w:top w:val="nil"/>
              <w:left w:val="nil"/>
              <w:bottom w:val="nil"/>
              <w:right w:val="nil"/>
            </w:tcBorders>
            <w:tcMar>
              <w:top w:w="0" w:type="dxa"/>
              <w:left w:w="0" w:type="dxa"/>
              <w:bottom w:w="0" w:type="dxa"/>
              <w:right w:w="0" w:type="dxa"/>
            </w:tcMar>
            <w:vAlign w:val="bottom"/>
          </w:tcPr>
          <w:p w14:paraId="1A2DEE72" w14:textId="235EBB57" w:rsidR="00413A27" w:rsidRPr="006B5B59"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4.2</w:t>
            </w:r>
          </w:p>
        </w:tc>
        <w:tc>
          <w:tcPr>
            <w:tcW w:w="765" w:type="pct"/>
            <w:tcBorders>
              <w:top w:val="nil"/>
              <w:left w:val="nil"/>
              <w:bottom w:val="nil"/>
              <w:right w:val="nil"/>
            </w:tcBorders>
            <w:tcMar>
              <w:top w:w="0" w:type="dxa"/>
              <w:left w:w="0" w:type="dxa"/>
              <w:bottom w:w="0" w:type="dxa"/>
              <w:right w:w="0" w:type="dxa"/>
            </w:tcMar>
          </w:tcPr>
          <w:p w14:paraId="6F213E4A" w14:textId="70BC6239" w:rsidR="00413A27" w:rsidRPr="006B5B59" w:rsidRDefault="00413A27" w:rsidP="00413A27">
            <w:pPr>
              <w:spacing w:after="0" w:line="276" w:lineRule="auto"/>
              <w:jc w:val="right"/>
              <w:rPr>
                <w:rFonts w:ascii="Arial" w:eastAsia="Times New Roman" w:hAnsi="Arial" w:cs="Arial"/>
                <w:i/>
                <w:sz w:val="16"/>
                <w:szCs w:val="16"/>
                <w:lang w:eastAsia="en-AU"/>
              </w:rPr>
            </w:pPr>
            <w:r w:rsidRPr="00940C92">
              <w:rPr>
                <w:rFonts w:ascii="Arial" w:hAnsi="Arial" w:cs="Arial"/>
                <w:sz w:val="16"/>
                <w:szCs w:val="16"/>
              </w:rPr>
              <w:t>..</w:t>
            </w:r>
          </w:p>
        </w:tc>
        <w:tc>
          <w:tcPr>
            <w:tcW w:w="761" w:type="pct"/>
            <w:tcBorders>
              <w:top w:val="nil"/>
              <w:left w:val="nil"/>
              <w:bottom w:val="nil"/>
              <w:right w:val="nil"/>
            </w:tcBorders>
            <w:tcMar>
              <w:top w:w="0" w:type="dxa"/>
              <w:left w:w="0" w:type="dxa"/>
              <w:bottom w:w="0" w:type="dxa"/>
              <w:right w:w="0" w:type="dxa"/>
            </w:tcMar>
            <w:vAlign w:val="bottom"/>
          </w:tcPr>
          <w:p w14:paraId="695F8388" w14:textId="2FC35C3B" w:rsidR="00413A27" w:rsidRPr="00613321"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1.0</w:t>
            </w:r>
          </w:p>
        </w:tc>
      </w:tr>
      <w:tr w:rsidR="00413A27" w:rsidRPr="00617599" w14:paraId="4A7785E6" w14:textId="77777777" w:rsidTr="002A7B88">
        <w:trPr>
          <w:gridBefore w:val="1"/>
          <w:wBefore w:w="156" w:type="pct"/>
          <w:trHeight w:val="227"/>
          <w:tblCellSpacing w:w="0" w:type="dxa"/>
        </w:trPr>
        <w:tc>
          <w:tcPr>
            <w:tcW w:w="889" w:type="pct"/>
            <w:tcBorders>
              <w:top w:val="nil"/>
              <w:left w:val="nil"/>
              <w:bottom w:val="nil"/>
              <w:right w:val="nil"/>
            </w:tcBorders>
            <w:tcMar>
              <w:top w:w="0" w:type="dxa"/>
              <w:left w:w="0" w:type="dxa"/>
              <w:bottom w:w="0" w:type="dxa"/>
              <w:right w:w="0" w:type="dxa"/>
            </w:tcMar>
            <w:vAlign w:val="center"/>
            <w:hideMark/>
          </w:tcPr>
          <w:p w14:paraId="6684D42C" w14:textId="77777777" w:rsidR="00413A27" w:rsidRPr="00617599" w:rsidRDefault="00413A27" w:rsidP="00413A27">
            <w:pPr>
              <w:spacing w:after="0" w:line="276" w:lineRule="auto"/>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  1,500-1,999 </w:t>
            </w:r>
          </w:p>
        </w:tc>
        <w:tc>
          <w:tcPr>
            <w:tcW w:w="834" w:type="pct"/>
            <w:tcBorders>
              <w:top w:val="nil"/>
              <w:left w:val="nil"/>
              <w:bottom w:val="nil"/>
              <w:right w:val="nil"/>
            </w:tcBorders>
            <w:tcMar>
              <w:top w:w="0" w:type="dxa"/>
              <w:left w:w="0" w:type="dxa"/>
              <w:bottom w:w="0" w:type="dxa"/>
              <w:right w:w="0" w:type="dxa"/>
            </w:tcMar>
            <w:vAlign w:val="bottom"/>
          </w:tcPr>
          <w:p w14:paraId="10CC7BAC" w14:textId="0151A303" w:rsidR="00413A27" w:rsidRPr="00613321"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1.4</w:t>
            </w:r>
          </w:p>
        </w:tc>
        <w:tc>
          <w:tcPr>
            <w:tcW w:w="837" w:type="pct"/>
            <w:tcBorders>
              <w:top w:val="nil"/>
              <w:left w:val="nil"/>
              <w:bottom w:val="nil"/>
              <w:right w:val="nil"/>
            </w:tcBorders>
            <w:tcMar>
              <w:top w:w="0" w:type="dxa"/>
              <w:left w:w="0" w:type="dxa"/>
              <w:bottom w:w="0" w:type="dxa"/>
              <w:right w:w="0" w:type="dxa"/>
            </w:tcMar>
            <w:vAlign w:val="bottom"/>
          </w:tcPr>
          <w:p w14:paraId="0FB1273D" w14:textId="4AD8798F" w:rsidR="00413A27" w:rsidRPr="00A97D2D"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0.0</w:t>
            </w:r>
          </w:p>
        </w:tc>
        <w:tc>
          <w:tcPr>
            <w:tcW w:w="758" w:type="pct"/>
            <w:tcBorders>
              <w:top w:val="nil"/>
              <w:left w:val="nil"/>
              <w:bottom w:val="nil"/>
              <w:right w:val="nil"/>
            </w:tcBorders>
            <w:tcMar>
              <w:top w:w="0" w:type="dxa"/>
              <w:left w:w="0" w:type="dxa"/>
              <w:bottom w:w="0" w:type="dxa"/>
              <w:right w:w="0" w:type="dxa"/>
            </w:tcMar>
            <w:vAlign w:val="bottom"/>
          </w:tcPr>
          <w:p w14:paraId="6861D089" w14:textId="6B8FDAD7" w:rsidR="00413A27" w:rsidRPr="00952173"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5.6</w:t>
            </w:r>
          </w:p>
        </w:tc>
        <w:tc>
          <w:tcPr>
            <w:tcW w:w="765" w:type="pct"/>
            <w:tcBorders>
              <w:top w:val="nil"/>
              <w:left w:val="nil"/>
              <w:bottom w:val="nil"/>
              <w:right w:val="nil"/>
            </w:tcBorders>
            <w:tcMar>
              <w:top w:w="0" w:type="dxa"/>
              <w:left w:w="0" w:type="dxa"/>
              <w:bottom w:w="0" w:type="dxa"/>
              <w:right w:w="0" w:type="dxa"/>
            </w:tcMar>
          </w:tcPr>
          <w:p w14:paraId="0B8A03BF" w14:textId="06112729" w:rsidR="00413A27" w:rsidRPr="006B5B59" w:rsidRDefault="00413A27" w:rsidP="00413A27">
            <w:pPr>
              <w:spacing w:after="0" w:line="276" w:lineRule="auto"/>
              <w:jc w:val="right"/>
              <w:rPr>
                <w:rFonts w:ascii="Arial" w:eastAsia="Times New Roman" w:hAnsi="Arial" w:cs="Arial"/>
                <w:i/>
                <w:sz w:val="16"/>
                <w:szCs w:val="16"/>
                <w:lang w:eastAsia="en-AU"/>
              </w:rPr>
            </w:pPr>
            <w:r w:rsidRPr="00940C92">
              <w:rPr>
                <w:rFonts w:ascii="Arial" w:hAnsi="Arial" w:cs="Arial"/>
                <w:sz w:val="16"/>
                <w:szCs w:val="16"/>
              </w:rPr>
              <w:t>..</w:t>
            </w:r>
          </w:p>
        </w:tc>
        <w:tc>
          <w:tcPr>
            <w:tcW w:w="761" w:type="pct"/>
            <w:tcBorders>
              <w:top w:val="nil"/>
              <w:left w:val="nil"/>
              <w:bottom w:val="nil"/>
              <w:right w:val="nil"/>
            </w:tcBorders>
            <w:tcMar>
              <w:top w:w="0" w:type="dxa"/>
              <w:left w:w="0" w:type="dxa"/>
              <w:bottom w:w="0" w:type="dxa"/>
              <w:right w:w="0" w:type="dxa"/>
            </w:tcMar>
            <w:vAlign w:val="bottom"/>
          </w:tcPr>
          <w:p w14:paraId="48BE600C" w14:textId="064C3D9C" w:rsidR="00413A27" w:rsidRPr="00613321"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1.6</w:t>
            </w:r>
          </w:p>
        </w:tc>
      </w:tr>
      <w:tr w:rsidR="00413A27" w:rsidRPr="00617599" w14:paraId="0FB89B4F" w14:textId="77777777" w:rsidTr="002A7B88">
        <w:trPr>
          <w:gridBefore w:val="1"/>
          <w:wBefore w:w="156" w:type="pct"/>
          <w:trHeight w:val="227"/>
          <w:tblCellSpacing w:w="0" w:type="dxa"/>
        </w:trPr>
        <w:tc>
          <w:tcPr>
            <w:tcW w:w="889" w:type="pct"/>
            <w:tcBorders>
              <w:top w:val="nil"/>
              <w:left w:val="nil"/>
              <w:bottom w:val="nil"/>
              <w:right w:val="nil"/>
            </w:tcBorders>
            <w:tcMar>
              <w:top w:w="0" w:type="dxa"/>
              <w:left w:w="0" w:type="dxa"/>
              <w:bottom w:w="0" w:type="dxa"/>
              <w:right w:w="0" w:type="dxa"/>
            </w:tcMar>
            <w:vAlign w:val="center"/>
            <w:hideMark/>
          </w:tcPr>
          <w:p w14:paraId="6658A4B7" w14:textId="77777777" w:rsidR="00413A27" w:rsidRPr="00617599" w:rsidRDefault="00413A27" w:rsidP="00413A27">
            <w:pPr>
              <w:spacing w:after="0" w:line="276" w:lineRule="auto"/>
              <w:rPr>
                <w:rFonts w:ascii="Arial" w:eastAsia="Times New Roman" w:hAnsi="Arial" w:cs="Arial"/>
                <w:i/>
                <w:sz w:val="16"/>
                <w:szCs w:val="16"/>
                <w:lang w:eastAsia="en-AU"/>
              </w:rPr>
            </w:pPr>
            <w:r w:rsidRPr="00617599">
              <w:rPr>
                <w:rFonts w:ascii="Arial" w:eastAsia="Times New Roman" w:hAnsi="Arial" w:cs="Arial"/>
                <w:i/>
                <w:sz w:val="16"/>
                <w:szCs w:val="16"/>
                <w:lang w:eastAsia="en-AU"/>
              </w:rPr>
              <w:t xml:space="preserve">  2,000-2,499 </w:t>
            </w:r>
          </w:p>
        </w:tc>
        <w:tc>
          <w:tcPr>
            <w:tcW w:w="834" w:type="pct"/>
            <w:tcBorders>
              <w:top w:val="nil"/>
              <w:left w:val="nil"/>
              <w:bottom w:val="nil"/>
              <w:right w:val="nil"/>
            </w:tcBorders>
            <w:tcMar>
              <w:top w:w="0" w:type="dxa"/>
              <w:left w:w="0" w:type="dxa"/>
              <w:bottom w:w="0" w:type="dxa"/>
              <w:right w:w="0" w:type="dxa"/>
            </w:tcMar>
            <w:vAlign w:val="bottom"/>
          </w:tcPr>
          <w:p w14:paraId="71B3EA5A" w14:textId="7E5E2E95" w:rsidR="00413A27" w:rsidRPr="00613321"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3.8</w:t>
            </w:r>
          </w:p>
        </w:tc>
        <w:tc>
          <w:tcPr>
            <w:tcW w:w="837" w:type="pct"/>
            <w:tcBorders>
              <w:top w:val="nil"/>
              <w:left w:val="nil"/>
              <w:bottom w:val="nil"/>
              <w:right w:val="nil"/>
            </w:tcBorders>
            <w:tcMar>
              <w:top w:w="0" w:type="dxa"/>
              <w:left w:w="0" w:type="dxa"/>
              <w:bottom w:w="0" w:type="dxa"/>
              <w:right w:w="0" w:type="dxa"/>
            </w:tcMar>
            <w:vAlign w:val="bottom"/>
          </w:tcPr>
          <w:p w14:paraId="1E3271CA" w14:textId="450D6AB2" w:rsidR="00413A27" w:rsidRPr="00A97D2D"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13.6</w:t>
            </w:r>
          </w:p>
        </w:tc>
        <w:tc>
          <w:tcPr>
            <w:tcW w:w="758" w:type="pct"/>
            <w:tcBorders>
              <w:top w:val="nil"/>
              <w:left w:val="nil"/>
              <w:bottom w:val="nil"/>
              <w:right w:val="nil"/>
            </w:tcBorders>
            <w:tcMar>
              <w:top w:w="0" w:type="dxa"/>
              <w:left w:w="0" w:type="dxa"/>
              <w:bottom w:w="0" w:type="dxa"/>
              <w:right w:w="0" w:type="dxa"/>
            </w:tcMar>
            <w:vAlign w:val="bottom"/>
          </w:tcPr>
          <w:p w14:paraId="1CA19A99" w14:textId="0AD99229" w:rsidR="00413A27" w:rsidRPr="00952173"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31.0</w:t>
            </w:r>
          </w:p>
        </w:tc>
        <w:tc>
          <w:tcPr>
            <w:tcW w:w="765" w:type="pct"/>
            <w:tcBorders>
              <w:top w:val="nil"/>
              <w:left w:val="nil"/>
              <w:bottom w:val="nil"/>
              <w:right w:val="nil"/>
            </w:tcBorders>
            <w:tcMar>
              <w:top w:w="0" w:type="dxa"/>
              <w:left w:w="0" w:type="dxa"/>
              <w:bottom w:w="0" w:type="dxa"/>
              <w:right w:w="0" w:type="dxa"/>
            </w:tcMar>
          </w:tcPr>
          <w:p w14:paraId="7EB4929B" w14:textId="5B180C83" w:rsidR="00413A27" w:rsidRPr="006B5B59" w:rsidRDefault="00413A27" w:rsidP="00413A27">
            <w:pPr>
              <w:spacing w:after="0" w:line="276" w:lineRule="auto"/>
              <w:jc w:val="right"/>
              <w:rPr>
                <w:rFonts w:ascii="Arial" w:eastAsia="Times New Roman" w:hAnsi="Arial" w:cs="Arial"/>
                <w:i/>
                <w:sz w:val="16"/>
                <w:szCs w:val="16"/>
                <w:lang w:eastAsia="en-AU"/>
              </w:rPr>
            </w:pPr>
            <w:r w:rsidRPr="00940C92">
              <w:rPr>
                <w:rFonts w:ascii="Arial" w:hAnsi="Arial" w:cs="Arial"/>
                <w:sz w:val="16"/>
                <w:szCs w:val="16"/>
              </w:rPr>
              <w:t>..</w:t>
            </w:r>
          </w:p>
        </w:tc>
        <w:tc>
          <w:tcPr>
            <w:tcW w:w="761" w:type="pct"/>
            <w:tcBorders>
              <w:top w:val="nil"/>
              <w:left w:val="nil"/>
              <w:bottom w:val="nil"/>
              <w:right w:val="nil"/>
            </w:tcBorders>
            <w:tcMar>
              <w:top w:w="0" w:type="dxa"/>
              <w:left w:w="0" w:type="dxa"/>
              <w:bottom w:w="0" w:type="dxa"/>
              <w:right w:w="0" w:type="dxa"/>
            </w:tcMar>
            <w:vAlign w:val="bottom"/>
          </w:tcPr>
          <w:p w14:paraId="706938E5" w14:textId="10D9A32B" w:rsidR="00413A27" w:rsidRPr="00613321" w:rsidRDefault="00413A27" w:rsidP="00413A27">
            <w:pPr>
              <w:spacing w:after="0" w:line="276" w:lineRule="auto"/>
              <w:jc w:val="right"/>
              <w:rPr>
                <w:rFonts w:ascii="Arial" w:eastAsia="Times New Roman" w:hAnsi="Arial" w:cs="Arial"/>
                <w:i/>
                <w:sz w:val="16"/>
                <w:szCs w:val="16"/>
                <w:lang w:eastAsia="en-AU"/>
              </w:rPr>
            </w:pPr>
            <w:r>
              <w:rPr>
                <w:rFonts w:ascii="Arial" w:hAnsi="Arial" w:cs="Arial"/>
                <w:i/>
                <w:iCs/>
                <w:sz w:val="16"/>
                <w:szCs w:val="16"/>
              </w:rPr>
              <w:t>4.9</w:t>
            </w:r>
          </w:p>
        </w:tc>
      </w:tr>
      <w:tr w:rsidR="00413A27" w:rsidRPr="00617599" w14:paraId="260E6FE1" w14:textId="77777777" w:rsidTr="002A7B88">
        <w:trPr>
          <w:trHeight w:val="227"/>
          <w:tblCellSpacing w:w="0" w:type="dxa"/>
        </w:trPr>
        <w:tc>
          <w:tcPr>
            <w:tcW w:w="1045" w:type="pct"/>
            <w:gridSpan w:val="2"/>
            <w:tcBorders>
              <w:top w:val="nil"/>
              <w:left w:val="nil"/>
              <w:bottom w:val="nil"/>
              <w:right w:val="nil"/>
            </w:tcBorders>
            <w:tcMar>
              <w:top w:w="0" w:type="dxa"/>
              <w:left w:w="0" w:type="dxa"/>
              <w:bottom w:w="0" w:type="dxa"/>
              <w:right w:w="0" w:type="dxa"/>
            </w:tcMar>
            <w:vAlign w:val="center"/>
          </w:tcPr>
          <w:p w14:paraId="382AF1C1" w14:textId="77777777" w:rsidR="00413A27" w:rsidRPr="00617599" w:rsidRDefault="00413A27" w:rsidP="00413A27">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&lt; 2,500 </w:t>
            </w:r>
          </w:p>
        </w:tc>
        <w:tc>
          <w:tcPr>
            <w:tcW w:w="834" w:type="pct"/>
            <w:tcBorders>
              <w:top w:val="nil"/>
              <w:left w:val="nil"/>
              <w:bottom w:val="nil"/>
              <w:right w:val="nil"/>
            </w:tcBorders>
            <w:tcMar>
              <w:top w:w="0" w:type="dxa"/>
              <w:left w:w="0" w:type="dxa"/>
              <w:bottom w:w="0" w:type="dxa"/>
              <w:right w:w="0" w:type="dxa"/>
            </w:tcMar>
            <w:vAlign w:val="bottom"/>
          </w:tcPr>
          <w:p w14:paraId="62893A99" w14:textId="509B6871"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6.8</w:t>
            </w:r>
          </w:p>
        </w:tc>
        <w:tc>
          <w:tcPr>
            <w:tcW w:w="837" w:type="pct"/>
            <w:tcBorders>
              <w:top w:val="nil"/>
              <w:left w:val="nil"/>
              <w:bottom w:val="nil"/>
              <w:right w:val="nil"/>
            </w:tcBorders>
            <w:tcMar>
              <w:top w:w="0" w:type="dxa"/>
              <w:left w:w="0" w:type="dxa"/>
              <w:bottom w:w="0" w:type="dxa"/>
              <w:right w:w="0" w:type="dxa"/>
            </w:tcMar>
            <w:vAlign w:val="bottom"/>
          </w:tcPr>
          <w:p w14:paraId="4599F658" w14:textId="7FA83F0C" w:rsidR="00413A27" w:rsidRPr="00A97D2D"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18.2</w:t>
            </w:r>
          </w:p>
        </w:tc>
        <w:tc>
          <w:tcPr>
            <w:tcW w:w="758" w:type="pct"/>
            <w:tcBorders>
              <w:top w:val="nil"/>
              <w:left w:val="nil"/>
              <w:bottom w:val="nil"/>
              <w:right w:val="nil"/>
            </w:tcBorders>
            <w:tcMar>
              <w:top w:w="0" w:type="dxa"/>
              <w:left w:w="0" w:type="dxa"/>
              <w:bottom w:w="0" w:type="dxa"/>
              <w:right w:w="0" w:type="dxa"/>
            </w:tcMar>
            <w:vAlign w:val="bottom"/>
          </w:tcPr>
          <w:p w14:paraId="2AE4A878" w14:textId="135E84F6" w:rsidR="00413A27" w:rsidRPr="0095217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47.9</w:t>
            </w:r>
          </w:p>
        </w:tc>
        <w:tc>
          <w:tcPr>
            <w:tcW w:w="765" w:type="pct"/>
            <w:tcBorders>
              <w:top w:val="nil"/>
              <w:left w:val="nil"/>
              <w:bottom w:val="nil"/>
              <w:right w:val="nil"/>
            </w:tcBorders>
            <w:tcMar>
              <w:top w:w="0" w:type="dxa"/>
              <w:left w:w="0" w:type="dxa"/>
              <w:bottom w:w="0" w:type="dxa"/>
              <w:right w:w="0" w:type="dxa"/>
            </w:tcMar>
          </w:tcPr>
          <w:p w14:paraId="211FC8FB" w14:textId="44A4D568" w:rsidR="00413A27" w:rsidRPr="006B5B59" w:rsidRDefault="00413A27" w:rsidP="00413A27">
            <w:pPr>
              <w:spacing w:after="0" w:line="276" w:lineRule="auto"/>
              <w:jc w:val="right"/>
              <w:rPr>
                <w:rFonts w:ascii="Arial" w:eastAsia="Times New Roman" w:hAnsi="Arial" w:cs="Arial"/>
                <w:sz w:val="16"/>
                <w:szCs w:val="16"/>
                <w:lang w:eastAsia="en-AU"/>
              </w:rPr>
            </w:pPr>
            <w:r w:rsidRPr="00940C92">
              <w:rPr>
                <w:rFonts w:ascii="Arial" w:hAnsi="Arial" w:cs="Arial"/>
                <w:sz w:val="16"/>
                <w:szCs w:val="16"/>
              </w:rPr>
              <w:t>..</w:t>
            </w:r>
          </w:p>
        </w:tc>
        <w:tc>
          <w:tcPr>
            <w:tcW w:w="761" w:type="pct"/>
            <w:tcBorders>
              <w:top w:val="nil"/>
              <w:left w:val="nil"/>
              <w:bottom w:val="nil"/>
              <w:right w:val="nil"/>
            </w:tcBorders>
            <w:tcMar>
              <w:top w:w="0" w:type="dxa"/>
              <w:left w:w="0" w:type="dxa"/>
              <w:bottom w:w="0" w:type="dxa"/>
              <w:right w:w="0" w:type="dxa"/>
            </w:tcMar>
            <w:vAlign w:val="bottom"/>
          </w:tcPr>
          <w:p w14:paraId="5B6E004D" w14:textId="4F30ABF1"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8.4</w:t>
            </w:r>
          </w:p>
        </w:tc>
      </w:tr>
      <w:tr w:rsidR="00413A27" w:rsidRPr="00617599" w14:paraId="370B8FB0" w14:textId="77777777" w:rsidTr="002A7B88">
        <w:trPr>
          <w:trHeight w:val="227"/>
          <w:tblCellSpacing w:w="0" w:type="dxa"/>
        </w:trPr>
        <w:tc>
          <w:tcPr>
            <w:tcW w:w="1045" w:type="pct"/>
            <w:gridSpan w:val="2"/>
            <w:tcBorders>
              <w:top w:val="nil"/>
              <w:left w:val="nil"/>
              <w:bottom w:val="nil"/>
              <w:right w:val="nil"/>
            </w:tcBorders>
            <w:tcMar>
              <w:top w:w="0" w:type="dxa"/>
              <w:left w:w="0" w:type="dxa"/>
              <w:bottom w:w="0" w:type="dxa"/>
              <w:right w:w="0" w:type="dxa"/>
            </w:tcMar>
            <w:vAlign w:val="center"/>
            <w:hideMark/>
          </w:tcPr>
          <w:p w14:paraId="12E6BF6A" w14:textId="77777777" w:rsidR="00413A27" w:rsidRPr="00617599" w:rsidRDefault="00413A27" w:rsidP="00413A27">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2,500-2,999 </w:t>
            </w:r>
          </w:p>
        </w:tc>
        <w:tc>
          <w:tcPr>
            <w:tcW w:w="834" w:type="pct"/>
            <w:tcBorders>
              <w:top w:val="nil"/>
              <w:left w:val="nil"/>
              <w:bottom w:val="nil"/>
              <w:right w:val="nil"/>
            </w:tcBorders>
            <w:tcMar>
              <w:top w:w="0" w:type="dxa"/>
              <w:left w:w="0" w:type="dxa"/>
              <w:bottom w:w="0" w:type="dxa"/>
              <w:right w:w="0" w:type="dxa"/>
            </w:tcMar>
            <w:vAlign w:val="bottom"/>
          </w:tcPr>
          <w:p w14:paraId="394A1395" w14:textId="5088A085"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14.5</w:t>
            </w:r>
          </w:p>
        </w:tc>
        <w:tc>
          <w:tcPr>
            <w:tcW w:w="837" w:type="pct"/>
            <w:tcBorders>
              <w:top w:val="nil"/>
              <w:left w:val="nil"/>
              <w:bottom w:val="nil"/>
              <w:right w:val="nil"/>
            </w:tcBorders>
            <w:tcMar>
              <w:top w:w="0" w:type="dxa"/>
              <w:left w:w="0" w:type="dxa"/>
              <w:bottom w:w="0" w:type="dxa"/>
              <w:right w:w="0" w:type="dxa"/>
            </w:tcMar>
            <w:vAlign w:val="bottom"/>
          </w:tcPr>
          <w:p w14:paraId="69DE1F4E" w14:textId="4CF4597F" w:rsidR="00413A27" w:rsidRPr="00FA37D6" w:rsidRDefault="00413A27" w:rsidP="00413A27">
            <w:pPr>
              <w:spacing w:after="0" w:line="276" w:lineRule="auto"/>
              <w:jc w:val="right"/>
              <w:rPr>
                <w:rFonts w:ascii="Arial" w:eastAsia="Times New Roman" w:hAnsi="Arial" w:cs="Arial"/>
                <w:color w:val="FF0000"/>
                <w:sz w:val="16"/>
                <w:szCs w:val="16"/>
                <w:lang w:eastAsia="en-AU"/>
              </w:rPr>
            </w:pPr>
            <w:r>
              <w:rPr>
                <w:rFonts w:ascii="Arial" w:hAnsi="Arial" w:cs="Arial"/>
                <w:sz w:val="16"/>
                <w:szCs w:val="16"/>
              </w:rPr>
              <w:t>9.1</w:t>
            </w:r>
          </w:p>
        </w:tc>
        <w:tc>
          <w:tcPr>
            <w:tcW w:w="758" w:type="pct"/>
            <w:tcBorders>
              <w:top w:val="nil"/>
              <w:left w:val="nil"/>
              <w:bottom w:val="nil"/>
              <w:right w:val="nil"/>
            </w:tcBorders>
            <w:tcMar>
              <w:top w:w="0" w:type="dxa"/>
              <w:left w:w="0" w:type="dxa"/>
              <w:bottom w:w="0" w:type="dxa"/>
              <w:right w:w="0" w:type="dxa"/>
            </w:tcMar>
            <w:vAlign w:val="bottom"/>
          </w:tcPr>
          <w:p w14:paraId="59AB3081" w14:textId="6A17E25A" w:rsidR="00413A27" w:rsidRPr="00A97D2D"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33.8</w:t>
            </w:r>
          </w:p>
        </w:tc>
        <w:tc>
          <w:tcPr>
            <w:tcW w:w="765" w:type="pct"/>
            <w:tcBorders>
              <w:top w:val="nil"/>
              <w:left w:val="nil"/>
              <w:bottom w:val="nil"/>
              <w:right w:val="nil"/>
            </w:tcBorders>
            <w:tcMar>
              <w:top w:w="0" w:type="dxa"/>
              <w:left w:w="0" w:type="dxa"/>
              <w:bottom w:w="0" w:type="dxa"/>
              <w:right w:w="0" w:type="dxa"/>
            </w:tcMar>
          </w:tcPr>
          <w:p w14:paraId="1770A06E" w14:textId="029BCC21" w:rsidR="00413A27" w:rsidRPr="00A97D2D" w:rsidRDefault="00413A27" w:rsidP="00413A27">
            <w:pPr>
              <w:spacing w:after="0" w:line="276" w:lineRule="auto"/>
              <w:jc w:val="right"/>
              <w:rPr>
                <w:rFonts w:ascii="Arial" w:eastAsia="Times New Roman" w:hAnsi="Arial" w:cs="Arial"/>
                <w:sz w:val="16"/>
                <w:szCs w:val="16"/>
                <w:lang w:eastAsia="en-AU"/>
              </w:rPr>
            </w:pPr>
            <w:r w:rsidRPr="00940C92">
              <w:rPr>
                <w:rFonts w:ascii="Arial" w:hAnsi="Arial" w:cs="Arial"/>
                <w:sz w:val="16"/>
                <w:szCs w:val="16"/>
              </w:rPr>
              <w:t>..</w:t>
            </w:r>
          </w:p>
        </w:tc>
        <w:tc>
          <w:tcPr>
            <w:tcW w:w="761" w:type="pct"/>
            <w:tcBorders>
              <w:top w:val="nil"/>
              <w:left w:val="nil"/>
              <w:bottom w:val="nil"/>
              <w:right w:val="nil"/>
            </w:tcBorders>
            <w:tcMar>
              <w:top w:w="0" w:type="dxa"/>
              <w:left w:w="0" w:type="dxa"/>
              <w:bottom w:w="0" w:type="dxa"/>
              <w:right w:w="0" w:type="dxa"/>
            </w:tcMar>
            <w:vAlign w:val="bottom"/>
          </w:tcPr>
          <w:p w14:paraId="56C74E16" w14:textId="71274A72"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15.1</w:t>
            </w:r>
          </w:p>
        </w:tc>
      </w:tr>
      <w:tr w:rsidR="00413A27" w:rsidRPr="00617599" w14:paraId="4CFBFD8C" w14:textId="77777777" w:rsidTr="002A7B88">
        <w:trPr>
          <w:trHeight w:val="227"/>
          <w:tblCellSpacing w:w="0" w:type="dxa"/>
        </w:trPr>
        <w:tc>
          <w:tcPr>
            <w:tcW w:w="1045" w:type="pct"/>
            <w:gridSpan w:val="2"/>
            <w:tcBorders>
              <w:top w:val="nil"/>
              <w:left w:val="nil"/>
              <w:bottom w:val="nil"/>
              <w:right w:val="nil"/>
            </w:tcBorders>
            <w:tcMar>
              <w:top w:w="0" w:type="dxa"/>
              <w:left w:w="0" w:type="dxa"/>
              <w:bottom w:w="0" w:type="dxa"/>
              <w:right w:w="0" w:type="dxa"/>
            </w:tcMar>
            <w:vAlign w:val="center"/>
            <w:hideMark/>
          </w:tcPr>
          <w:p w14:paraId="519429C7" w14:textId="77777777" w:rsidR="00413A27" w:rsidRPr="00617599" w:rsidRDefault="00413A27" w:rsidP="00413A27">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3,000-3,499 </w:t>
            </w:r>
          </w:p>
        </w:tc>
        <w:tc>
          <w:tcPr>
            <w:tcW w:w="834" w:type="pct"/>
            <w:tcBorders>
              <w:top w:val="nil"/>
              <w:left w:val="nil"/>
              <w:bottom w:val="nil"/>
              <w:right w:val="nil"/>
            </w:tcBorders>
            <w:tcMar>
              <w:top w:w="0" w:type="dxa"/>
              <w:left w:w="0" w:type="dxa"/>
              <w:bottom w:w="0" w:type="dxa"/>
              <w:right w:w="0" w:type="dxa"/>
            </w:tcMar>
            <w:vAlign w:val="bottom"/>
          </w:tcPr>
          <w:p w14:paraId="3C13A523" w14:textId="6C3BA4F8"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33.8</w:t>
            </w:r>
          </w:p>
        </w:tc>
        <w:tc>
          <w:tcPr>
            <w:tcW w:w="837" w:type="pct"/>
            <w:tcBorders>
              <w:top w:val="nil"/>
              <w:left w:val="nil"/>
              <w:bottom w:val="nil"/>
              <w:right w:val="nil"/>
            </w:tcBorders>
            <w:tcMar>
              <w:top w:w="0" w:type="dxa"/>
              <w:left w:w="0" w:type="dxa"/>
              <w:bottom w:w="0" w:type="dxa"/>
              <w:right w:w="0" w:type="dxa"/>
            </w:tcMar>
            <w:vAlign w:val="bottom"/>
          </w:tcPr>
          <w:p w14:paraId="58B3147E" w14:textId="4BB4CF88" w:rsidR="00413A27" w:rsidRPr="0095217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22.7</w:t>
            </w:r>
          </w:p>
        </w:tc>
        <w:tc>
          <w:tcPr>
            <w:tcW w:w="758" w:type="pct"/>
            <w:tcBorders>
              <w:top w:val="nil"/>
              <w:left w:val="nil"/>
              <w:bottom w:val="nil"/>
              <w:right w:val="nil"/>
            </w:tcBorders>
            <w:tcMar>
              <w:top w:w="0" w:type="dxa"/>
              <w:left w:w="0" w:type="dxa"/>
              <w:bottom w:w="0" w:type="dxa"/>
              <w:right w:w="0" w:type="dxa"/>
            </w:tcMar>
            <w:vAlign w:val="bottom"/>
          </w:tcPr>
          <w:p w14:paraId="738F4766" w14:textId="4349DD58" w:rsidR="00413A27" w:rsidRPr="00A97D2D"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9.9</w:t>
            </w:r>
          </w:p>
        </w:tc>
        <w:tc>
          <w:tcPr>
            <w:tcW w:w="765" w:type="pct"/>
            <w:tcBorders>
              <w:top w:val="nil"/>
              <w:left w:val="nil"/>
              <w:bottom w:val="nil"/>
              <w:right w:val="nil"/>
            </w:tcBorders>
            <w:tcMar>
              <w:top w:w="0" w:type="dxa"/>
              <w:left w:w="0" w:type="dxa"/>
              <w:bottom w:w="0" w:type="dxa"/>
              <w:right w:w="0" w:type="dxa"/>
            </w:tcMar>
          </w:tcPr>
          <w:p w14:paraId="5AB318FA" w14:textId="2DF2BD32" w:rsidR="00413A27" w:rsidRPr="00A97D2D" w:rsidRDefault="00413A27" w:rsidP="00413A27">
            <w:pPr>
              <w:spacing w:after="0" w:line="276" w:lineRule="auto"/>
              <w:jc w:val="right"/>
              <w:rPr>
                <w:rFonts w:ascii="Arial" w:eastAsia="Times New Roman" w:hAnsi="Arial" w:cs="Arial"/>
                <w:sz w:val="16"/>
                <w:szCs w:val="16"/>
                <w:lang w:eastAsia="en-AU"/>
              </w:rPr>
            </w:pPr>
            <w:r w:rsidRPr="00940C92">
              <w:rPr>
                <w:rFonts w:ascii="Arial" w:hAnsi="Arial" w:cs="Arial"/>
                <w:sz w:val="16"/>
                <w:szCs w:val="16"/>
              </w:rPr>
              <w:t>..</w:t>
            </w:r>
          </w:p>
        </w:tc>
        <w:tc>
          <w:tcPr>
            <w:tcW w:w="761" w:type="pct"/>
            <w:tcBorders>
              <w:top w:val="nil"/>
              <w:left w:val="nil"/>
              <w:bottom w:val="nil"/>
              <w:right w:val="nil"/>
            </w:tcBorders>
            <w:tcMar>
              <w:top w:w="0" w:type="dxa"/>
              <w:left w:w="0" w:type="dxa"/>
              <w:bottom w:w="0" w:type="dxa"/>
              <w:right w:w="0" w:type="dxa"/>
            </w:tcMar>
            <w:vAlign w:val="bottom"/>
          </w:tcPr>
          <w:p w14:paraId="23D211A7" w14:textId="79F08E0F"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32.8</w:t>
            </w:r>
          </w:p>
        </w:tc>
      </w:tr>
      <w:tr w:rsidR="00413A27" w:rsidRPr="00617599" w14:paraId="3094FC65" w14:textId="77777777" w:rsidTr="002A7B88">
        <w:trPr>
          <w:trHeight w:val="227"/>
          <w:tblCellSpacing w:w="0" w:type="dxa"/>
        </w:trPr>
        <w:tc>
          <w:tcPr>
            <w:tcW w:w="1045" w:type="pct"/>
            <w:gridSpan w:val="2"/>
            <w:tcBorders>
              <w:top w:val="nil"/>
              <w:left w:val="nil"/>
              <w:bottom w:val="nil"/>
              <w:right w:val="nil"/>
            </w:tcBorders>
            <w:tcMar>
              <w:top w:w="0" w:type="dxa"/>
              <w:left w:w="0" w:type="dxa"/>
              <w:bottom w:w="0" w:type="dxa"/>
              <w:right w:w="0" w:type="dxa"/>
            </w:tcMar>
            <w:vAlign w:val="center"/>
            <w:hideMark/>
          </w:tcPr>
          <w:p w14:paraId="7A3AC171" w14:textId="77777777" w:rsidR="00413A27" w:rsidRPr="00617599" w:rsidRDefault="00413A27" w:rsidP="00413A27">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3,500-3,999 </w:t>
            </w:r>
          </w:p>
        </w:tc>
        <w:tc>
          <w:tcPr>
            <w:tcW w:w="834" w:type="pct"/>
            <w:tcBorders>
              <w:top w:val="nil"/>
              <w:left w:val="nil"/>
              <w:bottom w:val="nil"/>
              <w:right w:val="nil"/>
            </w:tcBorders>
            <w:tcMar>
              <w:top w:w="0" w:type="dxa"/>
              <w:left w:w="0" w:type="dxa"/>
              <w:bottom w:w="0" w:type="dxa"/>
              <w:right w:w="0" w:type="dxa"/>
            </w:tcMar>
            <w:vAlign w:val="bottom"/>
          </w:tcPr>
          <w:p w14:paraId="3B1C073C" w14:textId="10EAE334"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32.1</w:t>
            </w:r>
          </w:p>
        </w:tc>
        <w:tc>
          <w:tcPr>
            <w:tcW w:w="837" w:type="pct"/>
            <w:tcBorders>
              <w:top w:val="nil"/>
              <w:left w:val="nil"/>
              <w:bottom w:val="nil"/>
              <w:right w:val="nil"/>
            </w:tcBorders>
            <w:tcMar>
              <w:top w:w="0" w:type="dxa"/>
              <w:left w:w="0" w:type="dxa"/>
              <w:bottom w:w="0" w:type="dxa"/>
              <w:right w:w="0" w:type="dxa"/>
            </w:tcMar>
            <w:vAlign w:val="bottom"/>
          </w:tcPr>
          <w:p w14:paraId="3D4E53F3" w14:textId="0AD0EDFF" w:rsidR="00413A27" w:rsidRPr="0095217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31.8</w:t>
            </w:r>
          </w:p>
        </w:tc>
        <w:tc>
          <w:tcPr>
            <w:tcW w:w="758" w:type="pct"/>
            <w:tcBorders>
              <w:top w:val="nil"/>
              <w:left w:val="nil"/>
              <w:bottom w:val="nil"/>
              <w:right w:val="nil"/>
            </w:tcBorders>
            <w:tcMar>
              <w:top w:w="0" w:type="dxa"/>
              <w:left w:w="0" w:type="dxa"/>
              <w:bottom w:w="0" w:type="dxa"/>
              <w:right w:w="0" w:type="dxa"/>
            </w:tcMar>
            <w:vAlign w:val="bottom"/>
          </w:tcPr>
          <w:p w14:paraId="2FE64349" w14:textId="1CF2EE54" w:rsidR="00413A27" w:rsidRPr="00A97D2D"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1.4</w:t>
            </w:r>
          </w:p>
        </w:tc>
        <w:tc>
          <w:tcPr>
            <w:tcW w:w="765" w:type="pct"/>
            <w:tcBorders>
              <w:top w:val="nil"/>
              <w:left w:val="nil"/>
              <w:bottom w:val="nil"/>
              <w:right w:val="nil"/>
            </w:tcBorders>
            <w:tcMar>
              <w:top w:w="0" w:type="dxa"/>
              <w:left w:w="0" w:type="dxa"/>
              <w:bottom w:w="0" w:type="dxa"/>
              <w:right w:w="0" w:type="dxa"/>
            </w:tcMar>
          </w:tcPr>
          <w:p w14:paraId="2FB0190B" w14:textId="5450EB46" w:rsidR="00413A27" w:rsidRPr="00A97D2D" w:rsidRDefault="00413A27" w:rsidP="00413A27">
            <w:pPr>
              <w:spacing w:after="0" w:line="276" w:lineRule="auto"/>
              <w:jc w:val="right"/>
              <w:rPr>
                <w:rFonts w:ascii="Arial" w:eastAsia="Times New Roman" w:hAnsi="Arial" w:cs="Arial"/>
                <w:sz w:val="16"/>
                <w:szCs w:val="16"/>
                <w:lang w:eastAsia="en-AU"/>
              </w:rPr>
            </w:pPr>
            <w:r w:rsidRPr="00940C92">
              <w:rPr>
                <w:rFonts w:ascii="Arial" w:hAnsi="Arial" w:cs="Arial"/>
                <w:sz w:val="16"/>
                <w:szCs w:val="16"/>
              </w:rPr>
              <w:t>..</w:t>
            </w:r>
          </w:p>
        </w:tc>
        <w:tc>
          <w:tcPr>
            <w:tcW w:w="761" w:type="pct"/>
            <w:tcBorders>
              <w:top w:val="nil"/>
              <w:left w:val="nil"/>
              <w:bottom w:val="nil"/>
              <w:right w:val="nil"/>
            </w:tcBorders>
            <w:tcMar>
              <w:top w:w="0" w:type="dxa"/>
              <w:left w:w="0" w:type="dxa"/>
              <w:bottom w:w="0" w:type="dxa"/>
              <w:right w:w="0" w:type="dxa"/>
            </w:tcMar>
            <w:vAlign w:val="bottom"/>
          </w:tcPr>
          <w:p w14:paraId="11BD91F4" w14:textId="7A18AC59"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31.0</w:t>
            </w:r>
          </w:p>
        </w:tc>
      </w:tr>
      <w:tr w:rsidR="00413A27" w:rsidRPr="00617599" w14:paraId="4E4BFF9D" w14:textId="77777777" w:rsidTr="002A7B88">
        <w:trPr>
          <w:trHeight w:val="227"/>
          <w:tblCellSpacing w:w="0" w:type="dxa"/>
        </w:trPr>
        <w:tc>
          <w:tcPr>
            <w:tcW w:w="1045" w:type="pct"/>
            <w:gridSpan w:val="2"/>
            <w:tcBorders>
              <w:top w:val="nil"/>
              <w:left w:val="nil"/>
              <w:bottom w:val="nil"/>
              <w:right w:val="nil"/>
            </w:tcBorders>
            <w:tcMar>
              <w:top w:w="0" w:type="dxa"/>
              <w:left w:w="0" w:type="dxa"/>
              <w:bottom w:w="0" w:type="dxa"/>
              <w:right w:w="0" w:type="dxa"/>
            </w:tcMar>
            <w:vAlign w:val="center"/>
            <w:hideMark/>
          </w:tcPr>
          <w:p w14:paraId="5EA37A1B" w14:textId="77777777" w:rsidR="00413A27" w:rsidRPr="00617599" w:rsidRDefault="00413A27" w:rsidP="00413A27">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 4,000 </w:t>
            </w:r>
          </w:p>
        </w:tc>
        <w:tc>
          <w:tcPr>
            <w:tcW w:w="834" w:type="pct"/>
            <w:tcBorders>
              <w:top w:val="nil"/>
              <w:left w:val="nil"/>
              <w:bottom w:val="nil"/>
              <w:right w:val="nil"/>
            </w:tcBorders>
            <w:tcMar>
              <w:top w:w="0" w:type="dxa"/>
              <w:left w:w="0" w:type="dxa"/>
              <w:bottom w:w="0" w:type="dxa"/>
              <w:right w:w="0" w:type="dxa"/>
            </w:tcMar>
            <w:vAlign w:val="bottom"/>
          </w:tcPr>
          <w:p w14:paraId="409043F9" w14:textId="5C6BB0C5"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12.0</w:t>
            </w:r>
          </w:p>
        </w:tc>
        <w:tc>
          <w:tcPr>
            <w:tcW w:w="837" w:type="pct"/>
            <w:tcBorders>
              <w:top w:val="nil"/>
              <w:left w:val="nil"/>
              <w:bottom w:val="nil"/>
              <w:right w:val="nil"/>
            </w:tcBorders>
            <w:tcMar>
              <w:top w:w="0" w:type="dxa"/>
              <w:left w:w="0" w:type="dxa"/>
              <w:bottom w:w="0" w:type="dxa"/>
              <w:right w:w="0" w:type="dxa"/>
            </w:tcMar>
            <w:vAlign w:val="bottom"/>
          </w:tcPr>
          <w:p w14:paraId="798C87A9" w14:textId="266B4B32" w:rsidR="00413A27" w:rsidRPr="00A97D2D"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13.6</w:t>
            </w:r>
          </w:p>
        </w:tc>
        <w:tc>
          <w:tcPr>
            <w:tcW w:w="758" w:type="pct"/>
            <w:tcBorders>
              <w:top w:val="nil"/>
              <w:left w:val="nil"/>
              <w:bottom w:val="nil"/>
              <w:right w:val="nil"/>
            </w:tcBorders>
            <w:tcMar>
              <w:top w:w="0" w:type="dxa"/>
              <w:left w:w="0" w:type="dxa"/>
              <w:bottom w:w="0" w:type="dxa"/>
              <w:right w:w="0" w:type="dxa"/>
            </w:tcMar>
            <w:vAlign w:val="bottom"/>
          </w:tcPr>
          <w:p w14:paraId="11B05655" w14:textId="482A008F" w:rsidR="00413A27" w:rsidRPr="00A97D2D"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0.0</w:t>
            </w:r>
          </w:p>
        </w:tc>
        <w:tc>
          <w:tcPr>
            <w:tcW w:w="765" w:type="pct"/>
            <w:tcBorders>
              <w:top w:val="nil"/>
              <w:left w:val="nil"/>
              <w:bottom w:val="nil"/>
              <w:right w:val="nil"/>
            </w:tcBorders>
            <w:tcMar>
              <w:top w:w="0" w:type="dxa"/>
              <w:left w:w="0" w:type="dxa"/>
              <w:bottom w:w="0" w:type="dxa"/>
              <w:right w:w="0" w:type="dxa"/>
            </w:tcMar>
          </w:tcPr>
          <w:p w14:paraId="34ECA331" w14:textId="3F5ED18B" w:rsidR="00413A27" w:rsidRPr="00A97D2D" w:rsidRDefault="00413A27" w:rsidP="00413A27">
            <w:pPr>
              <w:spacing w:after="0" w:line="276" w:lineRule="auto"/>
              <w:jc w:val="right"/>
              <w:rPr>
                <w:rFonts w:ascii="Arial" w:eastAsia="Times New Roman" w:hAnsi="Arial" w:cs="Arial"/>
                <w:sz w:val="16"/>
                <w:szCs w:val="16"/>
                <w:lang w:eastAsia="en-AU"/>
              </w:rPr>
            </w:pPr>
            <w:r w:rsidRPr="00940C92">
              <w:rPr>
                <w:rFonts w:ascii="Arial" w:hAnsi="Arial" w:cs="Arial"/>
                <w:sz w:val="16"/>
                <w:szCs w:val="16"/>
              </w:rPr>
              <w:t>..</w:t>
            </w:r>
          </w:p>
        </w:tc>
        <w:tc>
          <w:tcPr>
            <w:tcW w:w="761" w:type="pct"/>
            <w:tcBorders>
              <w:top w:val="nil"/>
              <w:left w:val="nil"/>
              <w:bottom w:val="nil"/>
              <w:right w:val="nil"/>
            </w:tcBorders>
            <w:tcMar>
              <w:top w:w="0" w:type="dxa"/>
              <w:left w:w="0" w:type="dxa"/>
              <w:bottom w:w="0" w:type="dxa"/>
              <w:right w:w="0" w:type="dxa"/>
            </w:tcMar>
            <w:vAlign w:val="bottom"/>
          </w:tcPr>
          <w:p w14:paraId="753D5DFF" w14:textId="438CD235"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11.6</w:t>
            </w:r>
          </w:p>
        </w:tc>
      </w:tr>
      <w:tr w:rsidR="00413A27" w:rsidRPr="00617599" w14:paraId="7D5C613E" w14:textId="77777777" w:rsidTr="002A7B88">
        <w:trPr>
          <w:trHeight w:val="227"/>
          <w:tblCellSpacing w:w="0" w:type="dxa"/>
        </w:trPr>
        <w:tc>
          <w:tcPr>
            <w:tcW w:w="1045" w:type="pct"/>
            <w:gridSpan w:val="2"/>
            <w:tcBorders>
              <w:top w:val="nil"/>
              <w:left w:val="nil"/>
              <w:bottom w:val="nil"/>
              <w:right w:val="nil"/>
            </w:tcBorders>
            <w:tcMar>
              <w:top w:w="0" w:type="dxa"/>
              <w:left w:w="0" w:type="dxa"/>
              <w:bottom w:w="0" w:type="dxa"/>
              <w:right w:w="0" w:type="dxa"/>
            </w:tcMar>
            <w:vAlign w:val="center"/>
            <w:hideMark/>
          </w:tcPr>
          <w:p w14:paraId="549A0D2A" w14:textId="77777777" w:rsidR="00413A27" w:rsidRPr="00617599" w:rsidRDefault="00413A27" w:rsidP="00413A27">
            <w:pPr>
              <w:spacing w:after="0" w:line="276" w:lineRule="auto"/>
              <w:rPr>
                <w:rFonts w:ascii="Arial" w:eastAsia="Times New Roman" w:hAnsi="Arial" w:cs="Arial"/>
                <w:sz w:val="16"/>
                <w:szCs w:val="16"/>
                <w:lang w:eastAsia="en-AU"/>
              </w:rPr>
            </w:pPr>
            <w:r w:rsidRPr="00617599">
              <w:rPr>
                <w:rFonts w:ascii="Arial" w:eastAsia="Times New Roman" w:hAnsi="Arial" w:cs="Arial"/>
                <w:sz w:val="16"/>
                <w:szCs w:val="16"/>
                <w:lang w:eastAsia="en-AU"/>
              </w:rPr>
              <w:t xml:space="preserve">  Not stated </w:t>
            </w:r>
          </w:p>
        </w:tc>
        <w:tc>
          <w:tcPr>
            <w:tcW w:w="834" w:type="pct"/>
            <w:tcBorders>
              <w:top w:val="nil"/>
              <w:left w:val="nil"/>
              <w:bottom w:val="nil"/>
              <w:right w:val="nil"/>
            </w:tcBorders>
            <w:tcMar>
              <w:top w:w="0" w:type="dxa"/>
              <w:left w:w="0" w:type="dxa"/>
              <w:bottom w:w="0" w:type="dxa"/>
              <w:right w:w="0" w:type="dxa"/>
            </w:tcMar>
            <w:vAlign w:val="bottom"/>
          </w:tcPr>
          <w:p w14:paraId="34F7EA03" w14:textId="37036EFD"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0.8</w:t>
            </w:r>
          </w:p>
        </w:tc>
        <w:tc>
          <w:tcPr>
            <w:tcW w:w="837" w:type="pct"/>
            <w:tcBorders>
              <w:top w:val="nil"/>
              <w:left w:val="nil"/>
              <w:bottom w:val="nil"/>
              <w:right w:val="nil"/>
            </w:tcBorders>
            <w:tcMar>
              <w:top w:w="0" w:type="dxa"/>
              <w:left w:w="0" w:type="dxa"/>
              <w:bottom w:w="0" w:type="dxa"/>
              <w:right w:w="0" w:type="dxa"/>
            </w:tcMar>
            <w:vAlign w:val="bottom"/>
          </w:tcPr>
          <w:p w14:paraId="25D94231" w14:textId="4FE71E45"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4.5</w:t>
            </w:r>
          </w:p>
        </w:tc>
        <w:tc>
          <w:tcPr>
            <w:tcW w:w="758" w:type="pct"/>
            <w:tcBorders>
              <w:top w:val="nil"/>
              <w:left w:val="nil"/>
              <w:bottom w:val="nil"/>
              <w:right w:val="nil"/>
            </w:tcBorders>
            <w:tcMar>
              <w:top w:w="0" w:type="dxa"/>
              <w:left w:w="0" w:type="dxa"/>
              <w:bottom w:w="0" w:type="dxa"/>
              <w:right w:w="0" w:type="dxa"/>
            </w:tcMar>
            <w:vAlign w:val="bottom"/>
          </w:tcPr>
          <w:p w14:paraId="4B88EA54" w14:textId="2244A05F"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7.0</w:t>
            </w:r>
          </w:p>
        </w:tc>
        <w:tc>
          <w:tcPr>
            <w:tcW w:w="765" w:type="pct"/>
            <w:tcBorders>
              <w:top w:val="nil"/>
              <w:left w:val="nil"/>
              <w:bottom w:val="nil"/>
              <w:right w:val="nil"/>
            </w:tcBorders>
            <w:tcMar>
              <w:top w:w="0" w:type="dxa"/>
              <w:left w:w="0" w:type="dxa"/>
              <w:bottom w:w="0" w:type="dxa"/>
              <w:right w:w="0" w:type="dxa"/>
            </w:tcMar>
          </w:tcPr>
          <w:p w14:paraId="5E9273C7" w14:textId="339997AA" w:rsidR="00413A27" w:rsidRPr="00B360C3" w:rsidRDefault="00413A27" w:rsidP="00413A27">
            <w:pPr>
              <w:spacing w:after="0" w:line="276" w:lineRule="auto"/>
              <w:jc w:val="right"/>
              <w:rPr>
                <w:rFonts w:ascii="Arial" w:eastAsia="Times New Roman" w:hAnsi="Arial" w:cs="Arial"/>
                <w:sz w:val="16"/>
                <w:szCs w:val="16"/>
                <w:lang w:eastAsia="en-AU"/>
              </w:rPr>
            </w:pPr>
            <w:r w:rsidRPr="00940C92">
              <w:rPr>
                <w:rFonts w:ascii="Arial" w:hAnsi="Arial" w:cs="Arial"/>
                <w:sz w:val="16"/>
                <w:szCs w:val="16"/>
              </w:rPr>
              <w:t>..</w:t>
            </w:r>
          </w:p>
        </w:tc>
        <w:tc>
          <w:tcPr>
            <w:tcW w:w="761" w:type="pct"/>
            <w:tcBorders>
              <w:top w:val="nil"/>
              <w:left w:val="nil"/>
              <w:bottom w:val="nil"/>
              <w:right w:val="nil"/>
            </w:tcBorders>
            <w:tcMar>
              <w:top w:w="0" w:type="dxa"/>
              <w:left w:w="0" w:type="dxa"/>
              <w:bottom w:w="0" w:type="dxa"/>
              <w:right w:w="0" w:type="dxa"/>
            </w:tcMar>
            <w:vAlign w:val="bottom"/>
          </w:tcPr>
          <w:p w14:paraId="33707C46" w14:textId="336CCD25" w:rsidR="00413A27" w:rsidRPr="00B360C3" w:rsidRDefault="00413A27" w:rsidP="00413A27">
            <w:pPr>
              <w:spacing w:after="0" w:line="276" w:lineRule="auto"/>
              <w:jc w:val="right"/>
              <w:rPr>
                <w:rFonts w:ascii="Arial" w:eastAsia="Times New Roman" w:hAnsi="Arial" w:cs="Arial"/>
                <w:sz w:val="16"/>
                <w:szCs w:val="16"/>
                <w:lang w:eastAsia="en-AU"/>
              </w:rPr>
            </w:pPr>
            <w:r>
              <w:rPr>
                <w:rFonts w:ascii="Arial" w:hAnsi="Arial" w:cs="Arial"/>
                <w:sz w:val="16"/>
                <w:szCs w:val="16"/>
              </w:rPr>
              <w:t>1.1</w:t>
            </w:r>
          </w:p>
        </w:tc>
      </w:tr>
      <w:tr w:rsidR="00413A27" w:rsidRPr="00617599" w14:paraId="002CEE70" w14:textId="77777777" w:rsidTr="002A7B88">
        <w:trPr>
          <w:trHeight w:val="227"/>
          <w:tblCellSpacing w:w="0" w:type="dxa"/>
        </w:trPr>
        <w:tc>
          <w:tcPr>
            <w:tcW w:w="1045" w:type="pct"/>
            <w:gridSpan w:val="2"/>
            <w:tcBorders>
              <w:top w:val="nil"/>
              <w:left w:val="nil"/>
              <w:bottom w:val="single" w:sz="12" w:space="0" w:color="auto"/>
              <w:right w:val="nil"/>
            </w:tcBorders>
            <w:tcMar>
              <w:top w:w="0" w:type="dxa"/>
              <w:left w:w="0" w:type="dxa"/>
              <w:bottom w:w="0" w:type="dxa"/>
              <w:right w:w="0" w:type="dxa"/>
            </w:tcMar>
            <w:vAlign w:val="center"/>
            <w:hideMark/>
          </w:tcPr>
          <w:p w14:paraId="5C0B833B" w14:textId="77777777" w:rsidR="00413A27" w:rsidRPr="00087467" w:rsidRDefault="00413A27" w:rsidP="00413A27">
            <w:pPr>
              <w:spacing w:after="0" w:line="276" w:lineRule="auto"/>
              <w:rPr>
                <w:rFonts w:ascii="Arial" w:eastAsia="Times New Roman" w:hAnsi="Arial" w:cs="Arial"/>
                <w:b/>
                <w:sz w:val="16"/>
                <w:szCs w:val="16"/>
                <w:lang w:eastAsia="en-AU"/>
              </w:rPr>
            </w:pPr>
            <w:r w:rsidRPr="00087467">
              <w:rPr>
                <w:rFonts w:ascii="Arial" w:eastAsia="Times New Roman" w:hAnsi="Arial" w:cs="Arial"/>
                <w:b/>
                <w:sz w:val="16"/>
                <w:szCs w:val="16"/>
                <w:lang w:eastAsia="en-AU"/>
              </w:rPr>
              <w:t xml:space="preserve">  Total </w:t>
            </w:r>
          </w:p>
        </w:tc>
        <w:tc>
          <w:tcPr>
            <w:tcW w:w="834" w:type="pct"/>
            <w:tcBorders>
              <w:top w:val="nil"/>
              <w:left w:val="nil"/>
              <w:bottom w:val="single" w:sz="12" w:space="0" w:color="auto"/>
              <w:right w:val="nil"/>
            </w:tcBorders>
            <w:tcMar>
              <w:top w:w="0" w:type="dxa"/>
              <w:left w:w="0" w:type="dxa"/>
              <w:bottom w:w="0" w:type="dxa"/>
              <w:right w:w="0" w:type="dxa"/>
            </w:tcMar>
            <w:vAlign w:val="bottom"/>
          </w:tcPr>
          <w:p w14:paraId="40B64414" w14:textId="67379A68" w:rsidR="00413A27" w:rsidRPr="00087467" w:rsidRDefault="00413A27" w:rsidP="00413A27">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837" w:type="pct"/>
            <w:tcBorders>
              <w:top w:val="nil"/>
              <w:left w:val="nil"/>
              <w:bottom w:val="single" w:sz="12" w:space="0" w:color="auto"/>
              <w:right w:val="nil"/>
            </w:tcBorders>
            <w:tcMar>
              <w:top w:w="0" w:type="dxa"/>
              <w:left w:w="0" w:type="dxa"/>
              <w:bottom w:w="0" w:type="dxa"/>
              <w:right w:w="0" w:type="dxa"/>
            </w:tcMar>
            <w:vAlign w:val="bottom"/>
          </w:tcPr>
          <w:p w14:paraId="2B5E7E58" w14:textId="145107CB" w:rsidR="00413A27" w:rsidRPr="00087467" w:rsidRDefault="00BC631B" w:rsidP="00413A27">
            <w:pPr>
              <w:spacing w:after="0" w:line="276" w:lineRule="auto"/>
              <w:jc w:val="right"/>
              <w:rPr>
                <w:rFonts w:ascii="Arial" w:eastAsia="Times New Roman" w:hAnsi="Arial" w:cs="Arial"/>
                <w:b/>
                <w:sz w:val="16"/>
                <w:szCs w:val="16"/>
                <w:lang w:eastAsia="en-AU"/>
              </w:rPr>
            </w:pPr>
            <w:r>
              <w:rPr>
                <w:rFonts w:ascii="Arial" w:eastAsia="Times New Roman" w:hAnsi="Arial" w:cs="Arial"/>
                <w:b/>
                <w:sz w:val="16"/>
                <w:szCs w:val="16"/>
                <w:lang w:eastAsia="en-AU"/>
              </w:rPr>
              <w:t>100.0</w:t>
            </w:r>
          </w:p>
        </w:tc>
        <w:tc>
          <w:tcPr>
            <w:tcW w:w="758" w:type="pct"/>
            <w:tcBorders>
              <w:top w:val="nil"/>
              <w:left w:val="nil"/>
              <w:bottom w:val="single" w:sz="12" w:space="0" w:color="auto"/>
              <w:right w:val="nil"/>
            </w:tcBorders>
            <w:tcMar>
              <w:top w:w="0" w:type="dxa"/>
              <w:left w:w="0" w:type="dxa"/>
              <w:bottom w:w="0" w:type="dxa"/>
              <w:right w:w="0" w:type="dxa"/>
            </w:tcMar>
            <w:vAlign w:val="bottom"/>
          </w:tcPr>
          <w:p w14:paraId="2333C99D" w14:textId="718453A1" w:rsidR="00413A27" w:rsidRPr="00087467" w:rsidRDefault="00413A27" w:rsidP="00413A27">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c>
          <w:tcPr>
            <w:tcW w:w="765" w:type="pct"/>
            <w:tcBorders>
              <w:top w:val="nil"/>
              <w:left w:val="nil"/>
              <w:bottom w:val="single" w:sz="12" w:space="0" w:color="auto"/>
              <w:right w:val="nil"/>
            </w:tcBorders>
            <w:tcMar>
              <w:top w:w="0" w:type="dxa"/>
              <w:left w:w="0" w:type="dxa"/>
              <w:bottom w:w="0" w:type="dxa"/>
              <w:right w:w="0" w:type="dxa"/>
            </w:tcMar>
          </w:tcPr>
          <w:p w14:paraId="14CA5D2F" w14:textId="265C2A41" w:rsidR="00413A27" w:rsidRPr="00087467" w:rsidRDefault="00413A27" w:rsidP="00413A27">
            <w:pPr>
              <w:spacing w:after="0" w:line="276" w:lineRule="auto"/>
              <w:jc w:val="right"/>
              <w:rPr>
                <w:rFonts w:ascii="Arial" w:eastAsia="Times New Roman" w:hAnsi="Arial" w:cs="Arial"/>
                <w:b/>
                <w:sz w:val="16"/>
                <w:szCs w:val="16"/>
                <w:lang w:eastAsia="en-AU"/>
              </w:rPr>
            </w:pPr>
            <w:r w:rsidRPr="00940C92">
              <w:rPr>
                <w:rFonts w:ascii="Arial" w:hAnsi="Arial" w:cs="Arial"/>
                <w:sz w:val="16"/>
                <w:szCs w:val="16"/>
              </w:rPr>
              <w:t>..</w:t>
            </w:r>
          </w:p>
        </w:tc>
        <w:tc>
          <w:tcPr>
            <w:tcW w:w="761" w:type="pct"/>
            <w:tcBorders>
              <w:top w:val="nil"/>
              <w:left w:val="nil"/>
              <w:bottom w:val="single" w:sz="12" w:space="0" w:color="auto"/>
              <w:right w:val="nil"/>
            </w:tcBorders>
            <w:tcMar>
              <w:top w:w="0" w:type="dxa"/>
              <w:left w:w="0" w:type="dxa"/>
              <w:bottom w:w="0" w:type="dxa"/>
              <w:right w:w="0" w:type="dxa"/>
            </w:tcMar>
            <w:vAlign w:val="bottom"/>
          </w:tcPr>
          <w:p w14:paraId="3265A30D" w14:textId="52AFA025" w:rsidR="00413A27" w:rsidRPr="00087467" w:rsidRDefault="00413A27" w:rsidP="00413A27">
            <w:pPr>
              <w:spacing w:after="0" w:line="276" w:lineRule="auto"/>
              <w:jc w:val="right"/>
              <w:rPr>
                <w:rFonts w:ascii="Arial" w:eastAsia="Times New Roman" w:hAnsi="Arial" w:cs="Arial"/>
                <w:b/>
                <w:sz w:val="16"/>
                <w:szCs w:val="16"/>
                <w:lang w:eastAsia="en-AU"/>
              </w:rPr>
            </w:pPr>
            <w:r>
              <w:rPr>
                <w:rFonts w:ascii="Arial" w:hAnsi="Arial" w:cs="Arial"/>
                <w:b/>
                <w:bCs/>
                <w:sz w:val="16"/>
                <w:szCs w:val="16"/>
              </w:rPr>
              <w:t>100.0</w:t>
            </w:r>
          </w:p>
        </w:tc>
      </w:tr>
    </w:tbl>
    <w:p w14:paraId="56C3E174" w14:textId="77777777" w:rsidR="009303CD" w:rsidRPr="00617599" w:rsidRDefault="009303CD" w:rsidP="00814AD1">
      <w:pPr>
        <w:pStyle w:val="TableSourcefootnotes"/>
        <w:numPr>
          <w:ilvl w:val="0"/>
          <w:numId w:val="16"/>
        </w:numPr>
        <w:tabs>
          <w:tab w:val="left" w:pos="284"/>
        </w:tabs>
        <w:spacing w:before="0" w:after="0" w:line="240" w:lineRule="auto"/>
        <w:ind w:left="714" w:hanging="714"/>
        <w:rPr>
          <w:rFonts w:cs="Arial"/>
        </w:rPr>
      </w:pPr>
      <w:r w:rsidRPr="00617599">
        <w:rPr>
          <w:rFonts w:cs="Arial"/>
        </w:rPr>
        <w:t>SET: single embryo transfer.</w:t>
      </w:r>
    </w:p>
    <w:p w14:paraId="33AD03C6" w14:textId="7CBAC381" w:rsidR="009303CD" w:rsidRDefault="009303CD" w:rsidP="00814AD1">
      <w:pPr>
        <w:pStyle w:val="TableSourcefootnotes"/>
        <w:numPr>
          <w:ilvl w:val="0"/>
          <w:numId w:val="16"/>
        </w:numPr>
        <w:tabs>
          <w:tab w:val="left" w:pos="284"/>
        </w:tabs>
        <w:spacing w:before="0" w:after="0" w:line="240" w:lineRule="auto"/>
        <w:ind w:left="714" w:hanging="714"/>
        <w:rPr>
          <w:rFonts w:cs="Arial"/>
        </w:rPr>
      </w:pPr>
      <w:r w:rsidRPr="00617599">
        <w:rPr>
          <w:rFonts w:cs="Arial"/>
        </w:rPr>
        <w:t>DET: double embryo transfer.</w:t>
      </w:r>
    </w:p>
    <w:p w14:paraId="2B474F39" w14:textId="77777777" w:rsidR="002A7B88" w:rsidRDefault="002A7B88" w:rsidP="002A7B88">
      <w:pPr>
        <w:pStyle w:val="TableSourcefootnotes"/>
        <w:tabs>
          <w:tab w:val="left" w:pos="284"/>
        </w:tabs>
        <w:spacing w:before="0" w:after="0" w:line="240" w:lineRule="auto"/>
        <w:rPr>
          <w:rFonts w:cs="Arial"/>
        </w:rPr>
      </w:pPr>
      <w:r>
        <w:rPr>
          <w:rFonts w:cs="Arial"/>
        </w:rPr>
        <w:t xml:space="preserve">.. not applicable </w:t>
      </w:r>
    </w:p>
    <w:p w14:paraId="23EB2BFE" w14:textId="77777777" w:rsidR="002A7B88" w:rsidRPr="002A7B88" w:rsidRDefault="002A7B88" w:rsidP="002A7B88">
      <w:pPr>
        <w:pStyle w:val="NPESUbodytext"/>
      </w:pPr>
    </w:p>
    <w:p w14:paraId="0F76829F" w14:textId="11DDAF57" w:rsidR="009303CD" w:rsidRPr="00617599" w:rsidRDefault="009303CD" w:rsidP="00904DBD">
      <w:pPr>
        <w:pStyle w:val="TableSourcefootnotes"/>
        <w:tabs>
          <w:tab w:val="left" w:pos="284"/>
        </w:tabs>
        <w:spacing w:before="0" w:after="0" w:line="240" w:lineRule="auto"/>
        <w:ind w:hanging="714"/>
        <w:rPr>
          <w:rFonts w:cs="Arial"/>
        </w:rPr>
      </w:pPr>
    </w:p>
    <w:p w14:paraId="507DD05F" w14:textId="2432C584" w:rsidR="009303CD" w:rsidRPr="00360E75" w:rsidRDefault="009303CD" w:rsidP="00814AD1">
      <w:pPr>
        <w:pStyle w:val="Heading1"/>
        <w:numPr>
          <w:ilvl w:val="0"/>
          <w:numId w:val="3"/>
        </w:numPr>
        <w:ind w:left="851" w:hanging="491"/>
        <w:rPr>
          <w:rFonts w:cs="Arial"/>
        </w:rPr>
      </w:pPr>
      <w:bookmarkStart w:id="341" w:name="_Toc453054851"/>
      <w:bookmarkStart w:id="342" w:name="_Toc452112617"/>
      <w:bookmarkStart w:id="343" w:name="_Toc159568722"/>
      <w:bookmarkStart w:id="344" w:name="_Hlk6919694"/>
      <w:r w:rsidRPr="00360E75">
        <w:rPr>
          <w:rFonts w:cs="Arial"/>
        </w:rPr>
        <w:lastRenderedPageBreak/>
        <w:t xml:space="preserve">Preimplantation genetic </w:t>
      </w:r>
      <w:r w:rsidR="00047C86" w:rsidRPr="00360E75">
        <w:rPr>
          <w:rFonts w:cs="Arial"/>
        </w:rPr>
        <w:t>testing</w:t>
      </w:r>
      <w:r w:rsidRPr="00360E75">
        <w:rPr>
          <w:rFonts w:cs="Arial"/>
        </w:rPr>
        <w:t xml:space="preserve"> in </w:t>
      </w:r>
      <w:r w:rsidR="002C669F" w:rsidRPr="00360E75">
        <w:rPr>
          <w:rFonts w:cs="Arial"/>
        </w:rPr>
        <w:t>20</w:t>
      </w:r>
      <w:r w:rsidR="00AE3AD0">
        <w:rPr>
          <w:rFonts w:cs="Arial"/>
        </w:rPr>
        <w:t>2</w:t>
      </w:r>
      <w:bookmarkEnd w:id="341"/>
      <w:bookmarkEnd w:id="342"/>
      <w:r w:rsidR="00413A27">
        <w:rPr>
          <w:rFonts w:cs="Arial"/>
        </w:rPr>
        <w:t>1</w:t>
      </w:r>
      <w:bookmarkEnd w:id="343"/>
    </w:p>
    <w:p w14:paraId="309F0308" w14:textId="6B614492" w:rsidR="00BB19A2" w:rsidRDefault="009303CD" w:rsidP="009303CD">
      <w:pPr>
        <w:pStyle w:val="NPESUbodytext"/>
        <w:rPr>
          <w:rFonts w:cs="Arial"/>
          <w:shd w:val="clear" w:color="auto" w:fill="FFFFFF"/>
        </w:rPr>
      </w:pPr>
      <w:r w:rsidRPr="00FB26E4">
        <w:rPr>
          <w:rFonts w:cs="Arial"/>
          <w:shd w:val="clear" w:color="auto" w:fill="FFFFFF"/>
        </w:rPr>
        <w:t xml:space="preserve">Preimplantation genetic </w:t>
      </w:r>
      <w:r w:rsidR="00047C86">
        <w:rPr>
          <w:rFonts w:cs="Arial"/>
          <w:shd w:val="clear" w:color="auto" w:fill="FFFFFF"/>
        </w:rPr>
        <w:t>testing</w:t>
      </w:r>
      <w:r w:rsidRPr="00FB26E4">
        <w:rPr>
          <w:rFonts w:cs="Arial"/>
          <w:shd w:val="clear" w:color="auto" w:fill="FFFFFF"/>
        </w:rPr>
        <w:t xml:space="preserve"> (PG</w:t>
      </w:r>
      <w:r w:rsidR="00047C86">
        <w:rPr>
          <w:rFonts w:cs="Arial"/>
          <w:shd w:val="clear" w:color="auto" w:fill="FFFFFF"/>
        </w:rPr>
        <w:t>T</w:t>
      </w:r>
      <w:r w:rsidRPr="00FB26E4">
        <w:rPr>
          <w:rFonts w:cs="Arial"/>
          <w:shd w:val="clear" w:color="auto" w:fill="FFFFFF"/>
        </w:rPr>
        <w:t>) is a procedure</w:t>
      </w:r>
      <w:r w:rsidR="00047C86">
        <w:rPr>
          <w:rFonts w:cs="Arial"/>
          <w:shd w:val="clear" w:color="auto" w:fill="FFFFFF"/>
        </w:rPr>
        <w:t xml:space="preserve"> where DNA from oocytes or embryos is tested for chromosomal disorders or genetic diseases before embryo transfer</w:t>
      </w:r>
      <w:r w:rsidRPr="00FB26E4">
        <w:rPr>
          <w:rFonts w:cs="Arial"/>
          <w:shd w:val="clear" w:color="auto" w:fill="FFFFFF"/>
        </w:rPr>
        <w:t>.</w:t>
      </w:r>
      <w:r w:rsidR="00047C86">
        <w:rPr>
          <w:rFonts w:cs="Arial"/>
          <w:shd w:val="clear" w:color="auto" w:fill="FFFFFF"/>
        </w:rPr>
        <w:t xml:space="preserve"> This term includes PG</w:t>
      </w:r>
      <w:r w:rsidR="00BB19A2">
        <w:rPr>
          <w:rFonts w:cs="Arial"/>
          <w:shd w:val="clear" w:color="auto" w:fill="FFFFFF"/>
        </w:rPr>
        <w:t>T</w:t>
      </w:r>
      <w:r w:rsidR="00BB19A2">
        <w:t xml:space="preserve"> for aneuploidies (PGT-A), PGT for monogenic/single gene defects (PGT-M) and PGT for chromosomal structural rearrangements (PGT-SR)</w:t>
      </w:r>
      <w:r w:rsidR="00047C86">
        <w:rPr>
          <w:rFonts w:cs="Arial"/>
          <w:shd w:val="clear" w:color="auto" w:fill="FFFFFF"/>
        </w:rPr>
        <w:t>.</w:t>
      </w:r>
      <w:r w:rsidRPr="00FB26E4">
        <w:rPr>
          <w:rFonts w:cs="Arial"/>
          <w:shd w:val="clear" w:color="auto" w:fill="FFFFFF"/>
        </w:rPr>
        <w:t xml:space="preserve"> </w:t>
      </w:r>
    </w:p>
    <w:p w14:paraId="05AFB8B6" w14:textId="0A4C0DFF" w:rsidR="009303CD" w:rsidRPr="0007475D" w:rsidRDefault="009303CD" w:rsidP="009303CD">
      <w:pPr>
        <w:pStyle w:val="NPESUbodytext"/>
        <w:rPr>
          <w:rFonts w:cs="Arial"/>
          <w:color w:val="FF0000"/>
          <w:highlight w:val="yellow"/>
          <w:shd w:val="clear" w:color="auto" w:fill="FFFFFF"/>
        </w:rPr>
      </w:pPr>
      <w:r w:rsidRPr="00FB26E4">
        <w:rPr>
          <w:rFonts w:cs="Arial"/>
          <w:shd w:val="clear" w:color="auto" w:fill="FFFFFF"/>
        </w:rPr>
        <w:t xml:space="preserve">In </w:t>
      </w:r>
      <w:r w:rsidR="002C669F" w:rsidRPr="00FB26E4">
        <w:rPr>
          <w:rFonts w:cs="Arial"/>
          <w:shd w:val="clear" w:color="auto" w:fill="FFFFFF"/>
        </w:rPr>
        <w:t>20</w:t>
      </w:r>
      <w:r w:rsidR="00AE3AD0">
        <w:rPr>
          <w:rFonts w:cs="Arial"/>
          <w:shd w:val="clear" w:color="auto" w:fill="FFFFFF"/>
        </w:rPr>
        <w:t>2</w:t>
      </w:r>
      <w:r w:rsidR="004A0220">
        <w:rPr>
          <w:rFonts w:cs="Arial"/>
          <w:shd w:val="clear" w:color="auto" w:fill="FFFFFF"/>
        </w:rPr>
        <w:t>1</w:t>
      </w:r>
      <w:r w:rsidRPr="00FB26E4">
        <w:rPr>
          <w:rFonts w:cs="Arial"/>
          <w:shd w:val="clear" w:color="auto" w:fill="FFFFFF"/>
        </w:rPr>
        <w:t>, PG</w:t>
      </w:r>
      <w:r w:rsidR="00047C86">
        <w:rPr>
          <w:rFonts w:cs="Arial"/>
          <w:shd w:val="clear" w:color="auto" w:fill="FFFFFF"/>
        </w:rPr>
        <w:t>T</w:t>
      </w:r>
      <w:r w:rsidRPr="00FB26E4">
        <w:rPr>
          <w:rFonts w:cs="Arial"/>
          <w:shd w:val="clear" w:color="auto" w:fill="FFFFFF"/>
        </w:rPr>
        <w:t xml:space="preserve"> was performed in </w:t>
      </w:r>
      <w:r w:rsidR="004A0220">
        <w:rPr>
          <w:rFonts w:cs="Arial"/>
          <w:shd w:val="clear" w:color="auto" w:fill="FFFFFF"/>
        </w:rPr>
        <w:t>952</w:t>
      </w:r>
      <w:r w:rsidR="00AE3AD0" w:rsidRPr="00FB26E4">
        <w:rPr>
          <w:rFonts w:cs="Arial"/>
          <w:shd w:val="clear" w:color="auto" w:fill="FFFFFF"/>
        </w:rPr>
        <w:t xml:space="preserve"> </w:t>
      </w:r>
      <w:r w:rsidRPr="00FB26E4">
        <w:rPr>
          <w:rFonts w:cs="Arial"/>
          <w:shd w:val="clear" w:color="auto" w:fill="FFFFFF"/>
        </w:rPr>
        <w:t xml:space="preserve">cycles, </w:t>
      </w:r>
      <w:r w:rsidRPr="00FC67AA">
        <w:rPr>
          <w:rFonts w:cs="Arial"/>
          <w:shd w:val="clear" w:color="auto" w:fill="FFFFFF"/>
        </w:rPr>
        <w:t xml:space="preserve">representing </w:t>
      </w:r>
      <w:r w:rsidR="00AE3AD0">
        <w:rPr>
          <w:rFonts w:cs="Arial"/>
          <w:shd w:val="clear" w:color="auto" w:fill="FFFFFF"/>
        </w:rPr>
        <w:t>1</w:t>
      </w:r>
      <w:r w:rsidR="004A0220">
        <w:rPr>
          <w:rFonts w:cs="Arial"/>
          <w:shd w:val="clear" w:color="auto" w:fill="FFFFFF"/>
        </w:rPr>
        <w:t>2.4</w:t>
      </w:r>
      <w:r w:rsidRPr="00952173">
        <w:rPr>
          <w:rFonts w:cs="Arial"/>
          <w:shd w:val="clear" w:color="auto" w:fill="FFFFFF"/>
        </w:rPr>
        <w:t>%</w:t>
      </w:r>
      <w:r w:rsidRPr="00FC67AA">
        <w:rPr>
          <w:rFonts w:cs="Arial"/>
          <w:shd w:val="clear" w:color="auto" w:fill="FFFFFF"/>
        </w:rPr>
        <w:t xml:space="preserve"> of</w:t>
      </w:r>
      <w:r w:rsidRPr="009F0778">
        <w:rPr>
          <w:rFonts w:cs="Arial"/>
          <w:shd w:val="clear" w:color="auto" w:fill="FFFFFF"/>
        </w:rPr>
        <w:t xml:space="preserve"> cycles in which embryos were created or thawed. </w:t>
      </w:r>
      <w:r w:rsidR="00A31384">
        <w:rPr>
          <w:rFonts w:cs="Arial"/>
          <w:shd w:val="clear" w:color="auto" w:fill="FFFFFF"/>
        </w:rPr>
        <w:t xml:space="preserve">Among the </w:t>
      </w:r>
      <w:r w:rsidR="004A0220">
        <w:rPr>
          <w:rFonts w:cs="Arial"/>
          <w:shd w:val="clear" w:color="auto" w:fill="FFFFFF"/>
        </w:rPr>
        <w:t>952</w:t>
      </w:r>
      <w:r w:rsidR="00AE3AD0">
        <w:rPr>
          <w:rFonts w:cs="Arial"/>
          <w:shd w:val="clear" w:color="auto" w:fill="FFFFFF"/>
        </w:rPr>
        <w:t xml:space="preserve"> </w:t>
      </w:r>
      <w:r w:rsidR="00A31384">
        <w:rPr>
          <w:rFonts w:cs="Arial"/>
          <w:shd w:val="clear" w:color="auto" w:fill="FFFFFF"/>
        </w:rPr>
        <w:t xml:space="preserve">PGT cycles, </w:t>
      </w:r>
      <w:r w:rsidR="004A0220">
        <w:rPr>
          <w:rFonts w:cs="Arial"/>
          <w:shd w:val="clear" w:color="auto" w:fill="FFFFFF"/>
        </w:rPr>
        <w:t>403</w:t>
      </w:r>
      <w:r w:rsidR="00AE3AD0">
        <w:rPr>
          <w:rFonts w:cs="Arial"/>
          <w:shd w:val="clear" w:color="auto" w:fill="FFFFFF"/>
        </w:rPr>
        <w:t xml:space="preserve"> </w:t>
      </w:r>
      <w:r w:rsidR="00A31384">
        <w:rPr>
          <w:rFonts w:cs="Arial"/>
          <w:shd w:val="clear" w:color="auto" w:fill="FFFFFF"/>
        </w:rPr>
        <w:t>(</w:t>
      </w:r>
      <w:r w:rsidR="00AE3AD0">
        <w:rPr>
          <w:rFonts w:cs="Arial"/>
          <w:shd w:val="clear" w:color="auto" w:fill="FFFFFF"/>
        </w:rPr>
        <w:t>4</w:t>
      </w:r>
      <w:r w:rsidR="004A0220">
        <w:rPr>
          <w:rFonts w:cs="Arial"/>
          <w:shd w:val="clear" w:color="auto" w:fill="FFFFFF"/>
        </w:rPr>
        <w:t>2.3</w:t>
      </w:r>
      <w:r w:rsidR="00A31384">
        <w:rPr>
          <w:rFonts w:cs="Arial"/>
          <w:shd w:val="clear" w:color="auto" w:fill="FFFFFF"/>
        </w:rPr>
        <w:t xml:space="preserve">%) were part of a </w:t>
      </w:r>
      <w:r w:rsidR="00A31384" w:rsidRPr="00E217FF">
        <w:rPr>
          <w:rFonts w:cs="Arial"/>
          <w:iCs/>
          <w:shd w:val="clear" w:color="auto" w:fill="FFFFFF"/>
        </w:rPr>
        <w:t>freeze-all</w:t>
      </w:r>
      <w:r w:rsidR="00A31384">
        <w:rPr>
          <w:rFonts w:cs="Arial"/>
          <w:shd w:val="clear" w:color="auto" w:fill="FFFFFF"/>
        </w:rPr>
        <w:t xml:space="preserve"> cycle</w:t>
      </w:r>
      <w:r w:rsidR="00A31384" w:rsidRPr="00FC67AA">
        <w:rPr>
          <w:rFonts w:cs="Arial"/>
          <w:shd w:val="clear" w:color="auto" w:fill="FFFFFF"/>
        </w:rPr>
        <w:t xml:space="preserve">. </w:t>
      </w:r>
      <w:r w:rsidRPr="00952173">
        <w:rPr>
          <w:rFonts w:cs="Arial"/>
          <w:shd w:val="clear" w:color="auto" w:fill="FFFFFF"/>
        </w:rPr>
        <w:t xml:space="preserve">Of the </w:t>
      </w:r>
      <w:r w:rsidR="004A0220">
        <w:rPr>
          <w:rFonts w:cs="Arial"/>
          <w:shd w:val="clear" w:color="auto" w:fill="FFFFFF"/>
        </w:rPr>
        <w:t>549</w:t>
      </w:r>
      <w:r w:rsidR="00AE3AD0" w:rsidRPr="00952173">
        <w:rPr>
          <w:rFonts w:cs="Arial"/>
          <w:shd w:val="clear" w:color="auto" w:fill="FFFFFF"/>
        </w:rPr>
        <w:t xml:space="preserve"> </w:t>
      </w:r>
      <w:r w:rsidRPr="00952173">
        <w:rPr>
          <w:rFonts w:cs="Arial"/>
          <w:shd w:val="clear" w:color="auto" w:fill="FFFFFF"/>
        </w:rPr>
        <w:t>PG</w:t>
      </w:r>
      <w:r w:rsidR="00047C86" w:rsidRPr="00952173">
        <w:rPr>
          <w:rFonts w:cs="Arial"/>
          <w:shd w:val="clear" w:color="auto" w:fill="FFFFFF"/>
        </w:rPr>
        <w:t>T</w:t>
      </w:r>
      <w:r w:rsidRPr="00952173">
        <w:rPr>
          <w:rFonts w:cs="Arial"/>
          <w:shd w:val="clear" w:color="auto" w:fill="FFFFFF"/>
        </w:rPr>
        <w:t xml:space="preserve"> cycles</w:t>
      </w:r>
      <w:r w:rsidR="007D02F3" w:rsidRPr="00952173">
        <w:rPr>
          <w:rFonts w:cs="Arial"/>
          <w:shd w:val="clear" w:color="auto" w:fill="FFFFFF"/>
        </w:rPr>
        <w:t xml:space="preserve"> (excluding freeze-all cycles)</w:t>
      </w:r>
      <w:r w:rsidRPr="00952173">
        <w:rPr>
          <w:rFonts w:cs="Arial"/>
          <w:shd w:val="clear" w:color="auto" w:fill="FFFFFF"/>
        </w:rPr>
        <w:t xml:space="preserve">, </w:t>
      </w:r>
      <w:r w:rsidR="004A0220">
        <w:rPr>
          <w:rFonts w:cs="Arial"/>
          <w:shd w:val="clear" w:color="auto" w:fill="FFFFFF"/>
        </w:rPr>
        <w:t>545</w:t>
      </w:r>
      <w:r w:rsidR="00AE3AD0" w:rsidRPr="00952173">
        <w:rPr>
          <w:rFonts w:cs="Arial"/>
          <w:shd w:val="clear" w:color="auto" w:fill="FFFFFF"/>
        </w:rPr>
        <w:t xml:space="preserve"> </w:t>
      </w:r>
      <w:r w:rsidRPr="00952173">
        <w:rPr>
          <w:rFonts w:cs="Arial"/>
          <w:shd w:val="clear" w:color="auto" w:fill="FFFFFF"/>
        </w:rPr>
        <w:t>(</w:t>
      </w:r>
      <w:r w:rsidR="00AE3AD0">
        <w:rPr>
          <w:rFonts w:cs="Arial"/>
          <w:shd w:val="clear" w:color="auto" w:fill="FFFFFF"/>
        </w:rPr>
        <w:t>9</w:t>
      </w:r>
      <w:r w:rsidR="004A0220">
        <w:rPr>
          <w:rFonts w:cs="Arial"/>
          <w:shd w:val="clear" w:color="auto" w:fill="FFFFFF"/>
        </w:rPr>
        <w:t>9</w:t>
      </w:r>
      <w:r w:rsidR="00761766">
        <w:rPr>
          <w:rFonts w:cs="Arial"/>
          <w:shd w:val="clear" w:color="auto" w:fill="FFFFFF"/>
        </w:rPr>
        <w:t>.</w:t>
      </w:r>
      <w:r w:rsidR="004A0220">
        <w:rPr>
          <w:rFonts w:cs="Arial"/>
          <w:shd w:val="clear" w:color="auto" w:fill="FFFFFF"/>
        </w:rPr>
        <w:t>3</w:t>
      </w:r>
      <w:r w:rsidRPr="00952173">
        <w:rPr>
          <w:rFonts w:cs="Arial"/>
          <w:shd w:val="clear" w:color="auto" w:fill="FFFFFF"/>
        </w:rPr>
        <w:t xml:space="preserve">%) had embryos transferred, resulting in </w:t>
      </w:r>
      <w:r w:rsidR="002E22A7">
        <w:rPr>
          <w:rFonts w:cs="Arial"/>
          <w:shd w:val="clear" w:color="auto" w:fill="FFFFFF"/>
        </w:rPr>
        <w:t>2</w:t>
      </w:r>
      <w:r w:rsidR="00BC631B">
        <w:rPr>
          <w:rFonts w:cs="Arial"/>
          <w:shd w:val="clear" w:color="auto" w:fill="FFFFFF"/>
        </w:rPr>
        <w:t>63</w:t>
      </w:r>
      <w:r w:rsidR="00AE3AD0" w:rsidRPr="00952173">
        <w:rPr>
          <w:rFonts w:cs="Arial"/>
          <w:shd w:val="clear" w:color="auto" w:fill="FFFFFF"/>
        </w:rPr>
        <w:t xml:space="preserve"> </w:t>
      </w:r>
      <w:r w:rsidR="00BA4B2F" w:rsidRPr="00952173">
        <w:rPr>
          <w:rFonts w:cs="Arial"/>
          <w:shd w:val="clear" w:color="auto" w:fill="FFFFFF"/>
        </w:rPr>
        <w:t>(</w:t>
      </w:r>
      <w:r w:rsidR="009036FF">
        <w:rPr>
          <w:rFonts w:cs="Arial"/>
          <w:shd w:val="clear" w:color="auto" w:fill="FFFFFF"/>
        </w:rPr>
        <w:t>4</w:t>
      </w:r>
      <w:r w:rsidR="00BC631B">
        <w:rPr>
          <w:rFonts w:cs="Arial"/>
          <w:shd w:val="clear" w:color="auto" w:fill="FFFFFF"/>
        </w:rPr>
        <w:t>7.9</w:t>
      </w:r>
      <w:r w:rsidRPr="00952173">
        <w:rPr>
          <w:rFonts w:cs="Arial"/>
          <w:shd w:val="clear" w:color="auto" w:fill="FFFFFF"/>
        </w:rPr>
        <w:t xml:space="preserve">%) clinical pregnancies and </w:t>
      </w:r>
      <w:r w:rsidR="004A0220">
        <w:rPr>
          <w:rFonts w:cs="Arial"/>
          <w:shd w:val="clear" w:color="auto" w:fill="FFFFFF"/>
        </w:rPr>
        <w:t>219</w:t>
      </w:r>
      <w:r w:rsidR="000C6D7B" w:rsidRPr="00952173">
        <w:rPr>
          <w:rFonts w:cs="Arial"/>
          <w:shd w:val="clear" w:color="auto" w:fill="FFFFFF"/>
        </w:rPr>
        <w:t xml:space="preserve"> </w:t>
      </w:r>
      <w:r w:rsidRPr="00952173">
        <w:rPr>
          <w:rFonts w:cs="Arial"/>
          <w:shd w:val="clear" w:color="auto" w:fill="FFFFFF"/>
        </w:rPr>
        <w:t>(</w:t>
      </w:r>
      <w:r w:rsidR="00AE3AD0">
        <w:rPr>
          <w:rFonts w:cs="Arial"/>
          <w:shd w:val="clear" w:color="auto" w:fill="FFFFFF"/>
        </w:rPr>
        <w:t>3</w:t>
      </w:r>
      <w:r w:rsidR="004A0220">
        <w:rPr>
          <w:rFonts w:cs="Arial"/>
          <w:shd w:val="clear" w:color="auto" w:fill="FFFFFF"/>
        </w:rPr>
        <w:t>9.9</w:t>
      </w:r>
      <w:r w:rsidRPr="00952173">
        <w:rPr>
          <w:rFonts w:cs="Arial"/>
          <w:shd w:val="clear" w:color="auto" w:fill="FFFFFF"/>
        </w:rPr>
        <w:t xml:space="preserve">%) live </w:t>
      </w:r>
      <w:r w:rsidR="00C736CE" w:rsidRPr="00952173">
        <w:rPr>
          <w:rFonts w:cs="Arial"/>
          <w:shd w:val="clear" w:color="auto" w:fill="FFFFFF"/>
        </w:rPr>
        <w:t>births</w:t>
      </w:r>
      <w:r w:rsidRPr="00952173">
        <w:rPr>
          <w:rFonts w:cs="Arial"/>
          <w:shd w:val="clear" w:color="auto" w:fill="FFFFFF"/>
        </w:rPr>
        <w:t>.</w:t>
      </w:r>
      <w:r w:rsidR="003A74AD" w:rsidRPr="00952173">
        <w:rPr>
          <w:rFonts w:cs="Arial"/>
          <w:shd w:val="clear" w:color="auto" w:fill="FFFFFF"/>
        </w:rPr>
        <w:t xml:space="preserve"> </w:t>
      </w:r>
    </w:p>
    <w:p w14:paraId="0D6D8138" w14:textId="6D4AAC37" w:rsidR="00A97D31" w:rsidRPr="00DA0028" w:rsidRDefault="00A97D31" w:rsidP="00360E75">
      <w:pPr>
        <w:pStyle w:val="Caption"/>
        <w:spacing w:before="60" w:line="260" w:lineRule="atLeast"/>
      </w:pPr>
      <w:bookmarkStart w:id="345" w:name="_Ref456874673"/>
      <w:bookmarkStart w:id="346" w:name="_Toc494878234"/>
      <w:bookmarkStart w:id="347" w:name="_Toc158026575"/>
      <w:r w:rsidRPr="00DA0028">
        <w:t xml:space="preserve">Table </w:t>
      </w:r>
      <w:bookmarkEnd w:id="345"/>
      <w:r w:rsidR="009A5CD8">
        <w:t>2</w:t>
      </w:r>
      <w:r w:rsidR="00F400A5">
        <w:t>6</w:t>
      </w:r>
      <w:r w:rsidRPr="00DA0028">
        <w:t xml:space="preserve">: Number of cycles with PGT by type of embryo, </w:t>
      </w:r>
      <w:bookmarkEnd w:id="346"/>
      <w:r w:rsidR="00A501CE">
        <w:t>New Zealand, 20</w:t>
      </w:r>
      <w:r w:rsidR="00AE3AD0">
        <w:t>2</w:t>
      </w:r>
      <w:r w:rsidR="00413A27">
        <w:t>1</w:t>
      </w:r>
      <w:bookmarkEnd w:id="347"/>
      <w:r w:rsidR="00A501CE">
        <w:t xml:space="preserve"> </w:t>
      </w:r>
    </w:p>
    <w:tbl>
      <w:tblPr>
        <w:tblW w:w="5000" w:type="pct"/>
        <w:tblCellMar>
          <w:top w:w="17" w:type="dxa"/>
          <w:left w:w="17" w:type="dxa"/>
          <w:bottom w:w="17" w:type="dxa"/>
          <w:right w:w="17" w:type="dxa"/>
        </w:tblCellMar>
        <w:tblLook w:val="04A0" w:firstRow="1" w:lastRow="0" w:firstColumn="1" w:lastColumn="0" w:noHBand="0" w:noVBand="1"/>
      </w:tblPr>
      <w:tblGrid>
        <w:gridCol w:w="1806"/>
        <w:gridCol w:w="2063"/>
        <w:gridCol w:w="1719"/>
        <w:gridCol w:w="1719"/>
        <w:gridCol w:w="1719"/>
      </w:tblGrid>
      <w:tr w:rsidR="002D0CC7" w:rsidRPr="00105313" w14:paraId="12DB50E7" w14:textId="7A4FD1EB" w:rsidTr="00360E75">
        <w:trPr>
          <w:trHeight w:val="227"/>
        </w:trPr>
        <w:tc>
          <w:tcPr>
            <w:tcW w:w="1000" w:type="pct"/>
            <w:tcBorders>
              <w:top w:val="single" w:sz="12" w:space="0" w:color="auto"/>
              <w:left w:val="nil"/>
              <w:bottom w:val="nil"/>
              <w:right w:val="nil"/>
            </w:tcBorders>
            <w:shd w:val="clear" w:color="auto" w:fill="auto"/>
            <w:hideMark/>
          </w:tcPr>
          <w:p w14:paraId="3D02FAE4" w14:textId="77777777" w:rsidR="002D0CC7" w:rsidRPr="00105313" w:rsidRDefault="002D0CC7" w:rsidP="00360E75">
            <w:pPr>
              <w:pStyle w:val="TableFigHeadingtotal"/>
              <w:spacing w:before="0" w:after="0" w:line="276" w:lineRule="auto"/>
              <w:rPr>
                <w:rFonts w:cs="Arial"/>
              </w:rPr>
            </w:pPr>
            <w:r w:rsidRPr="00105313">
              <w:rPr>
                <w:rFonts w:cs="Arial"/>
              </w:rPr>
              <w:t> </w:t>
            </w:r>
          </w:p>
        </w:tc>
        <w:tc>
          <w:tcPr>
            <w:tcW w:w="2095" w:type="pct"/>
            <w:gridSpan w:val="2"/>
            <w:tcBorders>
              <w:top w:val="single" w:sz="12" w:space="0" w:color="auto"/>
              <w:left w:val="nil"/>
              <w:bottom w:val="single" w:sz="12" w:space="0" w:color="auto"/>
              <w:right w:val="nil"/>
            </w:tcBorders>
            <w:shd w:val="clear" w:color="auto" w:fill="auto"/>
            <w:vAlign w:val="bottom"/>
            <w:hideMark/>
          </w:tcPr>
          <w:p w14:paraId="365FC37D" w14:textId="77777777" w:rsidR="002D0CC7" w:rsidRPr="00105313" w:rsidRDefault="002D0CC7" w:rsidP="00360E75">
            <w:pPr>
              <w:pStyle w:val="TableFigHeadingtotal"/>
              <w:spacing w:before="0" w:after="0" w:line="276" w:lineRule="auto"/>
              <w:jc w:val="center"/>
              <w:rPr>
                <w:rFonts w:cs="Arial"/>
              </w:rPr>
            </w:pPr>
            <w:r w:rsidRPr="00105313">
              <w:rPr>
                <w:rFonts w:cs="Arial"/>
              </w:rPr>
              <w:t>Stage of treatment</w:t>
            </w:r>
          </w:p>
        </w:tc>
        <w:tc>
          <w:tcPr>
            <w:tcW w:w="952" w:type="pct"/>
            <w:tcBorders>
              <w:top w:val="single" w:sz="12" w:space="0" w:color="auto"/>
              <w:left w:val="nil"/>
              <w:bottom w:val="single" w:sz="12" w:space="0" w:color="auto"/>
              <w:right w:val="nil"/>
            </w:tcBorders>
          </w:tcPr>
          <w:p w14:paraId="7F70EF4D" w14:textId="77777777" w:rsidR="002D0CC7" w:rsidRPr="00105313" w:rsidRDefault="002D0CC7" w:rsidP="00360E75">
            <w:pPr>
              <w:pStyle w:val="TableFigHeadingtotal"/>
              <w:spacing w:before="0" w:after="0" w:line="276" w:lineRule="auto"/>
              <w:jc w:val="center"/>
              <w:rPr>
                <w:rFonts w:cs="Arial"/>
              </w:rPr>
            </w:pPr>
          </w:p>
        </w:tc>
        <w:tc>
          <w:tcPr>
            <w:tcW w:w="952" w:type="pct"/>
            <w:tcBorders>
              <w:top w:val="single" w:sz="12" w:space="0" w:color="auto"/>
              <w:left w:val="nil"/>
              <w:bottom w:val="single" w:sz="12" w:space="0" w:color="auto"/>
              <w:right w:val="nil"/>
            </w:tcBorders>
          </w:tcPr>
          <w:p w14:paraId="63352279" w14:textId="0FE280B9" w:rsidR="002D0CC7" w:rsidRPr="00105313" w:rsidRDefault="002D0CC7" w:rsidP="00360E75">
            <w:pPr>
              <w:pStyle w:val="TableFigHeadingtotal"/>
              <w:spacing w:before="0" w:after="0" w:line="276" w:lineRule="auto"/>
              <w:jc w:val="center"/>
              <w:rPr>
                <w:rFonts w:cs="Arial"/>
              </w:rPr>
            </w:pPr>
          </w:p>
        </w:tc>
      </w:tr>
      <w:tr w:rsidR="002D0CC7" w:rsidRPr="00105313" w14:paraId="02B27445" w14:textId="087870C6" w:rsidTr="00360E75">
        <w:trPr>
          <w:trHeight w:val="227"/>
        </w:trPr>
        <w:tc>
          <w:tcPr>
            <w:tcW w:w="1000" w:type="pct"/>
            <w:tcBorders>
              <w:top w:val="nil"/>
              <w:left w:val="nil"/>
              <w:bottom w:val="single" w:sz="12" w:space="0" w:color="auto"/>
              <w:right w:val="nil"/>
            </w:tcBorders>
            <w:shd w:val="clear" w:color="auto" w:fill="auto"/>
            <w:vAlign w:val="bottom"/>
            <w:hideMark/>
          </w:tcPr>
          <w:p w14:paraId="02BB7421" w14:textId="77777777" w:rsidR="002D0CC7" w:rsidRPr="00105313" w:rsidRDefault="002D0CC7" w:rsidP="00360E75">
            <w:pPr>
              <w:pStyle w:val="TableFigHeadingtotal"/>
              <w:spacing w:before="0" w:after="0" w:line="276" w:lineRule="auto"/>
              <w:rPr>
                <w:rFonts w:cs="Arial"/>
              </w:rPr>
            </w:pPr>
            <w:r w:rsidRPr="00105313">
              <w:rPr>
                <w:rFonts w:cs="Arial"/>
              </w:rPr>
              <w:t>Type of embryo</w:t>
            </w:r>
          </w:p>
        </w:tc>
        <w:tc>
          <w:tcPr>
            <w:tcW w:w="1143" w:type="pct"/>
            <w:tcBorders>
              <w:top w:val="single" w:sz="12" w:space="0" w:color="auto"/>
              <w:left w:val="nil"/>
              <w:bottom w:val="single" w:sz="12" w:space="0" w:color="auto"/>
              <w:right w:val="nil"/>
            </w:tcBorders>
            <w:shd w:val="clear" w:color="auto" w:fill="auto"/>
            <w:vAlign w:val="bottom"/>
            <w:hideMark/>
          </w:tcPr>
          <w:p w14:paraId="6C62D108" w14:textId="079F8DFE" w:rsidR="002D0CC7" w:rsidRPr="00105313" w:rsidRDefault="002D0CC7" w:rsidP="00360E75">
            <w:pPr>
              <w:pStyle w:val="TableFigHeadingtotal"/>
              <w:spacing w:before="0" w:after="0" w:line="276" w:lineRule="auto"/>
              <w:jc w:val="right"/>
              <w:rPr>
                <w:rFonts w:cs="Arial"/>
              </w:rPr>
            </w:pPr>
            <w:r w:rsidRPr="00105313">
              <w:rPr>
                <w:rFonts w:cs="Arial"/>
              </w:rPr>
              <w:t xml:space="preserve">Number of cycles with </w:t>
            </w:r>
            <w:r w:rsidR="00E12A5C">
              <w:rPr>
                <w:rFonts w:cs="Arial"/>
              </w:rPr>
              <w:t xml:space="preserve">fresh or thawed </w:t>
            </w:r>
            <w:r w:rsidRPr="00105313">
              <w:rPr>
                <w:rFonts w:cs="Arial"/>
              </w:rPr>
              <w:t>embryo</w:t>
            </w:r>
            <w:r w:rsidR="00E12A5C">
              <w:rPr>
                <w:rFonts w:cs="Arial"/>
              </w:rPr>
              <w:t>s</w:t>
            </w:r>
          </w:p>
        </w:tc>
        <w:tc>
          <w:tcPr>
            <w:tcW w:w="952" w:type="pct"/>
            <w:tcBorders>
              <w:top w:val="single" w:sz="12" w:space="0" w:color="auto"/>
              <w:left w:val="nil"/>
              <w:bottom w:val="single" w:sz="12" w:space="0" w:color="auto"/>
              <w:right w:val="nil"/>
            </w:tcBorders>
            <w:shd w:val="clear" w:color="auto" w:fill="auto"/>
            <w:vAlign w:val="bottom"/>
            <w:hideMark/>
          </w:tcPr>
          <w:p w14:paraId="25F9FED8" w14:textId="77777777" w:rsidR="002D0CC7" w:rsidRPr="00105313" w:rsidRDefault="002D0CC7" w:rsidP="00360E75">
            <w:pPr>
              <w:pStyle w:val="TableFigHeadingtotal"/>
              <w:spacing w:before="0" w:after="0" w:line="276" w:lineRule="auto"/>
              <w:jc w:val="right"/>
              <w:rPr>
                <w:rFonts w:cs="Arial"/>
              </w:rPr>
            </w:pPr>
            <w:r w:rsidRPr="00105313">
              <w:rPr>
                <w:rFonts w:cs="Arial"/>
              </w:rPr>
              <w:t>Number of cycles with PGT</w:t>
            </w:r>
          </w:p>
        </w:tc>
        <w:tc>
          <w:tcPr>
            <w:tcW w:w="952" w:type="pct"/>
            <w:tcBorders>
              <w:top w:val="single" w:sz="12" w:space="0" w:color="auto"/>
              <w:left w:val="nil"/>
              <w:bottom w:val="single" w:sz="12" w:space="0" w:color="auto"/>
              <w:right w:val="nil"/>
            </w:tcBorders>
          </w:tcPr>
          <w:p w14:paraId="596D0F86" w14:textId="5538D829" w:rsidR="002D0CC7" w:rsidRDefault="002D0CC7" w:rsidP="00360E75">
            <w:pPr>
              <w:pStyle w:val="TableFigHeadingtotal"/>
              <w:spacing w:before="0" w:after="0" w:line="276" w:lineRule="auto"/>
              <w:jc w:val="right"/>
              <w:rPr>
                <w:rFonts w:cs="Arial"/>
              </w:rPr>
            </w:pPr>
            <w:r>
              <w:rPr>
                <w:rFonts w:cs="Arial"/>
              </w:rPr>
              <w:t>Number of embryo transfers following PGT</w:t>
            </w:r>
          </w:p>
        </w:tc>
        <w:tc>
          <w:tcPr>
            <w:tcW w:w="952" w:type="pct"/>
            <w:tcBorders>
              <w:top w:val="single" w:sz="12" w:space="0" w:color="auto"/>
              <w:left w:val="nil"/>
              <w:bottom w:val="single" w:sz="12" w:space="0" w:color="auto"/>
              <w:right w:val="nil"/>
            </w:tcBorders>
          </w:tcPr>
          <w:p w14:paraId="0F8B163A" w14:textId="08D8EFC3" w:rsidR="002D0CC7" w:rsidRPr="00105313" w:rsidRDefault="002D0CC7" w:rsidP="00360E75">
            <w:pPr>
              <w:pStyle w:val="TableFigHeadingtotal"/>
              <w:spacing w:before="0" w:after="0" w:line="276" w:lineRule="auto"/>
              <w:jc w:val="right"/>
              <w:rPr>
                <w:rFonts w:cs="Arial"/>
              </w:rPr>
            </w:pPr>
            <w:r>
              <w:rPr>
                <w:rFonts w:cs="Arial"/>
              </w:rPr>
              <w:t xml:space="preserve">Number of live </w:t>
            </w:r>
            <w:r w:rsidR="00C736CE">
              <w:rPr>
                <w:rFonts w:cs="Arial"/>
              </w:rPr>
              <w:t>births</w:t>
            </w:r>
            <w:r>
              <w:rPr>
                <w:rFonts w:cs="Arial"/>
              </w:rPr>
              <w:t xml:space="preserve"> following PGT</w:t>
            </w:r>
          </w:p>
        </w:tc>
      </w:tr>
      <w:tr w:rsidR="006F1842" w:rsidRPr="00373F8D" w14:paraId="0980F30D" w14:textId="65E06EAF" w:rsidTr="00744BEE">
        <w:trPr>
          <w:trHeight w:val="227"/>
        </w:trPr>
        <w:tc>
          <w:tcPr>
            <w:tcW w:w="1000" w:type="pct"/>
            <w:tcBorders>
              <w:top w:val="single" w:sz="12" w:space="0" w:color="auto"/>
              <w:left w:val="nil"/>
              <w:bottom w:val="nil"/>
              <w:right w:val="nil"/>
            </w:tcBorders>
            <w:shd w:val="clear" w:color="auto" w:fill="auto"/>
            <w:vAlign w:val="center"/>
            <w:hideMark/>
          </w:tcPr>
          <w:p w14:paraId="13233FB4" w14:textId="77777777" w:rsidR="006F1842" w:rsidRPr="00105313" w:rsidRDefault="006F1842" w:rsidP="006F1842">
            <w:pPr>
              <w:pStyle w:val="TableFigText"/>
              <w:spacing w:before="0" w:after="0" w:line="276" w:lineRule="auto"/>
              <w:rPr>
                <w:rFonts w:cs="Arial"/>
              </w:rPr>
            </w:pPr>
            <w:r w:rsidRPr="00105313">
              <w:rPr>
                <w:rFonts w:cs="Arial"/>
              </w:rPr>
              <w:t>Fresh</w:t>
            </w:r>
          </w:p>
        </w:tc>
        <w:tc>
          <w:tcPr>
            <w:tcW w:w="1143" w:type="pct"/>
            <w:tcBorders>
              <w:top w:val="single" w:sz="12" w:space="0" w:color="auto"/>
              <w:left w:val="nil"/>
              <w:bottom w:val="nil"/>
              <w:right w:val="nil"/>
            </w:tcBorders>
            <w:shd w:val="clear" w:color="auto" w:fill="auto"/>
            <w:vAlign w:val="center"/>
          </w:tcPr>
          <w:p w14:paraId="4A4F9E8E" w14:textId="59110626" w:rsidR="006F1842" w:rsidRPr="00D6537B" w:rsidRDefault="006F1842" w:rsidP="006F1842">
            <w:pPr>
              <w:pStyle w:val="NormalWeb"/>
              <w:spacing w:before="0" w:beforeAutospacing="0" w:after="0" w:line="276" w:lineRule="auto"/>
              <w:jc w:val="right"/>
              <w:rPr>
                <w:rFonts w:ascii="Arial" w:hAnsi="Arial" w:cs="Arial"/>
                <w:sz w:val="16"/>
                <w:szCs w:val="16"/>
              </w:rPr>
            </w:pPr>
            <w:r>
              <w:rPr>
                <w:rFonts w:ascii="Arial" w:hAnsi="Arial" w:cs="Arial"/>
                <w:sz w:val="16"/>
                <w:szCs w:val="16"/>
              </w:rPr>
              <w:t>3,269</w:t>
            </w:r>
          </w:p>
        </w:tc>
        <w:tc>
          <w:tcPr>
            <w:tcW w:w="952" w:type="pct"/>
            <w:tcBorders>
              <w:top w:val="single" w:sz="12" w:space="0" w:color="auto"/>
              <w:left w:val="nil"/>
              <w:bottom w:val="nil"/>
              <w:right w:val="nil"/>
            </w:tcBorders>
            <w:shd w:val="clear" w:color="auto" w:fill="auto"/>
            <w:vAlign w:val="center"/>
          </w:tcPr>
          <w:p w14:paraId="6B8286F9" w14:textId="2F4952D5" w:rsidR="006F1842" w:rsidRPr="00AE3AD0" w:rsidRDefault="006F1842" w:rsidP="006F1842">
            <w:pPr>
              <w:pStyle w:val="NormalWeb"/>
              <w:spacing w:before="0" w:beforeAutospacing="0" w:after="0" w:line="276" w:lineRule="auto"/>
              <w:jc w:val="right"/>
              <w:rPr>
                <w:rFonts w:ascii="Arial" w:hAnsi="Arial" w:cs="Arial"/>
                <w:sz w:val="16"/>
                <w:szCs w:val="16"/>
              </w:rPr>
            </w:pPr>
            <w:r>
              <w:rPr>
                <w:rFonts w:ascii="Arial" w:hAnsi="Arial" w:cs="Arial"/>
                <w:sz w:val="16"/>
                <w:szCs w:val="16"/>
              </w:rPr>
              <w:t>456</w:t>
            </w:r>
          </w:p>
        </w:tc>
        <w:tc>
          <w:tcPr>
            <w:tcW w:w="952" w:type="pct"/>
            <w:tcBorders>
              <w:top w:val="single" w:sz="12" w:space="0" w:color="auto"/>
              <w:left w:val="nil"/>
              <w:bottom w:val="nil"/>
              <w:right w:val="nil"/>
            </w:tcBorders>
            <w:vAlign w:val="bottom"/>
          </w:tcPr>
          <w:p w14:paraId="4663CE60" w14:textId="0F78AB9B" w:rsidR="006F1842" w:rsidRPr="00373F8D" w:rsidRDefault="006F1842" w:rsidP="006F1842">
            <w:pPr>
              <w:pStyle w:val="NormalWeb"/>
              <w:spacing w:before="0" w:beforeAutospacing="0" w:after="0" w:line="276" w:lineRule="auto"/>
              <w:jc w:val="right"/>
              <w:rPr>
                <w:rFonts w:ascii="Arial" w:hAnsi="Arial" w:cs="Arial"/>
                <w:sz w:val="16"/>
                <w:szCs w:val="16"/>
                <w:highlight w:val="yellow"/>
              </w:rPr>
            </w:pPr>
            <w:r>
              <w:rPr>
                <w:rFonts w:ascii="Arial" w:hAnsi="Arial" w:cs="Arial"/>
                <w:sz w:val="16"/>
                <w:szCs w:val="16"/>
              </w:rPr>
              <w:t>52</w:t>
            </w:r>
          </w:p>
        </w:tc>
        <w:tc>
          <w:tcPr>
            <w:tcW w:w="952" w:type="pct"/>
            <w:tcBorders>
              <w:top w:val="single" w:sz="12" w:space="0" w:color="auto"/>
              <w:left w:val="nil"/>
              <w:bottom w:val="nil"/>
              <w:right w:val="nil"/>
            </w:tcBorders>
            <w:vAlign w:val="bottom"/>
          </w:tcPr>
          <w:p w14:paraId="6E031194" w14:textId="1E2C83A4" w:rsidR="006F1842" w:rsidRPr="00373F8D" w:rsidRDefault="006F1842" w:rsidP="006F1842">
            <w:pPr>
              <w:pStyle w:val="NormalWeb"/>
              <w:spacing w:before="0" w:beforeAutospacing="0" w:after="0" w:line="276" w:lineRule="auto"/>
              <w:jc w:val="right"/>
              <w:rPr>
                <w:rFonts w:ascii="Arial" w:hAnsi="Arial" w:cs="Arial"/>
                <w:sz w:val="16"/>
                <w:szCs w:val="16"/>
                <w:highlight w:val="yellow"/>
              </w:rPr>
            </w:pPr>
            <w:r>
              <w:rPr>
                <w:rFonts w:ascii="Arial" w:hAnsi="Arial" w:cs="Arial"/>
                <w:sz w:val="16"/>
                <w:szCs w:val="16"/>
              </w:rPr>
              <w:t>13</w:t>
            </w:r>
          </w:p>
        </w:tc>
      </w:tr>
      <w:tr w:rsidR="006F1842" w:rsidRPr="00373F8D" w14:paraId="4757CF7A" w14:textId="06C64B16" w:rsidTr="00744BEE">
        <w:trPr>
          <w:trHeight w:val="227"/>
        </w:trPr>
        <w:tc>
          <w:tcPr>
            <w:tcW w:w="1000" w:type="pct"/>
            <w:tcBorders>
              <w:top w:val="nil"/>
              <w:left w:val="nil"/>
              <w:bottom w:val="nil"/>
              <w:right w:val="nil"/>
            </w:tcBorders>
            <w:shd w:val="clear" w:color="auto" w:fill="auto"/>
            <w:vAlign w:val="center"/>
          </w:tcPr>
          <w:p w14:paraId="32F8DF1D" w14:textId="77777777" w:rsidR="006F1842" w:rsidRPr="00105313" w:rsidRDefault="006F1842" w:rsidP="006F1842">
            <w:pPr>
              <w:pStyle w:val="TableFigText"/>
              <w:spacing w:before="0" w:after="0" w:line="276" w:lineRule="auto"/>
              <w:rPr>
                <w:rFonts w:cs="Arial"/>
              </w:rPr>
            </w:pPr>
            <w:r w:rsidRPr="00105313">
              <w:rPr>
                <w:rFonts w:cs="Arial"/>
              </w:rPr>
              <w:t xml:space="preserve">    </w:t>
            </w:r>
            <w:r w:rsidRPr="00105313">
              <w:rPr>
                <w:rFonts w:cs="Arial"/>
                <w:i/>
              </w:rPr>
              <w:t>Freeze-all</w:t>
            </w:r>
            <w:r w:rsidRPr="00105313">
              <w:rPr>
                <w:rFonts w:cs="Arial"/>
              </w:rPr>
              <w:t xml:space="preserve"> cycles</w:t>
            </w:r>
          </w:p>
        </w:tc>
        <w:tc>
          <w:tcPr>
            <w:tcW w:w="1143" w:type="pct"/>
            <w:tcBorders>
              <w:top w:val="nil"/>
              <w:left w:val="nil"/>
              <w:bottom w:val="nil"/>
              <w:right w:val="nil"/>
            </w:tcBorders>
            <w:shd w:val="clear" w:color="auto" w:fill="auto"/>
            <w:vAlign w:val="bottom"/>
          </w:tcPr>
          <w:p w14:paraId="10942784" w14:textId="4D7F71B8" w:rsidR="006F1842" w:rsidRPr="00D6537B" w:rsidRDefault="006F1842" w:rsidP="006F1842">
            <w:pPr>
              <w:pStyle w:val="NormalWeb"/>
              <w:spacing w:before="0" w:beforeAutospacing="0" w:after="0" w:line="276" w:lineRule="auto"/>
              <w:jc w:val="right"/>
              <w:rPr>
                <w:rFonts w:ascii="Arial" w:hAnsi="Arial" w:cs="Arial"/>
                <w:i/>
                <w:sz w:val="16"/>
                <w:szCs w:val="16"/>
              </w:rPr>
            </w:pPr>
            <w:r>
              <w:rPr>
                <w:rFonts w:ascii="Arial" w:hAnsi="Arial" w:cs="Arial"/>
                <w:i/>
                <w:iCs/>
                <w:sz w:val="16"/>
                <w:szCs w:val="16"/>
              </w:rPr>
              <w:t>1,458</w:t>
            </w:r>
          </w:p>
        </w:tc>
        <w:tc>
          <w:tcPr>
            <w:tcW w:w="952" w:type="pct"/>
            <w:tcBorders>
              <w:top w:val="nil"/>
              <w:left w:val="nil"/>
              <w:bottom w:val="nil"/>
              <w:right w:val="nil"/>
            </w:tcBorders>
            <w:shd w:val="clear" w:color="auto" w:fill="auto"/>
            <w:vAlign w:val="bottom"/>
          </w:tcPr>
          <w:p w14:paraId="1EBCAD79" w14:textId="388BB28A" w:rsidR="006F1842" w:rsidRPr="000D75B4" w:rsidRDefault="006F1842" w:rsidP="006F1842">
            <w:pPr>
              <w:pStyle w:val="NormalWeb"/>
              <w:spacing w:before="0" w:beforeAutospacing="0" w:after="0" w:line="276" w:lineRule="auto"/>
              <w:jc w:val="right"/>
              <w:rPr>
                <w:rFonts w:ascii="Arial" w:hAnsi="Arial" w:cs="Arial"/>
                <w:i/>
                <w:sz w:val="16"/>
                <w:szCs w:val="16"/>
              </w:rPr>
            </w:pPr>
            <w:r>
              <w:rPr>
                <w:rFonts w:ascii="Arial" w:hAnsi="Arial" w:cs="Arial"/>
                <w:i/>
                <w:iCs/>
                <w:sz w:val="16"/>
                <w:szCs w:val="16"/>
              </w:rPr>
              <w:t>403</w:t>
            </w:r>
          </w:p>
        </w:tc>
        <w:tc>
          <w:tcPr>
            <w:tcW w:w="952" w:type="pct"/>
            <w:tcBorders>
              <w:top w:val="nil"/>
              <w:left w:val="nil"/>
              <w:bottom w:val="nil"/>
              <w:right w:val="nil"/>
            </w:tcBorders>
            <w:vAlign w:val="bottom"/>
          </w:tcPr>
          <w:p w14:paraId="238A721D" w14:textId="44388983" w:rsidR="006F1842" w:rsidRPr="00952173" w:rsidRDefault="006F1842" w:rsidP="006F1842">
            <w:pPr>
              <w:pStyle w:val="NormalWeb"/>
              <w:spacing w:before="0" w:beforeAutospacing="0" w:after="0" w:line="276" w:lineRule="auto"/>
              <w:jc w:val="right"/>
              <w:rPr>
                <w:rFonts w:ascii="Arial" w:hAnsi="Arial" w:cs="Arial"/>
                <w:i/>
                <w:iCs/>
                <w:sz w:val="16"/>
                <w:szCs w:val="16"/>
              </w:rPr>
            </w:pPr>
            <w:r>
              <w:rPr>
                <w:rFonts w:ascii="Arial" w:hAnsi="Arial" w:cs="Arial"/>
                <w:i/>
                <w:iCs/>
                <w:sz w:val="16"/>
                <w:szCs w:val="16"/>
              </w:rPr>
              <w:t>..</w:t>
            </w:r>
          </w:p>
        </w:tc>
        <w:tc>
          <w:tcPr>
            <w:tcW w:w="952" w:type="pct"/>
            <w:tcBorders>
              <w:top w:val="nil"/>
              <w:left w:val="nil"/>
              <w:bottom w:val="nil"/>
              <w:right w:val="nil"/>
            </w:tcBorders>
            <w:vAlign w:val="bottom"/>
          </w:tcPr>
          <w:p w14:paraId="003B4943" w14:textId="4C24D419" w:rsidR="006F1842" w:rsidRPr="00952173" w:rsidRDefault="006F1842" w:rsidP="006F1842">
            <w:pPr>
              <w:pStyle w:val="NormalWeb"/>
              <w:spacing w:before="0" w:beforeAutospacing="0" w:after="0" w:line="276" w:lineRule="auto"/>
              <w:jc w:val="right"/>
              <w:rPr>
                <w:rFonts w:ascii="Arial" w:hAnsi="Arial" w:cs="Arial"/>
                <w:i/>
                <w:iCs/>
                <w:sz w:val="16"/>
                <w:szCs w:val="16"/>
              </w:rPr>
            </w:pPr>
            <w:r>
              <w:rPr>
                <w:rFonts w:ascii="Arial" w:hAnsi="Arial" w:cs="Arial"/>
                <w:i/>
                <w:iCs/>
                <w:sz w:val="16"/>
                <w:szCs w:val="16"/>
              </w:rPr>
              <w:t>..</w:t>
            </w:r>
          </w:p>
        </w:tc>
      </w:tr>
      <w:tr w:rsidR="006F1842" w:rsidRPr="00105313" w14:paraId="7E8B620B" w14:textId="7D7640A4" w:rsidTr="00744BEE">
        <w:trPr>
          <w:trHeight w:val="227"/>
        </w:trPr>
        <w:tc>
          <w:tcPr>
            <w:tcW w:w="1000" w:type="pct"/>
            <w:tcBorders>
              <w:top w:val="nil"/>
              <w:left w:val="nil"/>
              <w:right w:val="nil"/>
            </w:tcBorders>
            <w:shd w:val="clear" w:color="auto" w:fill="auto"/>
            <w:vAlign w:val="center"/>
            <w:hideMark/>
          </w:tcPr>
          <w:p w14:paraId="0EBF50F7" w14:textId="77777777" w:rsidR="006F1842" w:rsidRPr="00105313" w:rsidRDefault="006F1842" w:rsidP="006F1842">
            <w:pPr>
              <w:pStyle w:val="TableFigText"/>
              <w:spacing w:before="0" w:after="0" w:line="276" w:lineRule="auto"/>
              <w:rPr>
                <w:rFonts w:cs="Arial"/>
              </w:rPr>
            </w:pPr>
            <w:r w:rsidRPr="00105313">
              <w:rPr>
                <w:rFonts w:cs="Arial"/>
              </w:rPr>
              <w:t>Thaw</w:t>
            </w:r>
          </w:p>
        </w:tc>
        <w:tc>
          <w:tcPr>
            <w:tcW w:w="1143" w:type="pct"/>
            <w:tcBorders>
              <w:top w:val="nil"/>
              <w:left w:val="nil"/>
              <w:right w:val="nil"/>
            </w:tcBorders>
            <w:shd w:val="clear" w:color="auto" w:fill="auto"/>
            <w:vAlign w:val="bottom"/>
          </w:tcPr>
          <w:p w14:paraId="5C91DECF" w14:textId="0E46C39D" w:rsidR="006F1842" w:rsidRPr="00D6537B" w:rsidRDefault="006F1842" w:rsidP="006F1842">
            <w:pPr>
              <w:pStyle w:val="NormalWeb"/>
              <w:spacing w:before="0" w:beforeAutospacing="0" w:after="0" w:line="276" w:lineRule="auto"/>
              <w:jc w:val="right"/>
              <w:rPr>
                <w:rFonts w:ascii="Arial" w:hAnsi="Arial" w:cs="Arial"/>
                <w:sz w:val="16"/>
                <w:szCs w:val="16"/>
              </w:rPr>
            </w:pPr>
            <w:r>
              <w:rPr>
                <w:rFonts w:ascii="Arial" w:hAnsi="Arial" w:cs="Arial"/>
                <w:sz w:val="16"/>
                <w:szCs w:val="16"/>
              </w:rPr>
              <w:t>4,393</w:t>
            </w:r>
          </w:p>
        </w:tc>
        <w:tc>
          <w:tcPr>
            <w:tcW w:w="952" w:type="pct"/>
            <w:tcBorders>
              <w:top w:val="nil"/>
              <w:left w:val="nil"/>
              <w:right w:val="nil"/>
            </w:tcBorders>
            <w:shd w:val="clear" w:color="auto" w:fill="auto"/>
            <w:vAlign w:val="bottom"/>
          </w:tcPr>
          <w:p w14:paraId="631D8530" w14:textId="49B35185" w:rsidR="006F1842" w:rsidRPr="000D75B4" w:rsidRDefault="006F1842" w:rsidP="006F1842">
            <w:pPr>
              <w:pStyle w:val="NormalWeb"/>
              <w:spacing w:before="0" w:beforeAutospacing="0" w:after="0" w:line="276" w:lineRule="auto"/>
              <w:jc w:val="right"/>
              <w:rPr>
                <w:rFonts w:ascii="Arial" w:hAnsi="Arial" w:cs="Arial"/>
                <w:sz w:val="16"/>
                <w:szCs w:val="16"/>
              </w:rPr>
            </w:pPr>
            <w:r>
              <w:rPr>
                <w:rFonts w:ascii="Arial" w:hAnsi="Arial" w:cs="Arial"/>
                <w:sz w:val="16"/>
                <w:szCs w:val="16"/>
              </w:rPr>
              <w:t>496</w:t>
            </w:r>
          </w:p>
        </w:tc>
        <w:tc>
          <w:tcPr>
            <w:tcW w:w="952" w:type="pct"/>
            <w:tcBorders>
              <w:top w:val="nil"/>
              <w:left w:val="nil"/>
              <w:right w:val="nil"/>
            </w:tcBorders>
            <w:vAlign w:val="bottom"/>
          </w:tcPr>
          <w:p w14:paraId="2565516F" w14:textId="01C7A247" w:rsidR="006F1842" w:rsidRPr="00D6537B" w:rsidRDefault="006F1842" w:rsidP="006F1842">
            <w:pPr>
              <w:pStyle w:val="NormalWeb"/>
              <w:spacing w:before="0" w:beforeAutospacing="0" w:after="0" w:line="276" w:lineRule="auto"/>
              <w:jc w:val="right"/>
              <w:rPr>
                <w:rFonts w:ascii="Arial" w:hAnsi="Arial" w:cs="Arial"/>
                <w:sz w:val="16"/>
                <w:szCs w:val="16"/>
              </w:rPr>
            </w:pPr>
            <w:r>
              <w:rPr>
                <w:rFonts w:ascii="Arial" w:hAnsi="Arial" w:cs="Arial"/>
                <w:sz w:val="16"/>
                <w:szCs w:val="16"/>
              </w:rPr>
              <w:t>493</w:t>
            </w:r>
          </w:p>
        </w:tc>
        <w:tc>
          <w:tcPr>
            <w:tcW w:w="952" w:type="pct"/>
            <w:tcBorders>
              <w:top w:val="nil"/>
              <w:left w:val="nil"/>
              <w:right w:val="nil"/>
            </w:tcBorders>
            <w:vAlign w:val="bottom"/>
          </w:tcPr>
          <w:p w14:paraId="3C9AC15A" w14:textId="10D0EA5D" w:rsidR="006F1842" w:rsidRPr="00D6537B" w:rsidRDefault="006F1842" w:rsidP="006F1842">
            <w:pPr>
              <w:pStyle w:val="NormalWeb"/>
              <w:spacing w:before="0" w:beforeAutospacing="0" w:after="0" w:line="276" w:lineRule="auto"/>
              <w:jc w:val="right"/>
              <w:rPr>
                <w:rFonts w:ascii="Arial" w:hAnsi="Arial" w:cs="Arial"/>
                <w:sz w:val="16"/>
                <w:szCs w:val="16"/>
              </w:rPr>
            </w:pPr>
            <w:r>
              <w:rPr>
                <w:rFonts w:ascii="Arial" w:hAnsi="Arial" w:cs="Arial"/>
                <w:sz w:val="16"/>
                <w:szCs w:val="16"/>
              </w:rPr>
              <w:t>206</w:t>
            </w:r>
          </w:p>
        </w:tc>
      </w:tr>
      <w:tr w:rsidR="006F1842" w:rsidRPr="00087467" w14:paraId="4342671E" w14:textId="17F85F9B" w:rsidTr="00744BEE">
        <w:trPr>
          <w:trHeight w:val="227"/>
        </w:trPr>
        <w:tc>
          <w:tcPr>
            <w:tcW w:w="1000" w:type="pct"/>
            <w:tcBorders>
              <w:top w:val="nil"/>
              <w:left w:val="nil"/>
              <w:bottom w:val="single" w:sz="12" w:space="0" w:color="auto"/>
              <w:right w:val="nil"/>
            </w:tcBorders>
            <w:shd w:val="clear" w:color="auto" w:fill="auto"/>
            <w:vAlign w:val="center"/>
            <w:hideMark/>
          </w:tcPr>
          <w:p w14:paraId="443D3782" w14:textId="77777777" w:rsidR="006F1842" w:rsidRPr="00087467" w:rsidRDefault="006F1842" w:rsidP="006F1842">
            <w:pPr>
              <w:pStyle w:val="TableFigText"/>
              <w:spacing w:before="0" w:after="0" w:line="276" w:lineRule="auto"/>
              <w:rPr>
                <w:rFonts w:cs="Arial"/>
                <w:b/>
              </w:rPr>
            </w:pPr>
            <w:r w:rsidRPr="00087467">
              <w:rPr>
                <w:rFonts w:cs="Arial"/>
                <w:b/>
              </w:rPr>
              <w:t>Total</w:t>
            </w:r>
          </w:p>
        </w:tc>
        <w:tc>
          <w:tcPr>
            <w:tcW w:w="1143" w:type="pct"/>
            <w:tcBorders>
              <w:top w:val="nil"/>
              <w:left w:val="nil"/>
              <w:bottom w:val="single" w:sz="12" w:space="0" w:color="auto"/>
              <w:right w:val="nil"/>
            </w:tcBorders>
            <w:shd w:val="clear" w:color="auto" w:fill="auto"/>
            <w:vAlign w:val="bottom"/>
          </w:tcPr>
          <w:p w14:paraId="7B874546" w14:textId="6F862416" w:rsidR="006F1842" w:rsidRPr="00D6537B" w:rsidRDefault="006F1842" w:rsidP="006F1842">
            <w:pPr>
              <w:pStyle w:val="NormalWeb"/>
              <w:spacing w:before="0" w:beforeAutospacing="0" w:after="0" w:line="276" w:lineRule="auto"/>
              <w:jc w:val="right"/>
              <w:rPr>
                <w:rFonts w:ascii="Arial" w:hAnsi="Arial" w:cs="Arial"/>
                <w:b/>
                <w:sz w:val="16"/>
                <w:szCs w:val="16"/>
              </w:rPr>
            </w:pPr>
            <w:r>
              <w:rPr>
                <w:rFonts w:ascii="Arial" w:hAnsi="Arial" w:cs="Arial"/>
                <w:b/>
                <w:bCs/>
                <w:sz w:val="16"/>
                <w:szCs w:val="16"/>
              </w:rPr>
              <w:t>7,662</w:t>
            </w:r>
          </w:p>
        </w:tc>
        <w:tc>
          <w:tcPr>
            <w:tcW w:w="952" w:type="pct"/>
            <w:tcBorders>
              <w:top w:val="nil"/>
              <w:left w:val="nil"/>
              <w:bottom w:val="single" w:sz="12" w:space="0" w:color="auto"/>
              <w:right w:val="nil"/>
            </w:tcBorders>
            <w:shd w:val="clear" w:color="auto" w:fill="auto"/>
            <w:vAlign w:val="bottom"/>
          </w:tcPr>
          <w:p w14:paraId="0F798079" w14:textId="4DBE6C0D" w:rsidR="006F1842" w:rsidRPr="00AE3AD0" w:rsidRDefault="006F1842" w:rsidP="006F1842">
            <w:pPr>
              <w:pStyle w:val="NormalWeb"/>
              <w:spacing w:before="0" w:beforeAutospacing="0" w:after="0" w:line="276" w:lineRule="auto"/>
              <w:jc w:val="right"/>
              <w:rPr>
                <w:rFonts w:ascii="Arial" w:hAnsi="Arial" w:cs="Arial"/>
                <w:b/>
                <w:sz w:val="16"/>
                <w:szCs w:val="16"/>
              </w:rPr>
            </w:pPr>
            <w:r>
              <w:rPr>
                <w:rFonts w:ascii="Arial" w:hAnsi="Arial" w:cs="Arial"/>
                <w:b/>
                <w:bCs/>
                <w:sz w:val="16"/>
                <w:szCs w:val="16"/>
              </w:rPr>
              <w:t>952</w:t>
            </w:r>
          </w:p>
        </w:tc>
        <w:tc>
          <w:tcPr>
            <w:tcW w:w="952" w:type="pct"/>
            <w:tcBorders>
              <w:top w:val="nil"/>
              <w:left w:val="nil"/>
              <w:bottom w:val="single" w:sz="12" w:space="0" w:color="auto"/>
              <w:right w:val="nil"/>
            </w:tcBorders>
            <w:vAlign w:val="bottom"/>
          </w:tcPr>
          <w:p w14:paraId="6B34DCD4" w14:textId="5418045B" w:rsidR="006F1842" w:rsidRPr="00F00A63" w:rsidRDefault="006F1842" w:rsidP="006F1842">
            <w:pPr>
              <w:pStyle w:val="NormalWeb"/>
              <w:spacing w:before="0" w:beforeAutospacing="0" w:after="0" w:line="276" w:lineRule="auto"/>
              <w:jc w:val="right"/>
              <w:rPr>
                <w:rFonts w:ascii="Arial" w:hAnsi="Arial" w:cs="Arial"/>
                <w:b/>
                <w:bCs/>
                <w:sz w:val="16"/>
                <w:szCs w:val="16"/>
              </w:rPr>
            </w:pPr>
            <w:r>
              <w:rPr>
                <w:rFonts w:ascii="Arial" w:hAnsi="Arial" w:cs="Arial"/>
                <w:b/>
                <w:bCs/>
                <w:sz w:val="16"/>
                <w:szCs w:val="16"/>
              </w:rPr>
              <w:t>545</w:t>
            </w:r>
          </w:p>
        </w:tc>
        <w:tc>
          <w:tcPr>
            <w:tcW w:w="952" w:type="pct"/>
            <w:tcBorders>
              <w:top w:val="nil"/>
              <w:left w:val="nil"/>
              <w:bottom w:val="single" w:sz="12" w:space="0" w:color="auto"/>
              <w:right w:val="nil"/>
            </w:tcBorders>
            <w:vAlign w:val="bottom"/>
          </w:tcPr>
          <w:p w14:paraId="2E7882D8" w14:textId="234FB356" w:rsidR="006F1842" w:rsidRPr="00D6537B" w:rsidRDefault="006F1842" w:rsidP="006F1842">
            <w:pPr>
              <w:pStyle w:val="NormalWeb"/>
              <w:spacing w:before="0" w:beforeAutospacing="0" w:after="0" w:line="276" w:lineRule="auto"/>
              <w:jc w:val="right"/>
              <w:rPr>
                <w:rFonts w:ascii="Arial" w:hAnsi="Arial" w:cs="Arial"/>
                <w:b/>
                <w:bCs/>
                <w:sz w:val="16"/>
                <w:szCs w:val="16"/>
              </w:rPr>
            </w:pPr>
            <w:r>
              <w:rPr>
                <w:rFonts w:ascii="Arial" w:hAnsi="Arial" w:cs="Arial"/>
                <w:b/>
                <w:bCs/>
                <w:sz w:val="16"/>
                <w:szCs w:val="16"/>
              </w:rPr>
              <w:t>219</w:t>
            </w:r>
          </w:p>
        </w:tc>
      </w:tr>
    </w:tbl>
    <w:bookmarkEnd w:id="344"/>
    <w:p w14:paraId="33346CC4" w14:textId="587167DD" w:rsidR="00891EC0" w:rsidRDefault="00641FEC" w:rsidP="00904DBD">
      <w:pPr>
        <w:pStyle w:val="TableSourcefootnotes"/>
        <w:tabs>
          <w:tab w:val="left" w:pos="284"/>
        </w:tabs>
        <w:spacing w:before="0" w:after="0" w:line="240" w:lineRule="auto"/>
        <w:rPr>
          <w:rFonts w:cs="Arial"/>
        </w:rPr>
      </w:pPr>
      <w:r>
        <w:rPr>
          <w:rFonts w:cs="Arial"/>
        </w:rPr>
        <w:t>..</w:t>
      </w:r>
      <w:r w:rsidR="00891EC0">
        <w:rPr>
          <w:rFonts w:cs="Arial"/>
        </w:rPr>
        <w:t xml:space="preserve"> not applicable </w:t>
      </w:r>
    </w:p>
    <w:p w14:paraId="1BD186F9" w14:textId="0040DB69" w:rsidR="00FC5152" w:rsidRDefault="00FC5152" w:rsidP="00904DBD">
      <w:pPr>
        <w:pStyle w:val="NPESUbodytext"/>
        <w:spacing w:before="0" w:after="0" w:line="240" w:lineRule="auto"/>
        <w:rPr>
          <w:rFonts w:cs="Arial"/>
          <w:sz w:val="14"/>
        </w:rPr>
      </w:pPr>
      <w:r w:rsidRPr="00FC5152">
        <w:rPr>
          <w:rFonts w:cs="Arial"/>
          <w:sz w:val="14"/>
        </w:rPr>
        <w:t>PGT: Preimplantation genetic testing</w:t>
      </w:r>
    </w:p>
    <w:p w14:paraId="0F818E64" w14:textId="05FFEB38" w:rsidR="00B0258B" w:rsidRPr="00FC5152" w:rsidRDefault="00B0258B" w:rsidP="00904DBD">
      <w:pPr>
        <w:pStyle w:val="NPESUbodytext"/>
        <w:spacing w:before="0" w:after="0" w:line="240" w:lineRule="auto"/>
        <w:rPr>
          <w:rFonts w:cs="Arial"/>
          <w:sz w:val="14"/>
        </w:rPr>
      </w:pPr>
      <w:r>
        <w:rPr>
          <w:rFonts w:cs="Arial"/>
          <w:sz w:val="14"/>
        </w:rPr>
        <w:t>Note: The ANZARD 2.0 PGT definition was applied to the ANZARD 3.0 data used to create this table.</w:t>
      </w:r>
    </w:p>
    <w:p w14:paraId="3B7EE03E" w14:textId="77777777" w:rsidR="00A97D31" w:rsidRPr="00617599" w:rsidRDefault="00A97D31" w:rsidP="009303CD">
      <w:pPr>
        <w:pStyle w:val="NPESUbodytext"/>
        <w:rPr>
          <w:rFonts w:cs="Arial"/>
        </w:rPr>
      </w:pPr>
    </w:p>
    <w:p w14:paraId="1F0FD2C6" w14:textId="2C6253A6" w:rsidR="009303CD" w:rsidRPr="00360E75" w:rsidRDefault="009303CD" w:rsidP="00814AD1">
      <w:pPr>
        <w:pStyle w:val="Heading1"/>
        <w:numPr>
          <w:ilvl w:val="0"/>
          <w:numId w:val="3"/>
        </w:numPr>
        <w:ind w:left="851" w:hanging="491"/>
        <w:rPr>
          <w:rFonts w:cs="Arial"/>
        </w:rPr>
      </w:pPr>
      <w:bookmarkStart w:id="348" w:name="_Toc453054852"/>
      <w:bookmarkStart w:id="349" w:name="_Toc452112618"/>
      <w:bookmarkStart w:id="350" w:name="_Toc159568723"/>
      <w:r w:rsidRPr="00360E75">
        <w:rPr>
          <w:rFonts w:cs="Arial"/>
        </w:rPr>
        <w:lastRenderedPageBreak/>
        <w:t xml:space="preserve">Donor insemination cycles in </w:t>
      </w:r>
      <w:r w:rsidR="002C669F" w:rsidRPr="00360E75">
        <w:rPr>
          <w:rFonts w:cs="Arial"/>
        </w:rPr>
        <w:t>20</w:t>
      </w:r>
      <w:r w:rsidR="002E22A7">
        <w:rPr>
          <w:rFonts w:cs="Arial"/>
        </w:rPr>
        <w:t>2</w:t>
      </w:r>
      <w:bookmarkEnd w:id="348"/>
      <w:bookmarkEnd w:id="349"/>
      <w:r w:rsidR="00413A27">
        <w:rPr>
          <w:rFonts w:cs="Arial"/>
        </w:rPr>
        <w:t>1</w:t>
      </w:r>
      <w:bookmarkEnd w:id="350"/>
    </w:p>
    <w:p w14:paraId="3D15BB3D" w14:textId="23400830" w:rsidR="009303CD" w:rsidRPr="00617599" w:rsidRDefault="009303CD" w:rsidP="009303CD">
      <w:pPr>
        <w:pStyle w:val="NPESUbodytext"/>
        <w:rPr>
          <w:rFonts w:cs="Arial"/>
          <w:lang w:eastAsia="en-AU"/>
        </w:rPr>
      </w:pPr>
      <w:r w:rsidRPr="00617599">
        <w:rPr>
          <w:rFonts w:cs="Arial"/>
          <w:lang w:eastAsia="en-AU"/>
        </w:rPr>
        <w:t>Donor sperm insemination (DI) covers a range of techniques of placing sperm into the female genital tract using donated sperm from a man who is not the woman’s partner. The information presented in this section only describes DI cycles undertaken in fertility centres in New Zealand and does not include DI undertaken outside of this setting.</w:t>
      </w:r>
    </w:p>
    <w:p w14:paraId="05BCEDAD" w14:textId="3428F46E" w:rsidR="009303CD" w:rsidRPr="00617599" w:rsidRDefault="009303CD" w:rsidP="009303CD">
      <w:pPr>
        <w:pStyle w:val="NPESUbodytext"/>
        <w:rPr>
          <w:rFonts w:cs="Arial"/>
          <w:highlight w:val="yellow"/>
          <w:lang w:eastAsia="en-AU"/>
        </w:rPr>
      </w:pPr>
      <w:r w:rsidRPr="008562D3">
        <w:rPr>
          <w:rFonts w:cs="Arial"/>
          <w:lang w:eastAsia="en-AU"/>
        </w:rPr>
        <w:t xml:space="preserve">In </w:t>
      </w:r>
      <w:r w:rsidR="002C669F">
        <w:rPr>
          <w:rFonts w:cs="Arial"/>
          <w:lang w:eastAsia="en-AU"/>
        </w:rPr>
        <w:t>20</w:t>
      </w:r>
      <w:r w:rsidR="002E22A7">
        <w:rPr>
          <w:rFonts w:cs="Arial"/>
          <w:lang w:eastAsia="en-AU"/>
        </w:rPr>
        <w:t>2</w:t>
      </w:r>
      <w:r w:rsidR="00583B0F">
        <w:rPr>
          <w:rFonts w:cs="Arial"/>
          <w:lang w:eastAsia="en-AU"/>
        </w:rPr>
        <w:t>1</w:t>
      </w:r>
      <w:r w:rsidRPr="008562D3">
        <w:rPr>
          <w:rFonts w:cs="Arial"/>
          <w:lang w:eastAsia="en-AU"/>
        </w:rPr>
        <w:t xml:space="preserve">, there were </w:t>
      </w:r>
      <w:r w:rsidR="007E2087">
        <w:rPr>
          <w:rFonts w:cs="Arial"/>
          <w:lang w:eastAsia="en-AU"/>
        </w:rPr>
        <w:t>3</w:t>
      </w:r>
      <w:r w:rsidR="002E22A7">
        <w:rPr>
          <w:rFonts w:cs="Arial"/>
          <w:lang w:eastAsia="en-AU"/>
        </w:rPr>
        <w:t>5</w:t>
      </w:r>
      <w:r w:rsidR="00583B0F">
        <w:rPr>
          <w:rFonts w:cs="Arial"/>
          <w:lang w:eastAsia="en-AU"/>
        </w:rPr>
        <w:t>2</w:t>
      </w:r>
      <w:r w:rsidR="008A12B3" w:rsidRPr="008562D3">
        <w:rPr>
          <w:rFonts w:cs="Arial"/>
          <w:lang w:eastAsia="en-AU"/>
        </w:rPr>
        <w:t xml:space="preserve"> </w:t>
      </w:r>
      <w:r w:rsidRPr="008562D3">
        <w:rPr>
          <w:rFonts w:cs="Arial"/>
          <w:lang w:eastAsia="en-AU"/>
        </w:rPr>
        <w:t>DI cycles reported. Of</w:t>
      </w:r>
      <w:r w:rsidRPr="00617599">
        <w:rPr>
          <w:rFonts w:cs="Arial"/>
          <w:lang w:eastAsia="en-AU"/>
        </w:rPr>
        <w:t xml:space="preserve"> all DI cycles, </w:t>
      </w:r>
      <w:r w:rsidR="002E22A7">
        <w:rPr>
          <w:rFonts w:cs="Arial"/>
          <w:lang w:eastAsia="en-AU"/>
        </w:rPr>
        <w:t>19.</w:t>
      </w:r>
      <w:r w:rsidR="00583B0F">
        <w:rPr>
          <w:rFonts w:cs="Arial"/>
          <w:lang w:eastAsia="en-AU"/>
        </w:rPr>
        <w:t>3</w:t>
      </w:r>
      <w:r w:rsidRPr="00617599">
        <w:rPr>
          <w:rFonts w:cs="Arial"/>
          <w:lang w:eastAsia="en-AU"/>
        </w:rPr>
        <w:t xml:space="preserve">% resulted in a clinical pregnancy and </w:t>
      </w:r>
      <w:r w:rsidR="002F0CEC">
        <w:rPr>
          <w:rFonts w:cs="Arial"/>
          <w:lang w:eastAsia="en-AU"/>
        </w:rPr>
        <w:t>1</w:t>
      </w:r>
      <w:r w:rsidR="008A12B3">
        <w:rPr>
          <w:rFonts w:cs="Arial"/>
          <w:lang w:eastAsia="en-AU"/>
        </w:rPr>
        <w:t>6</w:t>
      </w:r>
      <w:r w:rsidR="002F0CEC">
        <w:rPr>
          <w:rFonts w:cs="Arial"/>
          <w:lang w:eastAsia="en-AU"/>
        </w:rPr>
        <w:t>.</w:t>
      </w:r>
      <w:r w:rsidR="00583B0F">
        <w:rPr>
          <w:rFonts w:cs="Arial"/>
          <w:lang w:eastAsia="en-AU"/>
        </w:rPr>
        <w:t>2</w:t>
      </w:r>
      <w:r w:rsidRPr="00617599">
        <w:rPr>
          <w:rFonts w:cs="Arial"/>
          <w:lang w:eastAsia="en-AU"/>
        </w:rPr>
        <w:t xml:space="preserve">% resulted in a live </w:t>
      </w:r>
      <w:r w:rsidR="00EC42AE">
        <w:rPr>
          <w:rFonts w:cs="Arial"/>
          <w:lang w:eastAsia="en-AU"/>
        </w:rPr>
        <w:t>birth</w:t>
      </w:r>
      <w:r w:rsidRPr="00617599">
        <w:rPr>
          <w:rFonts w:cs="Arial"/>
          <w:lang w:eastAsia="en-AU"/>
        </w:rPr>
        <w:t xml:space="preserve"> (Table 2</w:t>
      </w:r>
      <w:r w:rsidR="00BD7E00">
        <w:rPr>
          <w:rFonts w:cs="Arial"/>
          <w:lang w:eastAsia="en-AU"/>
        </w:rPr>
        <w:t>7</w:t>
      </w:r>
      <w:r w:rsidRPr="00332B2F">
        <w:rPr>
          <w:rFonts w:cs="Arial"/>
          <w:lang w:eastAsia="en-AU"/>
        </w:rPr>
        <w:t xml:space="preserve">). </w:t>
      </w:r>
      <w:r w:rsidRPr="00952173">
        <w:rPr>
          <w:rFonts w:cs="Arial"/>
          <w:lang w:eastAsia="en-AU"/>
        </w:rPr>
        <w:t>The</w:t>
      </w:r>
      <w:r w:rsidR="00061B18" w:rsidRPr="00952173">
        <w:rPr>
          <w:rFonts w:cs="Arial"/>
          <w:lang w:eastAsia="en-AU"/>
        </w:rPr>
        <w:t xml:space="preserve">re </w:t>
      </w:r>
      <w:r w:rsidR="002E22A7">
        <w:rPr>
          <w:rFonts w:cs="Arial"/>
          <w:lang w:eastAsia="en-AU"/>
        </w:rPr>
        <w:t>were two</w:t>
      </w:r>
      <w:r w:rsidR="008A12B3" w:rsidRPr="00952173">
        <w:rPr>
          <w:rFonts w:cs="Arial"/>
          <w:lang w:eastAsia="en-AU"/>
        </w:rPr>
        <w:t xml:space="preserve"> </w:t>
      </w:r>
      <w:r w:rsidRPr="00952173">
        <w:rPr>
          <w:rFonts w:cs="Arial"/>
          <w:lang w:eastAsia="en-AU"/>
        </w:rPr>
        <w:t>multiple birth</w:t>
      </w:r>
      <w:r w:rsidR="002E22A7">
        <w:rPr>
          <w:rFonts w:cs="Arial"/>
          <w:lang w:eastAsia="en-AU"/>
        </w:rPr>
        <w:t>s</w:t>
      </w:r>
      <w:r w:rsidRPr="00952173">
        <w:rPr>
          <w:rFonts w:cs="Arial"/>
          <w:lang w:eastAsia="en-AU"/>
        </w:rPr>
        <w:t xml:space="preserve"> following</w:t>
      </w:r>
      <w:r w:rsidR="00061B18" w:rsidRPr="00952173">
        <w:rPr>
          <w:rFonts w:cs="Arial"/>
          <w:lang w:eastAsia="en-AU"/>
        </w:rPr>
        <w:t xml:space="preserve"> </w:t>
      </w:r>
      <w:r w:rsidRPr="00952173">
        <w:rPr>
          <w:rFonts w:cs="Arial"/>
          <w:lang w:eastAsia="en-AU"/>
        </w:rPr>
        <w:t>DI cycles</w:t>
      </w:r>
      <w:r w:rsidRPr="00FC67AA">
        <w:rPr>
          <w:rFonts w:cs="Arial"/>
          <w:lang w:eastAsia="en-AU"/>
        </w:rPr>
        <w:t xml:space="preserve"> </w:t>
      </w:r>
      <w:r w:rsidR="00061B18" w:rsidRPr="00FC67AA">
        <w:rPr>
          <w:rFonts w:cs="Arial"/>
          <w:lang w:eastAsia="en-AU"/>
        </w:rPr>
        <w:t>in 20</w:t>
      </w:r>
      <w:r w:rsidR="002E22A7">
        <w:rPr>
          <w:rFonts w:cs="Arial"/>
          <w:lang w:eastAsia="en-AU"/>
        </w:rPr>
        <w:t>2</w:t>
      </w:r>
      <w:r w:rsidR="00BC5A6D">
        <w:rPr>
          <w:rFonts w:cs="Arial"/>
          <w:lang w:eastAsia="en-AU"/>
        </w:rPr>
        <w:t>1</w:t>
      </w:r>
      <w:r w:rsidRPr="00332B2F">
        <w:rPr>
          <w:rFonts w:cs="Arial"/>
          <w:lang w:eastAsia="en-AU"/>
        </w:rPr>
        <w:t>. The</w:t>
      </w:r>
      <w:r w:rsidRPr="00E17E67">
        <w:rPr>
          <w:rFonts w:cs="Arial"/>
          <w:lang w:eastAsia="en-AU"/>
        </w:rPr>
        <w:t xml:space="preserve"> average age of women who had a DI cycle </w:t>
      </w:r>
      <w:r w:rsidRPr="00FC67AA">
        <w:rPr>
          <w:rFonts w:cs="Arial"/>
          <w:lang w:eastAsia="en-AU"/>
        </w:rPr>
        <w:t xml:space="preserve">was </w:t>
      </w:r>
      <w:r w:rsidR="00FC67AA" w:rsidRPr="00952173">
        <w:rPr>
          <w:rFonts w:cs="Arial"/>
          <w:lang w:eastAsia="en-AU"/>
        </w:rPr>
        <w:t>3</w:t>
      </w:r>
      <w:r w:rsidR="002E22A7">
        <w:rPr>
          <w:rFonts w:cs="Arial"/>
          <w:lang w:eastAsia="en-AU"/>
        </w:rPr>
        <w:t>5</w:t>
      </w:r>
      <w:r w:rsidR="00FC67AA" w:rsidRPr="00952173">
        <w:rPr>
          <w:rFonts w:cs="Arial"/>
          <w:lang w:eastAsia="en-AU"/>
        </w:rPr>
        <w:t>.</w:t>
      </w:r>
      <w:r w:rsidR="00BC5A6D">
        <w:rPr>
          <w:rFonts w:cs="Arial"/>
          <w:lang w:eastAsia="en-AU"/>
        </w:rPr>
        <w:t>5</w:t>
      </w:r>
      <w:r w:rsidR="00FC67AA" w:rsidRPr="00952173">
        <w:rPr>
          <w:rFonts w:cs="Arial"/>
          <w:lang w:eastAsia="en-AU"/>
        </w:rPr>
        <w:t xml:space="preserve"> </w:t>
      </w:r>
      <w:r w:rsidRPr="00952173">
        <w:rPr>
          <w:rFonts w:cs="Arial"/>
          <w:lang w:eastAsia="en-AU"/>
        </w:rPr>
        <w:t>years</w:t>
      </w:r>
      <w:r w:rsidRPr="00FC67AA">
        <w:rPr>
          <w:rFonts w:cs="Arial"/>
          <w:lang w:eastAsia="en-AU"/>
        </w:rPr>
        <w:t>. The c</w:t>
      </w:r>
      <w:r w:rsidRPr="00265247">
        <w:rPr>
          <w:rFonts w:cs="Arial"/>
          <w:lang w:eastAsia="en-AU"/>
        </w:rPr>
        <w:t xml:space="preserve">linical pregnancy rate </w:t>
      </w:r>
      <w:r w:rsidR="00110C73" w:rsidRPr="00265247">
        <w:rPr>
          <w:rFonts w:cs="Arial"/>
          <w:lang w:eastAsia="en-AU"/>
        </w:rPr>
        <w:t xml:space="preserve">and live </w:t>
      </w:r>
      <w:r w:rsidR="00EC42AE" w:rsidRPr="00265247">
        <w:rPr>
          <w:rFonts w:cs="Arial"/>
          <w:lang w:eastAsia="en-AU"/>
        </w:rPr>
        <w:t>birth</w:t>
      </w:r>
      <w:r w:rsidR="00110C73" w:rsidRPr="00265247">
        <w:rPr>
          <w:rFonts w:cs="Arial"/>
          <w:lang w:eastAsia="en-AU"/>
        </w:rPr>
        <w:t xml:space="preserve"> rate</w:t>
      </w:r>
      <w:r w:rsidR="008C24BC">
        <w:rPr>
          <w:rFonts w:cs="Arial"/>
          <w:lang w:eastAsia="en-AU"/>
        </w:rPr>
        <w:t xml:space="preserve"> per DI cycle</w:t>
      </w:r>
      <w:r w:rsidR="00110C73" w:rsidRPr="00265247">
        <w:rPr>
          <w:rFonts w:cs="Arial"/>
          <w:lang w:eastAsia="en-AU"/>
        </w:rPr>
        <w:t xml:space="preserve"> </w:t>
      </w:r>
      <w:r w:rsidR="00061B18" w:rsidRPr="00265247">
        <w:rPr>
          <w:rFonts w:cs="Arial"/>
          <w:lang w:eastAsia="en-AU"/>
        </w:rPr>
        <w:t>w</w:t>
      </w:r>
      <w:r w:rsidR="00110C73" w:rsidRPr="00265247">
        <w:rPr>
          <w:rFonts w:cs="Arial"/>
          <w:lang w:eastAsia="en-AU"/>
        </w:rPr>
        <w:t>ere</w:t>
      </w:r>
      <w:r w:rsidR="00061B18" w:rsidRPr="00265247">
        <w:rPr>
          <w:rFonts w:cs="Arial"/>
          <w:lang w:eastAsia="en-AU"/>
        </w:rPr>
        <w:t xml:space="preserve"> highest in women aged </w:t>
      </w:r>
      <w:r w:rsidR="00110C73" w:rsidRPr="00265247">
        <w:rPr>
          <w:rFonts w:cs="Arial"/>
          <w:lang w:eastAsia="en-AU"/>
        </w:rPr>
        <w:t xml:space="preserve">less than 30 </w:t>
      </w:r>
      <w:r w:rsidR="00061B18" w:rsidRPr="00265247">
        <w:rPr>
          <w:rFonts w:cs="Arial"/>
          <w:lang w:eastAsia="en-AU"/>
        </w:rPr>
        <w:t>years</w:t>
      </w:r>
      <w:r w:rsidR="00110C73" w:rsidRPr="00265247">
        <w:rPr>
          <w:rFonts w:cs="Arial"/>
          <w:lang w:eastAsia="en-AU"/>
        </w:rPr>
        <w:t xml:space="preserve">. </w:t>
      </w:r>
      <w:r w:rsidRPr="00265247">
        <w:rPr>
          <w:rFonts w:cs="Arial"/>
          <w:lang w:eastAsia="en-AU"/>
        </w:rPr>
        <w:t xml:space="preserve">Of the DI cycles in women aged under 35 years, </w:t>
      </w:r>
      <w:r w:rsidR="00583B0F">
        <w:rPr>
          <w:rFonts w:cs="Arial"/>
          <w:lang w:eastAsia="en-AU"/>
        </w:rPr>
        <w:t>18.8</w:t>
      </w:r>
      <w:r w:rsidRPr="00265247">
        <w:rPr>
          <w:rFonts w:cs="Arial"/>
          <w:lang w:eastAsia="en-AU"/>
        </w:rPr>
        <w:t xml:space="preserve">% resulted in a live </w:t>
      </w:r>
      <w:r w:rsidR="00EC42AE" w:rsidRPr="00265247">
        <w:rPr>
          <w:rFonts w:cs="Arial"/>
          <w:lang w:eastAsia="en-AU"/>
        </w:rPr>
        <w:t>birth</w:t>
      </w:r>
      <w:r w:rsidRPr="00265247">
        <w:rPr>
          <w:rFonts w:cs="Arial"/>
          <w:lang w:eastAsia="en-AU"/>
        </w:rPr>
        <w:t xml:space="preserve">, compared with </w:t>
      </w:r>
      <w:r w:rsidR="00583B0F">
        <w:rPr>
          <w:rFonts w:cs="Arial"/>
          <w:lang w:eastAsia="en-AU"/>
        </w:rPr>
        <w:t>9.7</w:t>
      </w:r>
      <w:r w:rsidRPr="00265247">
        <w:rPr>
          <w:rFonts w:cs="Arial"/>
          <w:lang w:eastAsia="en-AU"/>
        </w:rPr>
        <w:t>% of DI cycles in women aged 40 years or older (</w:t>
      </w:r>
      <w:r w:rsidR="00583B0F">
        <w:rPr>
          <w:rFonts w:cs="Arial"/>
          <w:lang w:eastAsia="en-AU"/>
        </w:rPr>
        <w:t>Table 27</w:t>
      </w:r>
      <w:r w:rsidRPr="00265247">
        <w:rPr>
          <w:rFonts w:cs="Arial"/>
          <w:lang w:eastAsia="en-AU"/>
        </w:rPr>
        <w:t>).</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016"/>
        <w:gridCol w:w="1002"/>
        <w:gridCol w:w="1002"/>
        <w:gridCol w:w="1002"/>
        <w:gridCol w:w="1002"/>
        <w:gridCol w:w="1002"/>
      </w:tblGrid>
      <w:tr w:rsidR="00820709" w:rsidRPr="00617599" w14:paraId="059D5AE5" w14:textId="77777777" w:rsidTr="008B35A7">
        <w:trPr>
          <w:tblHeader/>
          <w:tblCellSpacing w:w="0" w:type="dxa"/>
        </w:trPr>
        <w:tc>
          <w:tcPr>
            <w:tcW w:w="5000" w:type="pct"/>
            <w:gridSpan w:val="6"/>
            <w:tcBorders>
              <w:top w:val="nil"/>
              <w:left w:val="nil"/>
              <w:bottom w:val="single" w:sz="12" w:space="0" w:color="auto"/>
              <w:right w:val="nil"/>
            </w:tcBorders>
            <w:tcMar>
              <w:top w:w="0" w:type="dxa"/>
              <w:left w:w="0" w:type="dxa"/>
              <w:bottom w:w="0" w:type="dxa"/>
              <w:right w:w="0" w:type="dxa"/>
            </w:tcMar>
            <w:vAlign w:val="center"/>
            <w:hideMark/>
          </w:tcPr>
          <w:p w14:paraId="3BF6C982" w14:textId="4370E524" w:rsidR="00820709" w:rsidRPr="00E17E67" w:rsidRDefault="00820709" w:rsidP="00360E75">
            <w:pPr>
              <w:pStyle w:val="Caption"/>
              <w:spacing w:before="60" w:line="260" w:lineRule="atLeast"/>
              <w:rPr>
                <w:rFonts w:eastAsia="Times New Roman"/>
                <w:lang w:eastAsia="en-AU"/>
              </w:rPr>
            </w:pPr>
            <w:bookmarkStart w:id="351" w:name="_Toc158026576"/>
            <w:r w:rsidRPr="00E17E67">
              <w:rPr>
                <w:rFonts w:eastAsia="Times New Roman"/>
                <w:lang w:eastAsia="en-AU"/>
              </w:rPr>
              <w:t xml:space="preserve">Table </w:t>
            </w:r>
            <w:r w:rsidR="005222C7" w:rsidRPr="00E17E67">
              <w:rPr>
                <w:rFonts w:eastAsia="Times New Roman"/>
                <w:lang w:eastAsia="en-AU"/>
              </w:rPr>
              <w:t>2</w:t>
            </w:r>
            <w:r w:rsidR="00583B0F">
              <w:rPr>
                <w:rFonts w:eastAsia="Times New Roman"/>
                <w:lang w:eastAsia="en-AU"/>
              </w:rPr>
              <w:t>7</w:t>
            </w:r>
            <w:r w:rsidRPr="00E17E67">
              <w:rPr>
                <w:rFonts w:eastAsia="Times New Roman"/>
                <w:lang w:eastAsia="en-AU"/>
              </w:rPr>
              <w:t xml:space="preserve">: Outcomes of DI cycles by women’s age group, </w:t>
            </w:r>
            <w:r w:rsidR="00A501CE">
              <w:rPr>
                <w:rFonts w:eastAsia="Times New Roman"/>
                <w:lang w:eastAsia="en-AU"/>
              </w:rPr>
              <w:t>New Zealand, 20</w:t>
            </w:r>
            <w:r w:rsidR="002E22A7">
              <w:rPr>
                <w:rFonts w:eastAsia="Times New Roman"/>
                <w:lang w:eastAsia="en-AU"/>
              </w:rPr>
              <w:t>2</w:t>
            </w:r>
            <w:r w:rsidR="00413A27">
              <w:rPr>
                <w:rFonts w:eastAsia="Times New Roman"/>
                <w:lang w:eastAsia="en-AU"/>
              </w:rPr>
              <w:t>1</w:t>
            </w:r>
            <w:bookmarkEnd w:id="351"/>
            <w:r w:rsidR="00A501CE">
              <w:rPr>
                <w:rFonts w:eastAsia="Times New Roman"/>
                <w:lang w:eastAsia="en-AU"/>
              </w:rPr>
              <w:t xml:space="preserve"> </w:t>
            </w:r>
            <w:r w:rsidRPr="00E17E67">
              <w:rPr>
                <w:rFonts w:eastAsia="Times New Roman"/>
                <w:lang w:eastAsia="en-AU"/>
              </w:rPr>
              <w:t xml:space="preserve"> </w:t>
            </w:r>
          </w:p>
        </w:tc>
      </w:tr>
      <w:tr w:rsidR="00025123" w:rsidRPr="00617599" w14:paraId="2255C87E" w14:textId="77777777" w:rsidTr="00360E75">
        <w:trPr>
          <w:trHeight w:val="227"/>
          <w:tblHeader/>
          <w:tblCellSpacing w:w="0" w:type="dxa"/>
        </w:trPr>
        <w:tc>
          <w:tcPr>
            <w:tcW w:w="2225" w:type="pct"/>
            <w:tcBorders>
              <w:top w:val="single" w:sz="4" w:space="0" w:color="auto"/>
              <w:left w:val="nil"/>
              <w:right w:val="nil"/>
            </w:tcBorders>
            <w:tcMar>
              <w:top w:w="28" w:type="dxa"/>
              <w:left w:w="0" w:type="dxa"/>
              <w:bottom w:w="28" w:type="dxa"/>
              <w:right w:w="0" w:type="dxa"/>
            </w:tcMar>
            <w:vAlign w:val="center"/>
          </w:tcPr>
          <w:p w14:paraId="045BA99E" w14:textId="77777777" w:rsidR="00025123" w:rsidRPr="00E17E67" w:rsidRDefault="00025123" w:rsidP="00360E75">
            <w:pPr>
              <w:spacing w:after="0" w:line="276" w:lineRule="auto"/>
              <w:rPr>
                <w:rFonts w:ascii="Arial" w:eastAsia="Times New Roman" w:hAnsi="Arial" w:cs="Arial"/>
                <w:sz w:val="16"/>
                <w:szCs w:val="16"/>
                <w:lang w:eastAsia="en-AU"/>
              </w:rPr>
            </w:pPr>
          </w:p>
        </w:tc>
        <w:tc>
          <w:tcPr>
            <w:tcW w:w="2775" w:type="pct"/>
            <w:gridSpan w:val="5"/>
            <w:tcBorders>
              <w:top w:val="single" w:sz="4" w:space="0" w:color="auto"/>
              <w:left w:val="nil"/>
              <w:right w:val="nil"/>
            </w:tcBorders>
            <w:tcMar>
              <w:top w:w="28" w:type="dxa"/>
              <w:left w:w="0" w:type="dxa"/>
              <w:bottom w:w="28" w:type="dxa"/>
              <w:right w:w="0" w:type="dxa"/>
            </w:tcMar>
            <w:vAlign w:val="center"/>
          </w:tcPr>
          <w:p w14:paraId="37390A88" w14:textId="4D995D8E" w:rsidR="00025123" w:rsidRPr="00025123" w:rsidRDefault="00025123" w:rsidP="00360E75">
            <w:pPr>
              <w:spacing w:after="0" w:line="276" w:lineRule="auto"/>
              <w:jc w:val="center"/>
              <w:rPr>
                <w:rFonts w:ascii="Arial" w:eastAsia="Times New Roman" w:hAnsi="Arial" w:cs="Arial"/>
                <w:b/>
                <w:bCs/>
                <w:sz w:val="16"/>
                <w:szCs w:val="16"/>
                <w:vertAlign w:val="superscript"/>
                <w:lang w:eastAsia="en-AU"/>
              </w:rPr>
            </w:pPr>
            <w:r>
              <w:rPr>
                <w:rFonts w:ascii="Arial" w:eastAsia="Times New Roman" w:hAnsi="Arial" w:cs="Arial"/>
                <w:b/>
                <w:bCs/>
                <w:sz w:val="16"/>
                <w:szCs w:val="16"/>
                <w:lang w:eastAsia="en-AU"/>
              </w:rPr>
              <w:t>Age group (years)</w:t>
            </w:r>
            <w:r>
              <w:rPr>
                <w:rFonts w:ascii="Arial" w:eastAsia="Times New Roman" w:hAnsi="Arial" w:cs="Arial"/>
                <w:b/>
                <w:bCs/>
                <w:sz w:val="16"/>
                <w:szCs w:val="16"/>
                <w:vertAlign w:val="superscript"/>
                <w:lang w:eastAsia="en-AU"/>
              </w:rPr>
              <w:t>(a)</w:t>
            </w:r>
          </w:p>
        </w:tc>
      </w:tr>
      <w:tr w:rsidR="00820709" w:rsidRPr="00617599" w14:paraId="1412550B" w14:textId="77777777" w:rsidTr="00360E75">
        <w:trPr>
          <w:trHeight w:val="227"/>
          <w:tblHeader/>
          <w:tblCellSpacing w:w="0" w:type="dxa"/>
        </w:trPr>
        <w:tc>
          <w:tcPr>
            <w:tcW w:w="2225" w:type="pct"/>
            <w:tcBorders>
              <w:left w:val="nil"/>
              <w:bottom w:val="single" w:sz="4" w:space="0" w:color="auto"/>
              <w:right w:val="nil"/>
            </w:tcBorders>
            <w:tcMar>
              <w:top w:w="28" w:type="dxa"/>
              <w:left w:w="0" w:type="dxa"/>
              <w:bottom w:w="28" w:type="dxa"/>
              <w:right w:w="0" w:type="dxa"/>
            </w:tcMar>
            <w:vAlign w:val="center"/>
            <w:hideMark/>
          </w:tcPr>
          <w:p w14:paraId="00B4AE6E" w14:textId="77777777" w:rsidR="00820709" w:rsidRPr="00E17E67" w:rsidRDefault="00820709" w:rsidP="00360E75">
            <w:pPr>
              <w:spacing w:after="0" w:line="276" w:lineRule="auto"/>
              <w:rPr>
                <w:rFonts w:ascii="Arial" w:eastAsia="Times New Roman" w:hAnsi="Arial" w:cs="Arial"/>
                <w:sz w:val="16"/>
                <w:szCs w:val="16"/>
                <w:lang w:eastAsia="en-AU"/>
              </w:rPr>
            </w:pPr>
          </w:p>
        </w:tc>
        <w:tc>
          <w:tcPr>
            <w:tcW w:w="555" w:type="pct"/>
            <w:tcBorders>
              <w:top w:val="single" w:sz="4" w:space="0" w:color="auto"/>
              <w:left w:val="nil"/>
              <w:bottom w:val="single" w:sz="4" w:space="0" w:color="auto"/>
              <w:right w:val="nil"/>
            </w:tcBorders>
            <w:tcMar>
              <w:top w:w="28" w:type="dxa"/>
              <w:left w:w="0" w:type="dxa"/>
              <w:bottom w:w="28" w:type="dxa"/>
              <w:right w:w="0" w:type="dxa"/>
            </w:tcMar>
            <w:vAlign w:val="center"/>
            <w:hideMark/>
          </w:tcPr>
          <w:p w14:paraId="2E945E05" w14:textId="77777777" w:rsidR="00820709" w:rsidRPr="00E17E67" w:rsidRDefault="00820709" w:rsidP="00360E75">
            <w:pPr>
              <w:spacing w:after="0" w:line="276" w:lineRule="auto"/>
              <w:jc w:val="right"/>
              <w:rPr>
                <w:rFonts w:ascii="Arial" w:eastAsia="Times New Roman" w:hAnsi="Arial" w:cs="Arial"/>
                <w:b/>
                <w:bCs/>
                <w:sz w:val="16"/>
                <w:szCs w:val="16"/>
                <w:lang w:eastAsia="en-AU"/>
              </w:rPr>
            </w:pPr>
            <w:r w:rsidRPr="00E17E67">
              <w:rPr>
                <w:rFonts w:ascii="Arial" w:eastAsia="Times New Roman" w:hAnsi="Arial" w:cs="Arial"/>
                <w:b/>
                <w:bCs/>
                <w:sz w:val="16"/>
                <w:szCs w:val="16"/>
                <w:lang w:eastAsia="en-AU"/>
              </w:rPr>
              <w:t xml:space="preserve">&lt; 30 </w:t>
            </w:r>
          </w:p>
        </w:tc>
        <w:tc>
          <w:tcPr>
            <w:tcW w:w="555" w:type="pct"/>
            <w:tcBorders>
              <w:top w:val="single" w:sz="4" w:space="0" w:color="auto"/>
              <w:left w:val="nil"/>
              <w:bottom w:val="single" w:sz="4" w:space="0" w:color="auto"/>
              <w:right w:val="nil"/>
            </w:tcBorders>
            <w:tcMar>
              <w:top w:w="28" w:type="dxa"/>
              <w:left w:w="0" w:type="dxa"/>
              <w:bottom w:w="28" w:type="dxa"/>
              <w:right w:w="0" w:type="dxa"/>
            </w:tcMar>
            <w:vAlign w:val="center"/>
            <w:hideMark/>
          </w:tcPr>
          <w:p w14:paraId="0CE7B82B" w14:textId="77777777" w:rsidR="00820709" w:rsidRPr="00E17E67" w:rsidRDefault="00820709" w:rsidP="00360E75">
            <w:pPr>
              <w:spacing w:after="0" w:line="276" w:lineRule="auto"/>
              <w:jc w:val="right"/>
              <w:rPr>
                <w:rFonts w:ascii="Arial" w:eastAsia="Times New Roman" w:hAnsi="Arial" w:cs="Arial"/>
                <w:b/>
                <w:bCs/>
                <w:sz w:val="16"/>
                <w:szCs w:val="16"/>
                <w:lang w:eastAsia="en-AU"/>
              </w:rPr>
            </w:pPr>
            <w:r w:rsidRPr="00E17E67">
              <w:rPr>
                <w:rFonts w:ascii="Arial" w:eastAsia="Times New Roman" w:hAnsi="Arial" w:cs="Arial"/>
                <w:b/>
                <w:bCs/>
                <w:sz w:val="16"/>
                <w:szCs w:val="16"/>
                <w:lang w:eastAsia="en-AU"/>
              </w:rPr>
              <w:t xml:space="preserve">30-34 </w:t>
            </w:r>
          </w:p>
        </w:tc>
        <w:tc>
          <w:tcPr>
            <w:tcW w:w="555" w:type="pct"/>
            <w:tcBorders>
              <w:top w:val="single" w:sz="4" w:space="0" w:color="auto"/>
              <w:left w:val="nil"/>
              <w:bottom w:val="single" w:sz="4" w:space="0" w:color="auto"/>
              <w:right w:val="nil"/>
            </w:tcBorders>
            <w:tcMar>
              <w:top w:w="28" w:type="dxa"/>
              <w:left w:w="0" w:type="dxa"/>
              <w:bottom w:w="28" w:type="dxa"/>
              <w:right w:w="0" w:type="dxa"/>
            </w:tcMar>
            <w:vAlign w:val="center"/>
            <w:hideMark/>
          </w:tcPr>
          <w:p w14:paraId="3090FA23" w14:textId="77777777" w:rsidR="00820709" w:rsidRPr="00E17E67" w:rsidRDefault="00820709" w:rsidP="00360E75">
            <w:pPr>
              <w:spacing w:after="0" w:line="276" w:lineRule="auto"/>
              <w:jc w:val="right"/>
              <w:rPr>
                <w:rFonts w:ascii="Arial" w:eastAsia="Times New Roman" w:hAnsi="Arial" w:cs="Arial"/>
                <w:b/>
                <w:bCs/>
                <w:sz w:val="16"/>
                <w:szCs w:val="16"/>
                <w:lang w:eastAsia="en-AU"/>
              </w:rPr>
            </w:pPr>
            <w:r w:rsidRPr="00E17E67">
              <w:rPr>
                <w:rFonts w:ascii="Arial" w:eastAsia="Times New Roman" w:hAnsi="Arial" w:cs="Arial"/>
                <w:b/>
                <w:bCs/>
                <w:sz w:val="16"/>
                <w:szCs w:val="16"/>
                <w:lang w:eastAsia="en-AU"/>
              </w:rPr>
              <w:t xml:space="preserve">35-39 </w:t>
            </w:r>
          </w:p>
        </w:tc>
        <w:tc>
          <w:tcPr>
            <w:tcW w:w="555" w:type="pct"/>
            <w:tcBorders>
              <w:top w:val="single" w:sz="4" w:space="0" w:color="auto"/>
              <w:left w:val="nil"/>
              <w:bottom w:val="single" w:sz="4" w:space="0" w:color="auto"/>
              <w:right w:val="nil"/>
            </w:tcBorders>
            <w:tcMar>
              <w:top w:w="28" w:type="dxa"/>
              <w:left w:w="0" w:type="dxa"/>
              <w:bottom w:w="28" w:type="dxa"/>
              <w:right w:w="0" w:type="dxa"/>
            </w:tcMar>
            <w:vAlign w:val="center"/>
            <w:hideMark/>
          </w:tcPr>
          <w:p w14:paraId="44D8EEDD" w14:textId="77777777" w:rsidR="00820709" w:rsidRPr="00E17E67" w:rsidRDefault="006A0766" w:rsidP="00360E75">
            <w:pPr>
              <w:spacing w:after="0" w:line="276" w:lineRule="auto"/>
              <w:jc w:val="right"/>
              <w:rPr>
                <w:rFonts w:ascii="Arial" w:eastAsia="Times New Roman" w:hAnsi="Arial" w:cs="Arial"/>
                <w:b/>
                <w:bCs/>
                <w:sz w:val="16"/>
                <w:szCs w:val="16"/>
                <w:lang w:eastAsia="en-AU"/>
              </w:rPr>
            </w:pPr>
            <w:r w:rsidRPr="00E17E67">
              <w:rPr>
                <w:rFonts w:ascii="Arial" w:eastAsia="Times New Roman" w:hAnsi="Arial" w:cs="Arial"/>
                <w:b/>
                <w:bCs/>
                <w:sz w:val="16"/>
                <w:szCs w:val="16"/>
                <w:lang w:eastAsia="en-AU"/>
              </w:rPr>
              <w:t>≥</w:t>
            </w:r>
            <w:r w:rsidR="00820709" w:rsidRPr="00E17E67">
              <w:rPr>
                <w:rFonts w:ascii="Arial" w:eastAsia="Times New Roman" w:hAnsi="Arial" w:cs="Arial"/>
                <w:b/>
                <w:bCs/>
                <w:sz w:val="16"/>
                <w:szCs w:val="16"/>
                <w:lang w:eastAsia="en-AU"/>
              </w:rPr>
              <w:t xml:space="preserve"> 40 </w:t>
            </w:r>
          </w:p>
        </w:tc>
        <w:tc>
          <w:tcPr>
            <w:tcW w:w="555" w:type="pct"/>
            <w:tcBorders>
              <w:top w:val="single" w:sz="4" w:space="0" w:color="auto"/>
              <w:left w:val="nil"/>
              <w:bottom w:val="single" w:sz="4" w:space="0" w:color="auto"/>
              <w:right w:val="nil"/>
            </w:tcBorders>
            <w:tcMar>
              <w:top w:w="28" w:type="dxa"/>
              <w:left w:w="0" w:type="dxa"/>
              <w:bottom w:w="28" w:type="dxa"/>
              <w:right w:w="0" w:type="dxa"/>
            </w:tcMar>
            <w:vAlign w:val="center"/>
            <w:hideMark/>
          </w:tcPr>
          <w:p w14:paraId="515063D2" w14:textId="77777777" w:rsidR="00820709" w:rsidRPr="00E17E67" w:rsidRDefault="00820709" w:rsidP="00360E75">
            <w:pPr>
              <w:spacing w:after="0" w:line="276" w:lineRule="auto"/>
              <w:jc w:val="right"/>
              <w:rPr>
                <w:rFonts w:ascii="Arial" w:eastAsia="Times New Roman" w:hAnsi="Arial" w:cs="Arial"/>
                <w:b/>
                <w:bCs/>
                <w:sz w:val="16"/>
                <w:szCs w:val="16"/>
                <w:lang w:eastAsia="en-AU"/>
              </w:rPr>
            </w:pPr>
            <w:r w:rsidRPr="00E17E67">
              <w:rPr>
                <w:rFonts w:ascii="Arial" w:eastAsia="Times New Roman" w:hAnsi="Arial" w:cs="Arial"/>
                <w:b/>
                <w:bCs/>
                <w:sz w:val="16"/>
                <w:szCs w:val="16"/>
                <w:lang w:eastAsia="en-AU"/>
              </w:rPr>
              <w:t xml:space="preserve">Overall </w:t>
            </w:r>
          </w:p>
        </w:tc>
      </w:tr>
      <w:tr w:rsidR="006F1842" w:rsidRPr="00617599" w14:paraId="1C3DC2E4" w14:textId="77777777" w:rsidTr="00360E75">
        <w:trPr>
          <w:trHeight w:val="227"/>
          <w:tblCellSpacing w:w="0" w:type="dxa"/>
        </w:trPr>
        <w:tc>
          <w:tcPr>
            <w:tcW w:w="2225" w:type="pct"/>
            <w:tcBorders>
              <w:top w:val="nil"/>
              <w:left w:val="nil"/>
              <w:bottom w:val="nil"/>
              <w:right w:val="nil"/>
            </w:tcBorders>
            <w:tcMar>
              <w:top w:w="0" w:type="dxa"/>
              <w:left w:w="0" w:type="dxa"/>
              <w:bottom w:w="0" w:type="dxa"/>
              <w:right w:w="0" w:type="dxa"/>
            </w:tcMar>
            <w:vAlign w:val="center"/>
            <w:hideMark/>
          </w:tcPr>
          <w:p w14:paraId="1E55541A" w14:textId="77777777" w:rsidR="006F1842" w:rsidRPr="00E17E67" w:rsidRDefault="006F1842" w:rsidP="006F1842">
            <w:pPr>
              <w:spacing w:after="0" w:line="276" w:lineRule="auto"/>
              <w:rPr>
                <w:rFonts w:ascii="Arial" w:eastAsia="Times New Roman" w:hAnsi="Arial" w:cs="Arial"/>
                <w:sz w:val="16"/>
                <w:szCs w:val="16"/>
                <w:lang w:eastAsia="en-AU"/>
              </w:rPr>
            </w:pPr>
            <w:r w:rsidRPr="00E17E67">
              <w:rPr>
                <w:rFonts w:ascii="Arial" w:eastAsia="Times New Roman" w:hAnsi="Arial" w:cs="Arial"/>
                <w:sz w:val="16"/>
                <w:szCs w:val="16"/>
                <w:lang w:eastAsia="en-AU"/>
              </w:rPr>
              <w:t xml:space="preserve">DI cycles </w:t>
            </w:r>
          </w:p>
        </w:tc>
        <w:tc>
          <w:tcPr>
            <w:tcW w:w="555" w:type="pct"/>
            <w:tcBorders>
              <w:top w:val="nil"/>
              <w:left w:val="nil"/>
              <w:bottom w:val="nil"/>
              <w:right w:val="nil"/>
            </w:tcBorders>
            <w:tcMar>
              <w:top w:w="0" w:type="dxa"/>
              <w:left w:w="0" w:type="dxa"/>
              <w:bottom w:w="0" w:type="dxa"/>
              <w:right w:w="0" w:type="dxa"/>
            </w:tcMar>
            <w:vAlign w:val="center"/>
            <w:hideMark/>
          </w:tcPr>
          <w:p w14:paraId="4A881966" w14:textId="743D7806"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sz w:val="16"/>
                <w:szCs w:val="16"/>
              </w:rPr>
              <w:t>26</w:t>
            </w:r>
          </w:p>
        </w:tc>
        <w:tc>
          <w:tcPr>
            <w:tcW w:w="555" w:type="pct"/>
            <w:tcBorders>
              <w:top w:val="nil"/>
              <w:left w:val="nil"/>
              <w:bottom w:val="nil"/>
              <w:right w:val="nil"/>
            </w:tcBorders>
            <w:tcMar>
              <w:top w:w="0" w:type="dxa"/>
              <w:left w:w="0" w:type="dxa"/>
              <w:bottom w:w="0" w:type="dxa"/>
              <w:right w:w="0" w:type="dxa"/>
            </w:tcMar>
            <w:vAlign w:val="center"/>
            <w:hideMark/>
          </w:tcPr>
          <w:p w14:paraId="6243417C" w14:textId="2B4CFCC3"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sz w:val="16"/>
                <w:szCs w:val="16"/>
              </w:rPr>
              <w:t>118</w:t>
            </w:r>
          </w:p>
        </w:tc>
        <w:tc>
          <w:tcPr>
            <w:tcW w:w="555" w:type="pct"/>
            <w:tcBorders>
              <w:top w:val="nil"/>
              <w:left w:val="nil"/>
              <w:bottom w:val="nil"/>
              <w:right w:val="nil"/>
            </w:tcBorders>
            <w:tcMar>
              <w:top w:w="0" w:type="dxa"/>
              <w:left w:w="0" w:type="dxa"/>
              <w:bottom w:w="0" w:type="dxa"/>
              <w:right w:w="0" w:type="dxa"/>
            </w:tcMar>
            <w:vAlign w:val="center"/>
            <w:hideMark/>
          </w:tcPr>
          <w:p w14:paraId="49340D4F" w14:textId="120C45B6"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sz w:val="16"/>
                <w:szCs w:val="16"/>
              </w:rPr>
              <w:t>146</w:t>
            </w:r>
          </w:p>
        </w:tc>
        <w:tc>
          <w:tcPr>
            <w:tcW w:w="555" w:type="pct"/>
            <w:tcBorders>
              <w:top w:val="nil"/>
              <w:left w:val="nil"/>
              <w:bottom w:val="nil"/>
              <w:right w:val="nil"/>
            </w:tcBorders>
            <w:tcMar>
              <w:top w:w="0" w:type="dxa"/>
              <w:left w:w="0" w:type="dxa"/>
              <w:bottom w:w="0" w:type="dxa"/>
              <w:right w:w="0" w:type="dxa"/>
            </w:tcMar>
            <w:vAlign w:val="center"/>
            <w:hideMark/>
          </w:tcPr>
          <w:p w14:paraId="6CEF72AD" w14:textId="212BCD1D"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sz w:val="16"/>
                <w:szCs w:val="16"/>
              </w:rPr>
              <w:t>62</w:t>
            </w:r>
          </w:p>
        </w:tc>
        <w:tc>
          <w:tcPr>
            <w:tcW w:w="555" w:type="pct"/>
            <w:tcBorders>
              <w:top w:val="nil"/>
              <w:left w:val="nil"/>
              <w:bottom w:val="nil"/>
              <w:right w:val="nil"/>
            </w:tcBorders>
            <w:tcMar>
              <w:top w:w="0" w:type="dxa"/>
              <w:left w:w="0" w:type="dxa"/>
              <w:bottom w:w="0" w:type="dxa"/>
              <w:right w:w="0" w:type="dxa"/>
            </w:tcMar>
            <w:vAlign w:val="center"/>
            <w:hideMark/>
          </w:tcPr>
          <w:p w14:paraId="390F5507" w14:textId="4C8A1859"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sz w:val="16"/>
                <w:szCs w:val="16"/>
              </w:rPr>
              <w:t>352</w:t>
            </w:r>
          </w:p>
        </w:tc>
      </w:tr>
      <w:tr w:rsidR="006F1842" w:rsidRPr="00617599" w14:paraId="06DC3F10" w14:textId="77777777" w:rsidTr="00744BEE">
        <w:trPr>
          <w:trHeight w:val="227"/>
          <w:tblCellSpacing w:w="0" w:type="dxa"/>
        </w:trPr>
        <w:tc>
          <w:tcPr>
            <w:tcW w:w="2225" w:type="pct"/>
            <w:tcBorders>
              <w:top w:val="nil"/>
              <w:left w:val="nil"/>
              <w:bottom w:val="nil"/>
              <w:right w:val="nil"/>
            </w:tcBorders>
            <w:tcMar>
              <w:top w:w="0" w:type="dxa"/>
              <w:left w:w="0" w:type="dxa"/>
              <w:bottom w:w="0" w:type="dxa"/>
              <w:right w:w="0" w:type="dxa"/>
            </w:tcMar>
            <w:vAlign w:val="center"/>
            <w:hideMark/>
          </w:tcPr>
          <w:p w14:paraId="086A5409" w14:textId="77777777" w:rsidR="006F1842" w:rsidRPr="00E17E67" w:rsidRDefault="006F1842" w:rsidP="006F1842">
            <w:pPr>
              <w:spacing w:after="0" w:line="276" w:lineRule="auto"/>
              <w:rPr>
                <w:rFonts w:ascii="Arial" w:eastAsia="Times New Roman" w:hAnsi="Arial" w:cs="Arial"/>
                <w:sz w:val="16"/>
                <w:szCs w:val="16"/>
                <w:lang w:eastAsia="en-AU"/>
              </w:rPr>
            </w:pPr>
            <w:r w:rsidRPr="00E17E67">
              <w:rPr>
                <w:rFonts w:ascii="Arial" w:eastAsia="Times New Roman" w:hAnsi="Arial" w:cs="Arial"/>
                <w:sz w:val="16"/>
                <w:szCs w:val="16"/>
                <w:lang w:eastAsia="en-AU"/>
              </w:rPr>
              <w:t xml:space="preserve">Clinical pregnancies </w:t>
            </w:r>
          </w:p>
        </w:tc>
        <w:tc>
          <w:tcPr>
            <w:tcW w:w="555" w:type="pct"/>
            <w:tcBorders>
              <w:top w:val="nil"/>
              <w:left w:val="nil"/>
              <w:bottom w:val="nil"/>
              <w:right w:val="nil"/>
            </w:tcBorders>
            <w:tcMar>
              <w:top w:w="0" w:type="dxa"/>
              <w:left w:w="0" w:type="dxa"/>
              <w:bottom w:w="0" w:type="dxa"/>
              <w:right w:w="0" w:type="dxa"/>
            </w:tcMar>
            <w:vAlign w:val="bottom"/>
            <w:hideMark/>
          </w:tcPr>
          <w:p w14:paraId="7226A160" w14:textId="129E9154"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10</w:t>
            </w:r>
          </w:p>
        </w:tc>
        <w:tc>
          <w:tcPr>
            <w:tcW w:w="555" w:type="pct"/>
            <w:tcBorders>
              <w:top w:val="nil"/>
              <w:left w:val="nil"/>
              <w:bottom w:val="nil"/>
              <w:right w:val="nil"/>
            </w:tcBorders>
            <w:tcMar>
              <w:top w:w="0" w:type="dxa"/>
              <w:left w:w="0" w:type="dxa"/>
              <w:bottom w:w="0" w:type="dxa"/>
              <w:right w:w="0" w:type="dxa"/>
            </w:tcMar>
            <w:vAlign w:val="bottom"/>
            <w:hideMark/>
          </w:tcPr>
          <w:p w14:paraId="4F09E459" w14:textId="15A23EF8"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22</w:t>
            </w:r>
          </w:p>
        </w:tc>
        <w:tc>
          <w:tcPr>
            <w:tcW w:w="555" w:type="pct"/>
            <w:tcBorders>
              <w:top w:val="nil"/>
              <w:left w:val="nil"/>
              <w:bottom w:val="nil"/>
              <w:right w:val="nil"/>
            </w:tcBorders>
            <w:tcMar>
              <w:top w:w="0" w:type="dxa"/>
              <w:left w:w="0" w:type="dxa"/>
              <w:bottom w:w="0" w:type="dxa"/>
              <w:right w:w="0" w:type="dxa"/>
            </w:tcMar>
            <w:vAlign w:val="bottom"/>
            <w:hideMark/>
          </w:tcPr>
          <w:p w14:paraId="498A0991" w14:textId="6CA36244"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30</w:t>
            </w:r>
          </w:p>
        </w:tc>
        <w:tc>
          <w:tcPr>
            <w:tcW w:w="555" w:type="pct"/>
            <w:tcBorders>
              <w:top w:val="nil"/>
              <w:left w:val="nil"/>
              <w:bottom w:val="nil"/>
              <w:right w:val="nil"/>
            </w:tcBorders>
            <w:tcMar>
              <w:top w:w="0" w:type="dxa"/>
              <w:left w:w="0" w:type="dxa"/>
              <w:bottom w:w="0" w:type="dxa"/>
              <w:right w:w="0" w:type="dxa"/>
            </w:tcMar>
            <w:vAlign w:val="bottom"/>
            <w:hideMark/>
          </w:tcPr>
          <w:p w14:paraId="4F9DD458" w14:textId="68E8CB71"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6</w:t>
            </w:r>
          </w:p>
        </w:tc>
        <w:tc>
          <w:tcPr>
            <w:tcW w:w="555" w:type="pct"/>
            <w:tcBorders>
              <w:top w:val="nil"/>
              <w:left w:val="nil"/>
              <w:bottom w:val="nil"/>
              <w:right w:val="nil"/>
            </w:tcBorders>
            <w:tcMar>
              <w:top w:w="0" w:type="dxa"/>
              <w:left w:w="0" w:type="dxa"/>
              <w:bottom w:w="0" w:type="dxa"/>
              <w:right w:w="0" w:type="dxa"/>
            </w:tcMar>
            <w:vAlign w:val="bottom"/>
            <w:hideMark/>
          </w:tcPr>
          <w:p w14:paraId="74E8178C" w14:textId="1813E56B"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68</w:t>
            </w:r>
          </w:p>
        </w:tc>
      </w:tr>
      <w:tr w:rsidR="006F1842" w:rsidRPr="00617599" w14:paraId="7CC5CD52" w14:textId="77777777" w:rsidTr="00744BEE">
        <w:trPr>
          <w:trHeight w:val="227"/>
          <w:tblCellSpacing w:w="0" w:type="dxa"/>
        </w:trPr>
        <w:tc>
          <w:tcPr>
            <w:tcW w:w="2225" w:type="pct"/>
            <w:tcBorders>
              <w:top w:val="nil"/>
              <w:left w:val="nil"/>
              <w:bottom w:val="nil"/>
              <w:right w:val="nil"/>
            </w:tcBorders>
            <w:tcMar>
              <w:top w:w="0" w:type="dxa"/>
              <w:left w:w="0" w:type="dxa"/>
              <w:bottom w:w="0" w:type="dxa"/>
              <w:right w:w="0" w:type="dxa"/>
            </w:tcMar>
            <w:vAlign w:val="center"/>
            <w:hideMark/>
          </w:tcPr>
          <w:p w14:paraId="4A6BFD30" w14:textId="1F6FC919" w:rsidR="006F1842" w:rsidRPr="00E17E67" w:rsidRDefault="006F1842" w:rsidP="006F1842">
            <w:pPr>
              <w:spacing w:after="0" w:line="276" w:lineRule="auto"/>
              <w:rPr>
                <w:rFonts w:ascii="Arial" w:eastAsia="Times New Roman" w:hAnsi="Arial" w:cs="Arial"/>
                <w:sz w:val="16"/>
                <w:szCs w:val="16"/>
                <w:lang w:eastAsia="en-AU"/>
              </w:rPr>
            </w:pPr>
            <w:r w:rsidRPr="00E17E67">
              <w:rPr>
                <w:rFonts w:ascii="Arial" w:eastAsia="Times New Roman" w:hAnsi="Arial" w:cs="Arial"/>
                <w:sz w:val="16"/>
                <w:szCs w:val="16"/>
                <w:lang w:eastAsia="en-AU"/>
              </w:rPr>
              <w:t xml:space="preserve">Live </w:t>
            </w:r>
            <w:r>
              <w:rPr>
                <w:rFonts w:ascii="Arial" w:eastAsia="Times New Roman" w:hAnsi="Arial" w:cs="Arial"/>
                <w:sz w:val="16"/>
                <w:szCs w:val="16"/>
                <w:lang w:eastAsia="en-AU"/>
              </w:rPr>
              <w:t>births</w:t>
            </w:r>
            <w:r w:rsidRPr="00E17E67">
              <w:rPr>
                <w:rFonts w:ascii="Arial" w:eastAsia="Times New Roman" w:hAnsi="Arial" w:cs="Arial"/>
                <w:sz w:val="16"/>
                <w:szCs w:val="16"/>
                <w:lang w:eastAsia="en-AU"/>
              </w:rPr>
              <w:t xml:space="preserve"> </w:t>
            </w:r>
          </w:p>
        </w:tc>
        <w:tc>
          <w:tcPr>
            <w:tcW w:w="555" w:type="pct"/>
            <w:tcBorders>
              <w:top w:val="nil"/>
              <w:left w:val="nil"/>
              <w:bottom w:val="nil"/>
              <w:right w:val="nil"/>
            </w:tcBorders>
            <w:tcMar>
              <w:top w:w="0" w:type="dxa"/>
              <w:left w:w="0" w:type="dxa"/>
              <w:bottom w:w="0" w:type="dxa"/>
              <w:right w:w="0" w:type="dxa"/>
            </w:tcMar>
            <w:vAlign w:val="bottom"/>
            <w:hideMark/>
          </w:tcPr>
          <w:p w14:paraId="2BDCF301" w14:textId="2BAF1AAB"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8</w:t>
            </w:r>
          </w:p>
        </w:tc>
        <w:tc>
          <w:tcPr>
            <w:tcW w:w="555" w:type="pct"/>
            <w:tcBorders>
              <w:top w:val="nil"/>
              <w:left w:val="nil"/>
              <w:bottom w:val="nil"/>
              <w:right w:val="nil"/>
            </w:tcBorders>
            <w:tcMar>
              <w:top w:w="0" w:type="dxa"/>
              <w:left w:w="0" w:type="dxa"/>
              <w:bottom w:w="0" w:type="dxa"/>
              <w:right w:w="0" w:type="dxa"/>
            </w:tcMar>
            <w:vAlign w:val="bottom"/>
            <w:hideMark/>
          </w:tcPr>
          <w:p w14:paraId="56633BAA" w14:textId="2539C047"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19</w:t>
            </w:r>
          </w:p>
        </w:tc>
        <w:tc>
          <w:tcPr>
            <w:tcW w:w="555" w:type="pct"/>
            <w:tcBorders>
              <w:top w:val="nil"/>
              <w:left w:val="nil"/>
              <w:bottom w:val="nil"/>
              <w:right w:val="nil"/>
            </w:tcBorders>
            <w:tcMar>
              <w:top w:w="0" w:type="dxa"/>
              <w:left w:w="0" w:type="dxa"/>
              <w:bottom w:w="0" w:type="dxa"/>
              <w:right w:w="0" w:type="dxa"/>
            </w:tcMar>
            <w:vAlign w:val="bottom"/>
            <w:hideMark/>
          </w:tcPr>
          <w:p w14:paraId="37F4BB7B" w14:textId="075CBAB0"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24</w:t>
            </w:r>
          </w:p>
        </w:tc>
        <w:tc>
          <w:tcPr>
            <w:tcW w:w="555" w:type="pct"/>
            <w:tcBorders>
              <w:top w:val="nil"/>
              <w:left w:val="nil"/>
              <w:bottom w:val="nil"/>
              <w:right w:val="nil"/>
            </w:tcBorders>
            <w:tcMar>
              <w:top w:w="0" w:type="dxa"/>
              <w:left w:w="0" w:type="dxa"/>
              <w:bottom w:w="0" w:type="dxa"/>
              <w:right w:w="0" w:type="dxa"/>
            </w:tcMar>
            <w:vAlign w:val="bottom"/>
            <w:hideMark/>
          </w:tcPr>
          <w:p w14:paraId="42C9258A" w14:textId="4AF28624"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6</w:t>
            </w:r>
          </w:p>
        </w:tc>
        <w:tc>
          <w:tcPr>
            <w:tcW w:w="555" w:type="pct"/>
            <w:tcBorders>
              <w:top w:val="nil"/>
              <w:left w:val="nil"/>
              <w:bottom w:val="nil"/>
              <w:right w:val="nil"/>
            </w:tcBorders>
            <w:tcMar>
              <w:top w:w="0" w:type="dxa"/>
              <w:left w:w="0" w:type="dxa"/>
              <w:bottom w:w="0" w:type="dxa"/>
              <w:right w:w="0" w:type="dxa"/>
            </w:tcMar>
            <w:vAlign w:val="bottom"/>
            <w:hideMark/>
          </w:tcPr>
          <w:p w14:paraId="39B20064" w14:textId="068E7757" w:rsidR="006F1842" w:rsidRPr="00D6537B" w:rsidRDefault="006F1842" w:rsidP="006F1842">
            <w:pPr>
              <w:spacing w:after="0" w:line="276" w:lineRule="auto"/>
              <w:jc w:val="right"/>
              <w:rPr>
                <w:rFonts w:ascii="Arial" w:eastAsia="Times New Roman" w:hAnsi="Arial" w:cs="Arial"/>
                <w:sz w:val="16"/>
                <w:szCs w:val="16"/>
                <w:lang w:eastAsia="en-AU"/>
              </w:rPr>
            </w:pPr>
            <w:r>
              <w:rPr>
                <w:rFonts w:ascii="Arial" w:hAnsi="Arial" w:cs="Arial"/>
                <w:sz w:val="16"/>
                <w:szCs w:val="16"/>
              </w:rPr>
              <w:t>57</w:t>
            </w:r>
          </w:p>
        </w:tc>
      </w:tr>
      <w:tr w:rsidR="006F1842" w:rsidRPr="00617599" w14:paraId="02884F03" w14:textId="77777777" w:rsidTr="00744BEE">
        <w:trPr>
          <w:trHeight w:val="227"/>
          <w:tblCellSpacing w:w="0" w:type="dxa"/>
        </w:trPr>
        <w:tc>
          <w:tcPr>
            <w:tcW w:w="2225" w:type="pct"/>
            <w:tcBorders>
              <w:top w:val="nil"/>
              <w:left w:val="nil"/>
              <w:bottom w:val="nil"/>
              <w:right w:val="nil"/>
            </w:tcBorders>
            <w:tcMar>
              <w:top w:w="0" w:type="dxa"/>
              <w:left w:w="0" w:type="dxa"/>
              <w:bottom w:w="0" w:type="dxa"/>
              <w:right w:w="0" w:type="dxa"/>
            </w:tcMar>
            <w:vAlign w:val="center"/>
            <w:hideMark/>
          </w:tcPr>
          <w:p w14:paraId="4B62D08E" w14:textId="77777777" w:rsidR="006F1842" w:rsidRPr="00E17E67" w:rsidRDefault="006F1842" w:rsidP="006F1842">
            <w:pPr>
              <w:spacing w:after="0" w:line="276" w:lineRule="auto"/>
              <w:rPr>
                <w:rFonts w:ascii="Arial" w:eastAsia="Times New Roman" w:hAnsi="Arial" w:cs="Arial"/>
                <w:i/>
                <w:sz w:val="16"/>
                <w:szCs w:val="16"/>
                <w:lang w:eastAsia="en-AU"/>
              </w:rPr>
            </w:pPr>
            <w:r w:rsidRPr="00E17E67">
              <w:rPr>
                <w:rFonts w:ascii="Arial" w:eastAsia="Times New Roman" w:hAnsi="Arial" w:cs="Arial"/>
                <w:i/>
                <w:sz w:val="16"/>
                <w:szCs w:val="16"/>
                <w:lang w:eastAsia="en-AU"/>
              </w:rPr>
              <w:t xml:space="preserve">Clinical pregnancies per DI cycle (%) </w:t>
            </w:r>
          </w:p>
        </w:tc>
        <w:tc>
          <w:tcPr>
            <w:tcW w:w="555" w:type="pct"/>
            <w:tcBorders>
              <w:top w:val="nil"/>
              <w:left w:val="nil"/>
              <w:bottom w:val="nil"/>
              <w:right w:val="nil"/>
            </w:tcBorders>
            <w:tcMar>
              <w:top w:w="0" w:type="dxa"/>
              <w:left w:w="0" w:type="dxa"/>
              <w:bottom w:w="0" w:type="dxa"/>
              <w:right w:w="0" w:type="dxa"/>
            </w:tcMar>
            <w:vAlign w:val="bottom"/>
            <w:hideMark/>
          </w:tcPr>
          <w:p w14:paraId="28E7A48A" w14:textId="5FE3A9AE" w:rsidR="006F1842" w:rsidRPr="00D6537B" w:rsidRDefault="006F1842" w:rsidP="006F1842">
            <w:pPr>
              <w:spacing w:after="0" w:line="276" w:lineRule="auto"/>
              <w:jc w:val="right"/>
              <w:rPr>
                <w:rFonts w:ascii="Arial" w:eastAsia="Times New Roman" w:hAnsi="Arial" w:cs="Arial"/>
                <w:i/>
                <w:sz w:val="16"/>
                <w:szCs w:val="16"/>
                <w:lang w:eastAsia="en-AU"/>
              </w:rPr>
            </w:pPr>
            <w:r>
              <w:rPr>
                <w:rFonts w:ascii="Arial" w:hAnsi="Arial" w:cs="Arial"/>
                <w:i/>
                <w:iCs/>
                <w:sz w:val="16"/>
                <w:szCs w:val="16"/>
              </w:rPr>
              <w:t>38.5</w:t>
            </w:r>
          </w:p>
        </w:tc>
        <w:tc>
          <w:tcPr>
            <w:tcW w:w="555" w:type="pct"/>
            <w:tcBorders>
              <w:top w:val="nil"/>
              <w:left w:val="nil"/>
              <w:bottom w:val="nil"/>
              <w:right w:val="nil"/>
            </w:tcBorders>
            <w:tcMar>
              <w:top w:w="0" w:type="dxa"/>
              <w:left w:w="0" w:type="dxa"/>
              <w:bottom w:w="0" w:type="dxa"/>
              <w:right w:w="0" w:type="dxa"/>
            </w:tcMar>
            <w:vAlign w:val="bottom"/>
            <w:hideMark/>
          </w:tcPr>
          <w:p w14:paraId="59A00A83" w14:textId="391592A6" w:rsidR="006F1842" w:rsidRPr="00D6537B" w:rsidRDefault="006F1842" w:rsidP="006F1842">
            <w:pPr>
              <w:spacing w:after="0" w:line="276" w:lineRule="auto"/>
              <w:jc w:val="right"/>
              <w:rPr>
                <w:rFonts w:ascii="Arial" w:eastAsia="Times New Roman" w:hAnsi="Arial" w:cs="Arial"/>
                <w:i/>
                <w:sz w:val="16"/>
                <w:szCs w:val="16"/>
                <w:lang w:eastAsia="en-AU"/>
              </w:rPr>
            </w:pPr>
            <w:r>
              <w:rPr>
                <w:rFonts w:ascii="Arial" w:hAnsi="Arial" w:cs="Arial"/>
                <w:i/>
                <w:iCs/>
                <w:sz w:val="16"/>
                <w:szCs w:val="16"/>
              </w:rPr>
              <w:t>18.6</w:t>
            </w:r>
          </w:p>
        </w:tc>
        <w:tc>
          <w:tcPr>
            <w:tcW w:w="555" w:type="pct"/>
            <w:tcBorders>
              <w:top w:val="nil"/>
              <w:left w:val="nil"/>
              <w:bottom w:val="nil"/>
              <w:right w:val="nil"/>
            </w:tcBorders>
            <w:tcMar>
              <w:top w:w="0" w:type="dxa"/>
              <w:left w:w="0" w:type="dxa"/>
              <w:bottom w:w="0" w:type="dxa"/>
              <w:right w:w="0" w:type="dxa"/>
            </w:tcMar>
            <w:vAlign w:val="bottom"/>
            <w:hideMark/>
          </w:tcPr>
          <w:p w14:paraId="6BC02F42" w14:textId="3A6DBB88" w:rsidR="006F1842" w:rsidRPr="00D6537B" w:rsidRDefault="006F1842" w:rsidP="006F1842">
            <w:pPr>
              <w:spacing w:after="0" w:line="276" w:lineRule="auto"/>
              <w:jc w:val="right"/>
              <w:rPr>
                <w:rFonts w:ascii="Arial" w:eastAsia="Times New Roman" w:hAnsi="Arial" w:cs="Arial"/>
                <w:i/>
                <w:sz w:val="16"/>
                <w:szCs w:val="16"/>
                <w:lang w:eastAsia="en-AU"/>
              </w:rPr>
            </w:pPr>
            <w:r>
              <w:rPr>
                <w:rFonts w:ascii="Arial" w:hAnsi="Arial" w:cs="Arial"/>
                <w:i/>
                <w:iCs/>
                <w:sz w:val="16"/>
                <w:szCs w:val="16"/>
              </w:rPr>
              <w:t>20.5</w:t>
            </w:r>
          </w:p>
        </w:tc>
        <w:tc>
          <w:tcPr>
            <w:tcW w:w="555" w:type="pct"/>
            <w:tcBorders>
              <w:top w:val="nil"/>
              <w:left w:val="nil"/>
              <w:bottom w:val="nil"/>
              <w:right w:val="nil"/>
            </w:tcBorders>
            <w:tcMar>
              <w:top w:w="0" w:type="dxa"/>
              <w:left w:w="0" w:type="dxa"/>
              <w:bottom w:w="0" w:type="dxa"/>
              <w:right w:w="0" w:type="dxa"/>
            </w:tcMar>
            <w:vAlign w:val="bottom"/>
            <w:hideMark/>
          </w:tcPr>
          <w:p w14:paraId="46E1F7DA" w14:textId="4E6935D1" w:rsidR="006F1842" w:rsidRPr="00D6537B" w:rsidRDefault="006F1842" w:rsidP="006F1842">
            <w:pPr>
              <w:spacing w:after="0" w:line="276" w:lineRule="auto"/>
              <w:jc w:val="right"/>
              <w:rPr>
                <w:rFonts w:ascii="Arial" w:eastAsia="Times New Roman" w:hAnsi="Arial" w:cs="Arial"/>
                <w:i/>
                <w:sz w:val="16"/>
                <w:szCs w:val="16"/>
                <w:lang w:eastAsia="en-AU"/>
              </w:rPr>
            </w:pPr>
            <w:r>
              <w:rPr>
                <w:rFonts w:ascii="Arial" w:hAnsi="Arial" w:cs="Arial"/>
                <w:i/>
                <w:iCs/>
                <w:sz w:val="16"/>
                <w:szCs w:val="16"/>
              </w:rPr>
              <w:t>9.7</w:t>
            </w:r>
          </w:p>
        </w:tc>
        <w:tc>
          <w:tcPr>
            <w:tcW w:w="555" w:type="pct"/>
            <w:tcBorders>
              <w:top w:val="nil"/>
              <w:left w:val="nil"/>
              <w:bottom w:val="nil"/>
              <w:right w:val="nil"/>
            </w:tcBorders>
            <w:tcMar>
              <w:top w:w="0" w:type="dxa"/>
              <w:left w:w="0" w:type="dxa"/>
              <w:bottom w:w="0" w:type="dxa"/>
              <w:right w:w="0" w:type="dxa"/>
            </w:tcMar>
            <w:vAlign w:val="bottom"/>
            <w:hideMark/>
          </w:tcPr>
          <w:p w14:paraId="65EE5038" w14:textId="4ED7FDF2" w:rsidR="006F1842" w:rsidRPr="00D6537B" w:rsidRDefault="006F1842" w:rsidP="006F1842">
            <w:pPr>
              <w:spacing w:after="0" w:line="276" w:lineRule="auto"/>
              <w:jc w:val="right"/>
              <w:rPr>
                <w:rFonts w:ascii="Arial" w:eastAsia="Times New Roman" w:hAnsi="Arial" w:cs="Arial"/>
                <w:i/>
                <w:sz w:val="16"/>
                <w:szCs w:val="16"/>
                <w:lang w:eastAsia="en-AU"/>
              </w:rPr>
            </w:pPr>
            <w:r>
              <w:rPr>
                <w:rFonts w:ascii="Arial" w:hAnsi="Arial" w:cs="Arial"/>
                <w:i/>
                <w:iCs/>
                <w:sz w:val="16"/>
                <w:szCs w:val="16"/>
              </w:rPr>
              <w:t>19.3</w:t>
            </w:r>
          </w:p>
        </w:tc>
      </w:tr>
      <w:tr w:rsidR="006F1842" w:rsidRPr="00617599" w14:paraId="70E66D1A" w14:textId="77777777" w:rsidTr="00360E75">
        <w:trPr>
          <w:trHeight w:val="227"/>
          <w:tblCellSpacing w:w="0" w:type="dxa"/>
        </w:trPr>
        <w:tc>
          <w:tcPr>
            <w:tcW w:w="2225" w:type="pct"/>
            <w:tcBorders>
              <w:top w:val="nil"/>
              <w:left w:val="nil"/>
              <w:bottom w:val="nil"/>
              <w:right w:val="nil"/>
            </w:tcBorders>
            <w:tcMar>
              <w:top w:w="0" w:type="dxa"/>
              <w:left w:w="0" w:type="dxa"/>
              <w:bottom w:w="0" w:type="dxa"/>
              <w:right w:w="0" w:type="dxa"/>
            </w:tcMar>
            <w:vAlign w:val="center"/>
            <w:hideMark/>
          </w:tcPr>
          <w:p w14:paraId="424BD153" w14:textId="113997B5" w:rsidR="006F1842" w:rsidRPr="00E17E67" w:rsidRDefault="006F1842" w:rsidP="006F1842">
            <w:pPr>
              <w:spacing w:after="0" w:line="276" w:lineRule="auto"/>
              <w:rPr>
                <w:rFonts w:ascii="Arial" w:eastAsia="Times New Roman" w:hAnsi="Arial" w:cs="Arial"/>
                <w:i/>
                <w:sz w:val="16"/>
                <w:szCs w:val="16"/>
                <w:lang w:eastAsia="en-AU"/>
              </w:rPr>
            </w:pPr>
            <w:r w:rsidRPr="00E17E67">
              <w:rPr>
                <w:rFonts w:ascii="Arial" w:eastAsia="Times New Roman" w:hAnsi="Arial" w:cs="Arial"/>
                <w:i/>
                <w:sz w:val="16"/>
                <w:szCs w:val="16"/>
                <w:lang w:eastAsia="en-AU"/>
              </w:rPr>
              <w:t xml:space="preserve">Live </w:t>
            </w:r>
            <w:r>
              <w:rPr>
                <w:rFonts w:ascii="Arial" w:eastAsia="Times New Roman" w:hAnsi="Arial" w:cs="Arial"/>
                <w:i/>
                <w:sz w:val="16"/>
                <w:szCs w:val="16"/>
                <w:lang w:eastAsia="en-AU"/>
              </w:rPr>
              <w:t>births</w:t>
            </w:r>
            <w:r w:rsidRPr="00E17E67">
              <w:rPr>
                <w:rFonts w:ascii="Arial" w:eastAsia="Times New Roman" w:hAnsi="Arial" w:cs="Arial"/>
                <w:i/>
                <w:sz w:val="16"/>
                <w:szCs w:val="16"/>
                <w:lang w:eastAsia="en-AU"/>
              </w:rPr>
              <w:t xml:space="preserve"> per DI cycle (%) </w:t>
            </w:r>
          </w:p>
        </w:tc>
        <w:tc>
          <w:tcPr>
            <w:tcW w:w="555" w:type="pct"/>
            <w:tcBorders>
              <w:top w:val="nil"/>
              <w:left w:val="nil"/>
              <w:bottom w:val="nil"/>
              <w:right w:val="nil"/>
            </w:tcBorders>
            <w:tcMar>
              <w:top w:w="0" w:type="dxa"/>
              <w:left w:w="0" w:type="dxa"/>
              <w:bottom w:w="0" w:type="dxa"/>
              <w:right w:w="0" w:type="dxa"/>
            </w:tcMar>
            <w:vAlign w:val="center"/>
            <w:hideMark/>
          </w:tcPr>
          <w:p w14:paraId="71AA2F93" w14:textId="67A520A9" w:rsidR="006F1842" w:rsidRPr="00D6537B" w:rsidRDefault="006F1842" w:rsidP="006F1842">
            <w:pPr>
              <w:spacing w:after="0" w:line="276" w:lineRule="auto"/>
              <w:jc w:val="right"/>
              <w:rPr>
                <w:rFonts w:ascii="Arial" w:eastAsia="Times New Roman" w:hAnsi="Arial" w:cs="Arial"/>
                <w:i/>
                <w:sz w:val="16"/>
                <w:szCs w:val="16"/>
                <w:lang w:eastAsia="en-AU"/>
              </w:rPr>
            </w:pPr>
            <w:r>
              <w:rPr>
                <w:rFonts w:ascii="Arial" w:hAnsi="Arial" w:cs="Arial"/>
                <w:i/>
                <w:iCs/>
                <w:sz w:val="16"/>
                <w:szCs w:val="16"/>
              </w:rPr>
              <w:t>30.8</w:t>
            </w:r>
          </w:p>
        </w:tc>
        <w:tc>
          <w:tcPr>
            <w:tcW w:w="555" w:type="pct"/>
            <w:tcBorders>
              <w:top w:val="nil"/>
              <w:left w:val="nil"/>
              <w:bottom w:val="nil"/>
              <w:right w:val="nil"/>
            </w:tcBorders>
            <w:tcMar>
              <w:top w:w="0" w:type="dxa"/>
              <w:left w:w="0" w:type="dxa"/>
              <w:bottom w:w="0" w:type="dxa"/>
              <w:right w:w="0" w:type="dxa"/>
            </w:tcMar>
            <w:vAlign w:val="center"/>
            <w:hideMark/>
          </w:tcPr>
          <w:p w14:paraId="28F003C1" w14:textId="503816CF" w:rsidR="006F1842" w:rsidRPr="00D6537B" w:rsidRDefault="006F1842" w:rsidP="006F1842">
            <w:pPr>
              <w:spacing w:after="0" w:line="276" w:lineRule="auto"/>
              <w:jc w:val="right"/>
              <w:rPr>
                <w:rFonts w:ascii="Arial" w:eastAsia="Times New Roman" w:hAnsi="Arial" w:cs="Arial"/>
                <w:i/>
                <w:sz w:val="16"/>
                <w:szCs w:val="16"/>
                <w:lang w:eastAsia="en-AU"/>
              </w:rPr>
            </w:pPr>
            <w:r>
              <w:rPr>
                <w:rFonts w:ascii="Arial" w:hAnsi="Arial" w:cs="Arial"/>
                <w:i/>
                <w:iCs/>
                <w:sz w:val="16"/>
                <w:szCs w:val="16"/>
              </w:rPr>
              <w:t>16.1</w:t>
            </w:r>
          </w:p>
        </w:tc>
        <w:tc>
          <w:tcPr>
            <w:tcW w:w="555" w:type="pct"/>
            <w:tcBorders>
              <w:top w:val="nil"/>
              <w:left w:val="nil"/>
              <w:bottom w:val="nil"/>
              <w:right w:val="nil"/>
            </w:tcBorders>
            <w:tcMar>
              <w:top w:w="0" w:type="dxa"/>
              <w:left w:w="0" w:type="dxa"/>
              <w:bottom w:w="0" w:type="dxa"/>
              <w:right w:w="0" w:type="dxa"/>
            </w:tcMar>
            <w:vAlign w:val="center"/>
            <w:hideMark/>
          </w:tcPr>
          <w:p w14:paraId="1ACCC594" w14:textId="49DE6BA2" w:rsidR="006F1842" w:rsidRPr="00D6537B" w:rsidRDefault="006F1842" w:rsidP="006F1842">
            <w:pPr>
              <w:spacing w:after="0" w:line="276" w:lineRule="auto"/>
              <w:jc w:val="right"/>
              <w:rPr>
                <w:rFonts w:ascii="Arial" w:eastAsia="Times New Roman" w:hAnsi="Arial" w:cs="Arial"/>
                <w:i/>
                <w:sz w:val="16"/>
                <w:szCs w:val="16"/>
                <w:lang w:eastAsia="en-AU"/>
              </w:rPr>
            </w:pPr>
            <w:r>
              <w:rPr>
                <w:rFonts w:ascii="Arial" w:hAnsi="Arial" w:cs="Arial"/>
                <w:i/>
                <w:iCs/>
                <w:sz w:val="16"/>
                <w:szCs w:val="16"/>
              </w:rPr>
              <w:t>16.4</w:t>
            </w:r>
          </w:p>
        </w:tc>
        <w:tc>
          <w:tcPr>
            <w:tcW w:w="555" w:type="pct"/>
            <w:tcBorders>
              <w:top w:val="nil"/>
              <w:left w:val="nil"/>
              <w:bottom w:val="nil"/>
              <w:right w:val="nil"/>
            </w:tcBorders>
            <w:tcMar>
              <w:top w:w="0" w:type="dxa"/>
              <w:left w:w="0" w:type="dxa"/>
              <w:bottom w:w="0" w:type="dxa"/>
              <w:right w:w="0" w:type="dxa"/>
            </w:tcMar>
            <w:vAlign w:val="center"/>
            <w:hideMark/>
          </w:tcPr>
          <w:p w14:paraId="3CC476AA" w14:textId="063861A1" w:rsidR="006F1842" w:rsidRPr="00D6537B" w:rsidRDefault="006F1842" w:rsidP="006F1842">
            <w:pPr>
              <w:spacing w:after="0" w:line="276" w:lineRule="auto"/>
              <w:jc w:val="right"/>
              <w:rPr>
                <w:rFonts w:ascii="Arial" w:eastAsia="Times New Roman" w:hAnsi="Arial" w:cs="Arial"/>
                <w:i/>
                <w:sz w:val="16"/>
                <w:szCs w:val="16"/>
                <w:lang w:eastAsia="en-AU"/>
              </w:rPr>
            </w:pPr>
            <w:r>
              <w:rPr>
                <w:rFonts w:ascii="Arial" w:hAnsi="Arial" w:cs="Arial"/>
                <w:i/>
                <w:iCs/>
                <w:sz w:val="16"/>
                <w:szCs w:val="16"/>
              </w:rPr>
              <w:t>9.7</w:t>
            </w:r>
          </w:p>
        </w:tc>
        <w:tc>
          <w:tcPr>
            <w:tcW w:w="555" w:type="pct"/>
            <w:tcBorders>
              <w:top w:val="nil"/>
              <w:left w:val="nil"/>
              <w:bottom w:val="nil"/>
              <w:right w:val="nil"/>
            </w:tcBorders>
            <w:tcMar>
              <w:top w:w="0" w:type="dxa"/>
              <w:left w:w="0" w:type="dxa"/>
              <w:bottom w:w="0" w:type="dxa"/>
              <w:right w:w="0" w:type="dxa"/>
            </w:tcMar>
            <w:vAlign w:val="center"/>
            <w:hideMark/>
          </w:tcPr>
          <w:p w14:paraId="58091E90" w14:textId="4F69A98A" w:rsidR="006F1842" w:rsidRPr="00D6537B" w:rsidRDefault="006F1842" w:rsidP="006F1842">
            <w:pPr>
              <w:spacing w:after="0" w:line="276" w:lineRule="auto"/>
              <w:jc w:val="right"/>
              <w:rPr>
                <w:rFonts w:ascii="Arial" w:eastAsia="Times New Roman" w:hAnsi="Arial" w:cs="Arial"/>
                <w:i/>
                <w:sz w:val="16"/>
                <w:szCs w:val="16"/>
                <w:lang w:eastAsia="en-AU"/>
              </w:rPr>
            </w:pPr>
            <w:r>
              <w:rPr>
                <w:rFonts w:ascii="Arial" w:hAnsi="Arial" w:cs="Arial"/>
                <w:i/>
                <w:iCs/>
                <w:sz w:val="16"/>
                <w:szCs w:val="16"/>
              </w:rPr>
              <w:t>16.2</w:t>
            </w:r>
          </w:p>
        </w:tc>
      </w:tr>
      <w:tr w:rsidR="006F1842" w:rsidRPr="00617599" w14:paraId="5D5DB9CB" w14:textId="77777777" w:rsidTr="00744BEE">
        <w:trPr>
          <w:trHeight w:val="227"/>
          <w:tblCellSpacing w:w="0" w:type="dxa"/>
        </w:trPr>
        <w:tc>
          <w:tcPr>
            <w:tcW w:w="2225" w:type="pct"/>
            <w:tcBorders>
              <w:top w:val="nil"/>
              <w:left w:val="nil"/>
              <w:bottom w:val="single" w:sz="12" w:space="0" w:color="000000"/>
              <w:right w:val="nil"/>
            </w:tcBorders>
            <w:tcMar>
              <w:top w:w="0" w:type="dxa"/>
              <w:left w:w="0" w:type="dxa"/>
              <w:bottom w:w="28" w:type="dxa"/>
              <w:right w:w="0" w:type="dxa"/>
            </w:tcMar>
            <w:vAlign w:val="center"/>
            <w:hideMark/>
          </w:tcPr>
          <w:p w14:paraId="52F462C6" w14:textId="157AE025" w:rsidR="006F1842" w:rsidRPr="00E17E67" w:rsidRDefault="006F1842" w:rsidP="006F1842">
            <w:pPr>
              <w:spacing w:after="0" w:line="276" w:lineRule="auto"/>
              <w:rPr>
                <w:rFonts w:ascii="Arial" w:eastAsia="Times New Roman" w:hAnsi="Arial" w:cs="Arial"/>
                <w:i/>
                <w:sz w:val="16"/>
                <w:szCs w:val="16"/>
                <w:lang w:eastAsia="en-AU"/>
              </w:rPr>
            </w:pPr>
            <w:r w:rsidRPr="00E17E67">
              <w:rPr>
                <w:rFonts w:ascii="Arial" w:eastAsia="Times New Roman" w:hAnsi="Arial" w:cs="Arial"/>
                <w:i/>
                <w:sz w:val="16"/>
                <w:szCs w:val="16"/>
                <w:lang w:eastAsia="en-AU"/>
              </w:rPr>
              <w:t xml:space="preserve">Live </w:t>
            </w:r>
            <w:r>
              <w:rPr>
                <w:rFonts w:ascii="Arial" w:eastAsia="Times New Roman" w:hAnsi="Arial" w:cs="Arial"/>
                <w:i/>
                <w:sz w:val="16"/>
                <w:szCs w:val="16"/>
                <w:lang w:eastAsia="en-AU"/>
              </w:rPr>
              <w:t>births</w:t>
            </w:r>
            <w:r w:rsidRPr="00E17E67">
              <w:rPr>
                <w:rFonts w:ascii="Arial" w:eastAsia="Times New Roman" w:hAnsi="Arial" w:cs="Arial"/>
                <w:i/>
                <w:sz w:val="16"/>
                <w:szCs w:val="16"/>
                <w:lang w:eastAsia="en-AU"/>
              </w:rPr>
              <w:t xml:space="preserve"> per clinical pregnancy (%) </w:t>
            </w:r>
          </w:p>
        </w:tc>
        <w:tc>
          <w:tcPr>
            <w:tcW w:w="555" w:type="pct"/>
            <w:tcBorders>
              <w:top w:val="nil"/>
              <w:left w:val="nil"/>
              <w:bottom w:val="single" w:sz="12" w:space="0" w:color="000000"/>
              <w:right w:val="nil"/>
            </w:tcBorders>
            <w:tcMar>
              <w:top w:w="0" w:type="dxa"/>
              <w:left w:w="0" w:type="dxa"/>
              <w:bottom w:w="28" w:type="dxa"/>
              <w:right w:w="0" w:type="dxa"/>
            </w:tcMar>
            <w:vAlign w:val="bottom"/>
            <w:hideMark/>
          </w:tcPr>
          <w:p w14:paraId="047E282A" w14:textId="659781EF" w:rsidR="006F1842" w:rsidRPr="00D6537B" w:rsidRDefault="006F1842" w:rsidP="006F1842">
            <w:pPr>
              <w:spacing w:after="0" w:line="276" w:lineRule="auto"/>
              <w:jc w:val="right"/>
              <w:rPr>
                <w:rFonts w:ascii="Arial" w:eastAsia="Times New Roman" w:hAnsi="Arial" w:cs="Arial"/>
                <w:i/>
                <w:sz w:val="16"/>
                <w:szCs w:val="16"/>
                <w:lang w:eastAsia="en-AU"/>
              </w:rPr>
            </w:pPr>
            <w:r>
              <w:rPr>
                <w:rFonts w:ascii="Arial" w:hAnsi="Arial" w:cs="Arial"/>
                <w:i/>
                <w:iCs/>
                <w:sz w:val="16"/>
                <w:szCs w:val="16"/>
              </w:rPr>
              <w:t>80.0</w:t>
            </w:r>
          </w:p>
        </w:tc>
        <w:tc>
          <w:tcPr>
            <w:tcW w:w="555" w:type="pct"/>
            <w:tcBorders>
              <w:top w:val="nil"/>
              <w:left w:val="nil"/>
              <w:bottom w:val="single" w:sz="12" w:space="0" w:color="000000"/>
              <w:right w:val="nil"/>
            </w:tcBorders>
            <w:tcMar>
              <w:top w:w="0" w:type="dxa"/>
              <w:left w:w="0" w:type="dxa"/>
              <w:bottom w:w="28" w:type="dxa"/>
              <w:right w:w="0" w:type="dxa"/>
            </w:tcMar>
            <w:vAlign w:val="bottom"/>
            <w:hideMark/>
          </w:tcPr>
          <w:p w14:paraId="76D78BC0" w14:textId="1588B0AB" w:rsidR="006F1842" w:rsidRPr="00D6537B" w:rsidRDefault="006F1842" w:rsidP="006F1842">
            <w:pPr>
              <w:spacing w:after="0" w:line="276" w:lineRule="auto"/>
              <w:jc w:val="right"/>
              <w:rPr>
                <w:rFonts w:ascii="Arial" w:eastAsia="Times New Roman" w:hAnsi="Arial" w:cs="Arial"/>
                <w:i/>
                <w:sz w:val="16"/>
                <w:szCs w:val="16"/>
                <w:lang w:eastAsia="en-AU"/>
              </w:rPr>
            </w:pPr>
            <w:r>
              <w:rPr>
                <w:rFonts w:ascii="Arial" w:hAnsi="Arial" w:cs="Arial"/>
                <w:i/>
                <w:iCs/>
                <w:sz w:val="16"/>
                <w:szCs w:val="16"/>
              </w:rPr>
              <w:t>86.4</w:t>
            </w:r>
          </w:p>
        </w:tc>
        <w:tc>
          <w:tcPr>
            <w:tcW w:w="555" w:type="pct"/>
            <w:tcBorders>
              <w:top w:val="nil"/>
              <w:left w:val="nil"/>
              <w:bottom w:val="single" w:sz="12" w:space="0" w:color="000000"/>
              <w:right w:val="nil"/>
            </w:tcBorders>
            <w:tcMar>
              <w:top w:w="0" w:type="dxa"/>
              <w:left w:w="0" w:type="dxa"/>
              <w:bottom w:w="28" w:type="dxa"/>
              <w:right w:w="0" w:type="dxa"/>
            </w:tcMar>
            <w:vAlign w:val="bottom"/>
            <w:hideMark/>
          </w:tcPr>
          <w:p w14:paraId="4619434E" w14:textId="4E363B7F" w:rsidR="006F1842" w:rsidRPr="00D6537B" w:rsidRDefault="006F1842" w:rsidP="006F1842">
            <w:pPr>
              <w:spacing w:after="0" w:line="276" w:lineRule="auto"/>
              <w:jc w:val="right"/>
              <w:rPr>
                <w:rFonts w:ascii="Arial" w:eastAsia="Times New Roman" w:hAnsi="Arial" w:cs="Arial"/>
                <w:i/>
                <w:sz w:val="16"/>
                <w:szCs w:val="16"/>
                <w:lang w:eastAsia="en-AU"/>
              </w:rPr>
            </w:pPr>
            <w:r>
              <w:rPr>
                <w:rFonts w:ascii="Arial" w:hAnsi="Arial" w:cs="Arial"/>
                <w:i/>
                <w:iCs/>
                <w:sz w:val="16"/>
                <w:szCs w:val="16"/>
              </w:rPr>
              <w:t>80.0</w:t>
            </w:r>
          </w:p>
        </w:tc>
        <w:tc>
          <w:tcPr>
            <w:tcW w:w="555" w:type="pct"/>
            <w:tcBorders>
              <w:top w:val="nil"/>
              <w:left w:val="nil"/>
              <w:bottom w:val="single" w:sz="12" w:space="0" w:color="000000"/>
              <w:right w:val="nil"/>
            </w:tcBorders>
            <w:tcMar>
              <w:top w:w="0" w:type="dxa"/>
              <w:left w:w="0" w:type="dxa"/>
              <w:bottom w:w="28" w:type="dxa"/>
              <w:right w:w="0" w:type="dxa"/>
            </w:tcMar>
            <w:vAlign w:val="bottom"/>
            <w:hideMark/>
          </w:tcPr>
          <w:p w14:paraId="5237D93B" w14:textId="27C93E93" w:rsidR="006F1842" w:rsidRPr="00952173" w:rsidRDefault="006F1842" w:rsidP="006F1842">
            <w:pPr>
              <w:spacing w:after="0" w:line="276" w:lineRule="auto"/>
              <w:jc w:val="right"/>
              <w:rPr>
                <w:rFonts w:ascii="Arial" w:eastAsia="Times New Roman" w:hAnsi="Arial" w:cs="Arial"/>
                <w:i/>
                <w:sz w:val="16"/>
                <w:szCs w:val="16"/>
                <w:highlight w:val="yellow"/>
                <w:lang w:eastAsia="en-AU"/>
              </w:rPr>
            </w:pPr>
            <w:r>
              <w:rPr>
                <w:rFonts w:ascii="Arial" w:hAnsi="Arial" w:cs="Arial"/>
                <w:i/>
                <w:iCs/>
                <w:sz w:val="16"/>
                <w:szCs w:val="16"/>
              </w:rPr>
              <w:t>100.0</w:t>
            </w:r>
          </w:p>
        </w:tc>
        <w:tc>
          <w:tcPr>
            <w:tcW w:w="555" w:type="pct"/>
            <w:tcBorders>
              <w:top w:val="nil"/>
              <w:left w:val="nil"/>
              <w:bottom w:val="single" w:sz="12" w:space="0" w:color="000000"/>
              <w:right w:val="nil"/>
            </w:tcBorders>
            <w:tcMar>
              <w:top w:w="0" w:type="dxa"/>
              <w:left w:w="0" w:type="dxa"/>
              <w:bottom w:w="28" w:type="dxa"/>
              <w:right w:w="0" w:type="dxa"/>
            </w:tcMar>
            <w:vAlign w:val="bottom"/>
            <w:hideMark/>
          </w:tcPr>
          <w:p w14:paraId="43959ABA" w14:textId="306666F4" w:rsidR="006F1842" w:rsidRPr="00FC67AA" w:rsidRDefault="006F1842" w:rsidP="006F1842">
            <w:pPr>
              <w:spacing w:after="0" w:line="276" w:lineRule="auto"/>
              <w:jc w:val="right"/>
              <w:rPr>
                <w:rFonts w:ascii="Arial" w:eastAsia="Times New Roman" w:hAnsi="Arial" w:cs="Arial"/>
                <w:i/>
                <w:sz w:val="16"/>
                <w:szCs w:val="16"/>
                <w:lang w:eastAsia="en-AU"/>
              </w:rPr>
            </w:pPr>
            <w:r>
              <w:rPr>
                <w:rFonts w:ascii="Arial" w:hAnsi="Arial" w:cs="Arial"/>
                <w:i/>
                <w:iCs/>
                <w:sz w:val="16"/>
                <w:szCs w:val="16"/>
              </w:rPr>
              <w:t>83.8</w:t>
            </w:r>
          </w:p>
        </w:tc>
      </w:tr>
    </w:tbl>
    <w:p w14:paraId="6FAD93FC" w14:textId="110EDD36" w:rsidR="009303CD" w:rsidRDefault="009303CD" w:rsidP="00814AD1">
      <w:pPr>
        <w:pStyle w:val="TableFigNotesnumbered"/>
        <w:numPr>
          <w:ilvl w:val="0"/>
          <w:numId w:val="17"/>
        </w:numPr>
        <w:spacing w:before="0" w:line="240" w:lineRule="auto"/>
        <w:ind w:left="284" w:hanging="284"/>
        <w:rPr>
          <w:rFonts w:cs="Arial"/>
        </w:rPr>
      </w:pPr>
      <w:r w:rsidRPr="00617599">
        <w:rPr>
          <w:rFonts w:cs="Arial"/>
        </w:rPr>
        <w:t>Age at start of treatment cycle.</w:t>
      </w:r>
    </w:p>
    <w:p w14:paraId="02491718" w14:textId="40FDFA51" w:rsidR="00B070B1" w:rsidRPr="00617599" w:rsidRDefault="00B070B1" w:rsidP="00904DBD">
      <w:pPr>
        <w:pStyle w:val="TableFigNotesnumbered"/>
        <w:spacing w:before="0" w:line="240" w:lineRule="auto"/>
        <w:ind w:left="0" w:firstLine="0"/>
        <w:rPr>
          <w:rFonts w:cs="Arial"/>
        </w:rPr>
      </w:pPr>
      <w:r>
        <w:rPr>
          <w:rFonts w:cs="Arial"/>
        </w:rPr>
        <w:t>DI: Donor sperm insemination</w:t>
      </w:r>
    </w:p>
    <w:p w14:paraId="03B2C3A9" w14:textId="3D7D6192" w:rsidR="009303CD" w:rsidRPr="00617599" w:rsidRDefault="009303CD" w:rsidP="009303CD">
      <w:pPr>
        <w:pStyle w:val="Heading3"/>
        <w:rPr>
          <w:rFonts w:cs="Arial"/>
        </w:rPr>
      </w:pPr>
      <w:bookmarkStart w:id="352" w:name="_Toc453061486"/>
      <w:bookmarkStart w:id="353" w:name="_Toc453054853"/>
      <w:r w:rsidRPr="00617599">
        <w:rPr>
          <w:rFonts w:cs="Arial"/>
        </w:rPr>
        <w:t>Clinical pregnancies</w:t>
      </w:r>
      <w:bookmarkEnd w:id="352"/>
      <w:bookmarkEnd w:id="353"/>
    </w:p>
    <w:p w14:paraId="7C08E536" w14:textId="199EA86B" w:rsidR="009303CD" w:rsidRPr="00B74D33" w:rsidRDefault="009303CD" w:rsidP="009303CD">
      <w:pPr>
        <w:pStyle w:val="NPESUbodytext"/>
        <w:rPr>
          <w:rFonts w:cs="Arial"/>
          <w:color w:val="FF0000"/>
          <w:lang w:eastAsia="en-AU"/>
        </w:rPr>
      </w:pPr>
      <w:r w:rsidRPr="00FB3A4F">
        <w:rPr>
          <w:rFonts w:cs="Arial"/>
          <w:lang w:eastAsia="en-AU"/>
        </w:rPr>
        <w:t xml:space="preserve">Of the </w:t>
      </w:r>
      <w:r w:rsidR="00E22726">
        <w:rPr>
          <w:rFonts w:cs="Arial"/>
          <w:lang w:eastAsia="en-AU"/>
        </w:rPr>
        <w:t>68</w:t>
      </w:r>
      <w:r w:rsidR="00E22726" w:rsidRPr="00FB3A4F">
        <w:rPr>
          <w:rFonts w:cs="Arial"/>
          <w:lang w:eastAsia="en-AU"/>
        </w:rPr>
        <w:t xml:space="preserve"> </w:t>
      </w:r>
      <w:r w:rsidRPr="00FB3A4F">
        <w:rPr>
          <w:rFonts w:cs="Arial"/>
          <w:lang w:eastAsia="en-AU"/>
        </w:rPr>
        <w:t>clinical pregnancies following DI cycles</w:t>
      </w:r>
      <w:r w:rsidRPr="00FC67AA">
        <w:rPr>
          <w:rFonts w:cs="Arial"/>
          <w:lang w:eastAsia="en-AU"/>
        </w:rPr>
        <w:t xml:space="preserve">, </w:t>
      </w:r>
      <w:r w:rsidR="00E22726">
        <w:rPr>
          <w:rFonts w:cs="Arial"/>
          <w:lang w:eastAsia="en-AU"/>
        </w:rPr>
        <w:t xml:space="preserve">11 </w:t>
      </w:r>
      <w:r w:rsidR="00255FB6" w:rsidRPr="00952173">
        <w:rPr>
          <w:rFonts w:cs="Arial"/>
          <w:lang w:eastAsia="en-AU"/>
        </w:rPr>
        <w:t>(</w:t>
      </w:r>
      <w:r w:rsidR="00E22726">
        <w:rPr>
          <w:rFonts w:cs="Arial"/>
          <w:lang w:eastAsia="en-AU"/>
        </w:rPr>
        <w:t>16.2</w:t>
      </w:r>
      <w:r w:rsidR="00255FB6" w:rsidRPr="00952173">
        <w:rPr>
          <w:rFonts w:cs="Arial"/>
          <w:lang w:eastAsia="en-AU"/>
        </w:rPr>
        <w:t xml:space="preserve">%) </w:t>
      </w:r>
      <w:r w:rsidRPr="00952173">
        <w:rPr>
          <w:rFonts w:cs="Arial"/>
          <w:lang w:eastAsia="en-AU"/>
        </w:rPr>
        <w:t>end</w:t>
      </w:r>
      <w:r w:rsidR="00BE1D16" w:rsidRPr="00952173">
        <w:rPr>
          <w:rFonts w:cs="Arial"/>
          <w:lang w:eastAsia="en-AU"/>
        </w:rPr>
        <w:t>ed</w:t>
      </w:r>
      <w:r w:rsidRPr="00952173">
        <w:rPr>
          <w:rFonts w:cs="Arial"/>
          <w:lang w:eastAsia="en-AU"/>
        </w:rPr>
        <w:t xml:space="preserve"> in early pregnancy loss</w:t>
      </w:r>
      <w:r w:rsidR="00E17E67" w:rsidRPr="00952173">
        <w:rPr>
          <w:rFonts w:cs="Arial"/>
          <w:lang w:eastAsia="en-AU"/>
        </w:rPr>
        <w:t xml:space="preserve">. </w:t>
      </w:r>
      <w:r w:rsidRPr="00FC67AA">
        <w:rPr>
          <w:rFonts w:cs="Arial"/>
          <w:lang w:eastAsia="en-AU"/>
        </w:rPr>
        <w:t>Of the</w:t>
      </w:r>
      <w:r w:rsidR="00FC02FB">
        <w:rPr>
          <w:rFonts w:cs="Arial"/>
          <w:lang w:eastAsia="en-AU"/>
        </w:rPr>
        <w:t xml:space="preserve"> 57 births,</w:t>
      </w:r>
      <w:r w:rsidRPr="00FC67AA">
        <w:rPr>
          <w:rFonts w:cs="Arial"/>
          <w:lang w:eastAsia="en-AU"/>
        </w:rPr>
        <w:t xml:space="preserve"> </w:t>
      </w:r>
      <w:r w:rsidR="008053A6">
        <w:rPr>
          <w:rFonts w:cs="Arial"/>
          <w:lang w:eastAsia="en-AU"/>
        </w:rPr>
        <w:t xml:space="preserve">all </w:t>
      </w:r>
      <w:r w:rsidR="00FC02FB">
        <w:rPr>
          <w:rFonts w:cs="Arial"/>
          <w:lang w:eastAsia="en-AU"/>
        </w:rPr>
        <w:t xml:space="preserve">were </w:t>
      </w:r>
      <w:r w:rsidRPr="00FC67AA">
        <w:rPr>
          <w:rFonts w:cs="Arial"/>
          <w:lang w:eastAsia="en-AU"/>
        </w:rPr>
        <w:t xml:space="preserve">live </w:t>
      </w:r>
      <w:r w:rsidR="00C736CE" w:rsidRPr="00FC67AA">
        <w:rPr>
          <w:rFonts w:cs="Arial"/>
          <w:lang w:eastAsia="en-AU"/>
        </w:rPr>
        <w:t>births</w:t>
      </w:r>
      <w:r w:rsidR="00FC02FB">
        <w:rPr>
          <w:rFonts w:cs="Arial"/>
          <w:lang w:eastAsia="en-AU"/>
        </w:rPr>
        <w:t>. Of the live births,</w:t>
      </w:r>
      <w:r w:rsidRPr="00FC67AA">
        <w:rPr>
          <w:rFonts w:cs="Arial"/>
          <w:lang w:eastAsia="en-AU"/>
        </w:rPr>
        <w:t xml:space="preserve"> </w:t>
      </w:r>
      <w:r w:rsidR="00FC67AA" w:rsidRPr="00952173">
        <w:rPr>
          <w:rFonts w:cs="Arial"/>
          <w:lang w:eastAsia="en-AU"/>
        </w:rPr>
        <w:t>5</w:t>
      </w:r>
      <w:r w:rsidR="008053A6">
        <w:rPr>
          <w:rFonts w:cs="Arial"/>
          <w:lang w:eastAsia="en-AU"/>
        </w:rPr>
        <w:t xml:space="preserve">5 </w:t>
      </w:r>
      <w:r w:rsidR="005F3530" w:rsidRPr="00952173">
        <w:rPr>
          <w:rFonts w:cs="Arial"/>
          <w:lang w:eastAsia="en-AU"/>
        </w:rPr>
        <w:t>(</w:t>
      </w:r>
      <w:r w:rsidR="00E22726">
        <w:rPr>
          <w:rFonts w:cs="Arial"/>
          <w:lang w:eastAsia="en-AU"/>
        </w:rPr>
        <w:t>96.</w:t>
      </w:r>
      <w:r w:rsidR="008053A6">
        <w:rPr>
          <w:rFonts w:cs="Arial"/>
          <w:lang w:eastAsia="en-AU"/>
        </w:rPr>
        <w:t>5</w:t>
      </w:r>
      <w:r w:rsidRPr="00952173">
        <w:rPr>
          <w:rFonts w:cs="Arial"/>
          <w:lang w:eastAsia="en-AU"/>
        </w:rPr>
        <w:t>%)</w:t>
      </w:r>
      <w:r w:rsidR="005F3530" w:rsidRPr="00952173">
        <w:rPr>
          <w:rFonts w:cs="Arial"/>
          <w:lang w:eastAsia="en-AU"/>
        </w:rPr>
        <w:t xml:space="preserve"> were singleton </w:t>
      </w:r>
      <w:r w:rsidR="00C736CE" w:rsidRPr="00952173">
        <w:rPr>
          <w:rFonts w:cs="Arial"/>
          <w:lang w:eastAsia="en-AU"/>
        </w:rPr>
        <w:t>births</w:t>
      </w:r>
      <w:r w:rsidR="005F3530" w:rsidRPr="00952173">
        <w:rPr>
          <w:rFonts w:cs="Arial"/>
          <w:lang w:eastAsia="en-AU"/>
        </w:rPr>
        <w:t xml:space="preserve"> and </w:t>
      </w:r>
      <w:r w:rsidR="00E22726">
        <w:rPr>
          <w:rFonts w:cs="Arial"/>
          <w:lang w:eastAsia="en-AU"/>
        </w:rPr>
        <w:t>2</w:t>
      </w:r>
      <w:r w:rsidR="005F3530" w:rsidRPr="00952173">
        <w:rPr>
          <w:rFonts w:cs="Arial"/>
          <w:lang w:eastAsia="en-AU"/>
        </w:rPr>
        <w:t xml:space="preserve"> (</w:t>
      </w:r>
      <w:r w:rsidR="00E22726">
        <w:rPr>
          <w:rFonts w:cs="Arial"/>
          <w:lang w:eastAsia="en-AU"/>
        </w:rPr>
        <w:t>3.</w:t>
      </w:r>
      <w:r w:rsidR="008053A6">
        <w:rPr>
          <w:rFonts w:cs="Arial"/>
          <w:lang w:eastAsia="en-AU"/>
        </w:rPr>
        <w:t>5</w:t>
      </w:r>
      <w:r w:rsidRPr="00952173">
        <w:rPr>
          <w:rFonts w:cs="Arial"/>
          <w:lang w:eastAsia="en-AU"/>
        </w:rPr>
        <w:t xml:space="preserve">%) </w:t>
      </w:r>
      <w:r w:rsidR="00FC67AA" w:rsidRPr="00952173">
        <w:rPr>
          <w:rFonts w:cs="Arial"/>
          <w:lang w:eastAsia="en-AU"/>
        </w:rPr>
        <w:t>w</w:t>
      </w:r>
      <w:r w:rsidR="00E22726">
        <w:rPr>
          <w:rFonts w:cs="Arial"/>
          <w:lang w:eastAsia="en-AU"/>
        </w:rPr>
        <w:t>ere</w:t>
      </w:r>
      <w:r w:rsidR="00FC67AA" w:rsidRPr="00952173">
        <w:rPr>
          <w:rFonts w:cs="Arial"/>
          <w:lang w:eastAsia="en-AU"/>
        </w:rPr>
        <w:t xml:space="preserve"> </w:t>
      </w:r>
      <w:r w:rsidRPr="00952173">
        <w:rPr>
          <w:rFonts w:cs="Arial"/>
          <w:lang w:eastAsia="en-AU"/>
        </w:rPr>
        <w:t xml:space="preserve">twin </w:t>
      </w:r>
      <w:r w:rsidR="00C736CE" w:rsidRPr="00952173">
        <w:rPr>
          <w:rFonts w:cs="Arial"/>
          <w:lang w:eastAsia="en-AU"/>
        </w:rPr>
        <w:t>birth</w:t>
      </w:r>
      <w:r w:rsidR="00E22726">
        <w:rPr>
          <w:rFonts w:cs="Arial"/>
          <w:lang w:eastAsia="en-AU"/>
        </w:rPr>
        <w:t>s</w:t>
      </w:r>
      <w:r w:rsidRPr="00952173">
        <w:rPr>
          <w:rFonts w:cs="Arial"/>
          <w:lang w:eastAsia="en-AU"/>
        </w:rPr>
        <w:t>.</w:t>
      </w:r>
    </w:p>
    <w:p w14:paraId="7C4E3902" w14:textId="61338831" w:rsidR="009303CD" w:rsidRPr="00617599" w:rsidRDefault="009303CD" w:rsidP="009303CD">
      <w:pPr>
        <w:pStyle w:val="Heading3"/>
        <w:rPr>
          <w:rFonts w:cs="Arial"/>
        </w:rPr>
      </w:pPr>
      <w:bookmarkStart w:id="354" w:name="_Toc453061487"/>
      <w:bookmarkStart w:id="355" w:name="_Toc453054854"/>
      <w:bookmarkStart w:id="356" w:name="_Toc398883020"/>
      <w:bookmarkStart w:id="357" w:name="_Toc398733491"/>
      <w:bookmarkStart w:id="358" w:name="_Toc394403772"/>
      <w:bookmarkStart w:id="359" w:name="_Toc364327999"/>
      <w:bookmarkStart w:id="360" w:name="_Toc364084093"/>
      <w:bookmarkStart w:id="361" w:name="_Toc362443927"/>
      <w:bookmarkStart w:id="362" w:name="_Toc362443859"/>
      <w:bookmarkStart w:id="363" w:name="_Toc360712840"/>
      <w:bookmarkStart w:id="364" w:name="_Toc359179068"/>
      <w:bookmarkStart w:id="365" w:name="_Toc359178994"/>
      <w:bookmarkStart w:id="366" w:name="_Toc358813463"/>
      <w:bookmarkStart w:id="367" w:name="_Toc358381659"/>
      <w:bookmarkStart w:id="368" w:name="_Toc358380570"/>
      <w:bookmarkStart w:id="369" w:name="_Toc358205718"/>
      <w:bookmarkStart w:id="370" w:name="_Toc333226675"/>
      <w:bookmarkStart w:id="371" w:name="_Toc330404331"/>
      <w:bookmarkStart w:id="372" w:name="_Toc327351270"/>
      <w:bookmarkStart w:id="373" w:name="_Toc327282243"/>
      <w:bookmarkStart w:id="374" w:name="_Toc300481059"/>
      <w:bookmarkStart w:id="375" w:name="_Toc300236327"/>
      <w:bookmarkStart w:id="376" w:name="_Toc300234481"/>
      <w:bookmarkStart w:id="377" w:name="_Toc300143889"/>
      <w:bookmarkStart w:id="378" w:name="_Toc297042060"/>
      <w:bookmarkStart w:id="379" w:name="_Toc296951865"/>
      <w:bookmarkStart w:id="380" w:name="_Toc296692889"/>
      <w:bookmarkStart w:id="381" w:name="_Toc233440889"/>
      <w:bookmarkStart w:id="382" w:name="_Toc233015372"/>
      <w:bookmarkStart w:id="383" w:name="_Toc232920326"/>
      <w:bookmarkStart w:id="384" w:name="_Toc232844174"/>
      <w:bookmarkStart w:id="385" w:name="_Toc232397840"/>
      <w:bookmarkStart w:id="386" w:name="_Toc202343335"/>
      <w:r w:rsidRPr="00617599">
        <w:rPr>
          <w:rFonts w:cs="Arial"/>
        </w:rPr>
        <w:t>Perinatal outcomes of babies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5FEDED3F" w14:textId="12CD0008" w:rsidR="009303CD" w:rsidRPr="00952173" w:rsidRDefault="009303CD" w:rsidP="009303CD">
      <w:pPr>
        <w:pStyle w:val="NPESUbodytext"/>
        <w:rPr>
          <w:rFonts w:cs="Arial"/>
        </w:rPr>
      </w:pPr>
      <w:r w:rsidRPr="00952173">
        <w:rPr>
          <w:rFonts w:cs="Arial"/>
          <w:shd w:val="clear" w:color="auto" w:fill="FFFFFF"/>
        </w:rPr>
        <w:t xml:space="preserve">There were </w:t>
      </w:r>
      <w:r w:rsidR="00CE7473">
        <w:rPr>
          <w:rFonts w:cs="Arial"/>
          <w:shd w:val="clear" w:color="auto" w:fill="FFFFFF"/>
        </w:rPr>
        <w:t>5</w:t>
      </w:r>
      <w:r w:rsidR="008053A6">
        <w:rPr>
          <w:rFonts w:cs="Arial"/>
          <w:shd w:val="clear" w:color="auto" w:fill="FFFFFF"/>
        </w:rPr>
        <w:t>9</w:t>
      </w:r>
      <w:r w:rsidR="00CE7473" w:rsidRPr="00952173">
        <w:rPr>
          <w:rFonts w:cs="Arial"/>
          <w:shd w:val="clear" w:color="auto" w:fill="FFFFFF"/>
        </w:rPr>
        <w:t xml:space="preserve"> </w:t>
      </w:r>
      <w:r w:rsidRPr="00952173">
        <w:rPr>
          <w:rFonts w:cs="Arial"/>
          <w:shd w:val="clear" w:color="auto" w:fill="FFFFFF"/>
        </w:rPr>
        <w:t>babies born to women who had DI treatment</w:t>
      </w:r>
      <w:r w:rsidR="008053A6">
        <w:rPr>
          <w:rFonts w:cs="Arial"/>
          <w:shd w:val="clear" w:color="auto" w:fill="FFFFFF"/>
        </w:rPr>
        <w:t>; all were liveborn babies</w:t>
      </w:r>
      <w:r w:rsidRPr="00952173">
        <w:rPr>
          <w:rFonts w:cs="Arial"/>
          <w:shd w:val="clear" w:color="auto" w:fill="FFFFFF"/>
        </w:rPr>
        <w:t xml:space="preserve">. Of these, </w:t>
      </w:r>
      <w:r w:rsidR="008053A6">
        <w:rPr>
          <w:rFonts w:cs="Arial"/>
          <w:shd w:val="clear" w:color="auto" w:fill="FFFFFF"/>
        </w:rPr>
        <w:t>4</w:t>
      </w:r>
      <w:r w:rsidR="00FC67AA" w:rsidRPr="00952173">
        <w:rPr>
          <w:rFonts w:cs="Arial"/>
          <w:shd w:val="clear" w:color="auto" w:fill="FFFFFF"/>
        </w:rPr>
        <w:t xml:space="preserve"> </w:t>
      </w:r>
      <w:r w:rsidRPr="00952173">
        <w:rPr>
          <w:rFonts w:cs="Arial"/>
          <w:shd w:val="clear" w:color="auto" w:fill="FFFFFF"/>
        </w:rPr>
        <w:t xml:space="preserve">were born preterm (less than 37 weeks gestation). The mean birthweight of liveborn babies was </w:t>
      </w:r>
      <w:r w:rsidR="00C45CEA" w:rsidRPr="00952173">
        <w:rPr>
          <w:rFonts w:cs="Arial"/>
          <w:shd w:val="clear" w:color="auto" w:fill="FFFFFF"/>
        </w:rPr>
        <w:t>3,</w:t>
      </w:r>
      <w:r w:rsidR="008053A6">
        <w:rPr>
          <w:rFonts w:cs="Arial"/>
          <w:shd w:val="clear" w:color="auto" w:fill="FFFFFF"/>
        </w:rPr>
        <w:t>386</w:t>
      </w:r>
      <w:r w:rsidR="008053A6" w:rsidRPr="00952173">
        <w:rPr>
          <w:rFonts w:cs="Arial"/>
          <w:shd w:val="clear" w:color="auto" w:fill="FFFFFF"/>
        </w:rPr>
        <w:t xml:space="preserve"> </w:t>
      </w:r>
      <w:r w:rsidRPr="00952173">
        <w:rPr>
          <w:rFonts w:cs="Arial"/>
          <w:shd w:val="clear" w:color="auto" w:fill="FFFFFF"/>
        </w:rPr>
        <w:t>grams</w:t>
      </w:r>
      <w:r w:rsidR="005D0434" w:rsidRPr="00952173">
        <w:rPr>
          <w:rFonts w:cs="Arial"/>
          <w:shd w:val="clear" w:color="auto" w:fill="FFFFFF"/>
        </w:rPr>
        <w:t xml:space="preserve"> (SD </w:t>
      </w:r>
      <w:r w:rsidR="008053A6">
        <w:rPr>
          <w:rFonts w:cs="Arial"/>
          <w:shd w:val="clear" w:color="auto" w:fill="FFFFFF"/>
        </w:rPr>
        <w:t xml:space="preserve">572 </w:t>
      </w:r>
      <w:r w:rsidR="00297809">
        <w:rPr>
          <w:rFonts w:cs="Arial"/>
          <w:shd w:val="clear" w:color="auto" w:fill="FFFFFF"/>
        </w:rPr>
        <w:t>grams</w:t>
      </w:r>
      <w:r w:rsidR="005D0434" w:rsidRPr="00952173">
        <w:rPr>
          <w:rFonts w:cs="Arial"/>
          <w:shd w:val="clear" w:color="auto" w:fill="FFFFFF"/>
        </w:rPr>
        <w:t>)</w:t>
      </w:r>
      <w:r w:rsidRPr="00952173">
        <w:rPr>
          <w:rFonts w:cs="Arial"/>
          <w:shd w:val="clear" w:color="auto" w:fill="FFFFFF"/>
        </w:rPr>
        <w:t xml:space="preserve">. There </w:t>
      </w:r>
      <w:r w:rsidR="00415D07" w:rsidRPr="00952173">
        <w:rPr>
          <w:rFonts w:cs="Arial"/>
          <w:shd w:val="clear" w:color="auto" w:fill="FFFFFF"/>
        </w:rPr>
        <w:t>were</w:t>
      </w:r>
      <w:r w:rsidRPr="00952173">
        <w:rPr>
          <w:rFonts w:cs="Arial"/>
          <w:shd w:val="clear" w:color="auto" w:fill="FFFFFF"/>
        </w:rPr>
        <w:t xml:space="preserve"> </w:t>
      </w:r>
      <w:r w:rsidR="008053A6">
        <w:rPr>
          <w:rFonts w:cs="Arial"/>
          <w:shd w:val="clear" w:color="auto" w:fill="FFFFFF"/>
        </w:rPr>
        <w:t>3</w:t>
      </w:r>
      <w:r w:rsidR="00C45CEA" w:rsidRPr="00952173">
        <w:rPr>
          <w:rFonts w:cs="Arial"/>
          <w:shd w:val="clear" w:color="auto" w:fill="FFFFFF"/>
        </w:rPr>
        <w:t xml:space="preserve"> </w:t>
      </w:r>
      <w:r w:rsidRPr="00952173">
        <w:rPr>
          <w:rFonts w:cs="Arial"/>
          <w:shd w:val="clear" w:color="auto" w:fill="FFFFFF"/>
        </w:rPr>
        <w:t>liveborn</w:t>
      </w:r>
      <w:r w:rsidR="005222C7" w:rsidRPr="00952173">
        <w:rPr>
          <w:rFonts w:cs="Arial"/>
          <w:shd w:val="clear" w:color="auto" w:fill="FFFFFF"/>
        </w:rPr>
        <w:t xml:space="preserve"> </w:t>
      </w:r>
      <w:r w:rsidRPr="00952173">
        <w:rPr>
          <w:rFonts w:cs="Arial"/>
          <w:shd w:val="clear" w:color="auto" w:fill="FFFFFF"/>
        </w:rPr>
        <w:t>babies (</w:t>
      </w:r>
      <w:r w:rsidR="008053A6">
        <w:rPr>
          <w:rFonts w:cs="Arial"/>
          <w:shd w:val="clear" w:color="auto" w:fill="FFFFFF"/>
        </w:rPr>
        <w:t>5.1</w:t>
      </w:r>
      <w:r w:rsidRPr="00952173">
        <w:rPr>
          <w:rFonts w:cs="Arial"/>
          <w:shd w:val="clear" w:color="auto" w:fill="FFFFFF"/>
        </w:rPr>
        <w:t>%) born with low birthweight (less than 2,500 grams).</w:t>
      </w:r>
    </w:p>
    <w:p w14:paraId="45B37CE7" w14:textId="219888BC" w:rsidR="009303CD" w:rsidRPr="00360E75" w:rsidRDefault="009303CD" w:rsidP="00814AD1">
      <w:pPr>
        <w:pStyle w:val="Heading1"/>
        <w:numPr>
          <w:ilvl w:val="0"/>
          <w:numId w:val="3"/>
        </w:numPr>
        <w:ind w:left="851" w:hanging="491"/>
        <w:rPr>
          <w:rFonts w:cs="Arial"/>
        </w:rPr>
      </w:pPr>
      <w:bookmarkStart w:id="387" w:name="_Toc453054855"/>
      <w:bookmarkStart w:id="388" w:name="_Toc452112619"/>
      <w:bookmarkStart w:id="389" w:name="_Toc159568724"/>
      <w:r w:rsidRPr="00360E75">
        <w:rPr>
          <w:rFonts w:cs="Arial"/>
        </w:rPr>
        <w:lastRenderedPageBreak/>
        <w:t>Trends in ART treatment and outcomes 20</w:t>
      </w:r>
      <w:r w:rsidR="005F3530" w:rsidRPr="00360E75">
        <w:rPr>
          <w:rFonts w:cs="Arial"/>
        </w:rPr>
        <w:t>1</w:t>
      </w:r>
      <w:r w:rsidR="006F1842">
        <w:rPr>
          <w:rFonts w:cs="Arial"/>
        </w:rPr>
        <w:t>7</w:t>
      </w:r>
      <w:r w:rsidRPr="00360E75">
        <w:rPr>
          <w:rFonts w:cs="Arial"/>
        </w:rPr>
        <w:t>-</w:t>
      </w:r>
      <w:r w:rsidR="002C669F" w:rsidRPr="00360E75">
        <w:rPr>
          <w:rFonts w:cs="Arial"/>
        </w:rPr>
        <w:t>20</w:t>
      </w:r>
      <w:r w:rsidR="009A4DDA">
        <w:rPr>
          <w:rFonts w:cs="Arial"/>
        </w:rPr>
        <w:t>2</w:t>
      </w:r>
      <w:bookmarkEnd w:id="387"/>
      <w:bookmarkEnd w:id="388"/>
      <w:r w:rsidR="006F1842">
        <w:rPr>
          <w:rFonts w:cs="Arial"/>
        </w:rPr>
        <w:t>1</w:t>
      </w:r>
      <w:bookmarkEnd w:id="389"/>
    </w:p>
    <w:p w14:paraId="11CB7CCB" w14:textId="0E0F8A0C" w:rsidR="009303CD" w:rsidRPr="005F3530" w:rsidRDefault="009303CD" w:rsidP="009303CD">
      <w:pPr>
        <w:pStyle w:val="NPESUbodytext"/>
        <w:rPr>
          <w:rFonts w:cs="Arial"/>
          <w:lang w:eastAsia="en-AU"/>
        </w:rPr>
      </w:pPr>
      <w:r w:rsidRPr="005F3530">
        <w:rPr>
          <w:rFonts w:cs="Arial"/>
          <w:lang w:eastAsia="en-AU"/>
        </w:rPr>
        <w:t>This section includes autologous cycles, donation/recipient cycles</w:t>
      </w:r>
      <w:r w:rsidR="00FA63B3">
        <w:rPr>
          <w:rFonts w:cs="Arial"/>
          <w:lang w:eastAsia="en-AU"/>
        </w:rPr>
        <w:t>,</w:t>
      </w:r>
      <w:r w:rsidR="005C6AE2">
        <w:rPr>
          <w:rFonts w:cs="Arial"/>
          <w:lang w:eastAsia="en-AU"/>
        </w:rPr>
        <w:t xml:space="preserve"> and</w:t>
      </w:r>
      <w:r w:rsidRPr="005F3530">
        <w:rPr>
          <w:rFonts w:cs="Arial"/>
          <w:lang w:eastAsia="en-AU"/>
        </w:rPr>
        <w:t xml:space="preserve"> surrogacy cycles undertaken in New Zealand from 20</w:t>
      </w:r>
      <w:r w:rsidR="005F3530" w:rsidRPr="005F3530">
        <w:rPr>
          <w:rFonts w:cs="Arial"/>
          <w:lang w:eastAsia="en-AU"/>
        </w:rPr>
        <w:t>1</w:t>
      </w:r>
      <w:r w:rsidR="00C83C92">
        <w:rPr>
          <w:rFonts w:cs="Arial"/>
          <w:lang w:eastAsia="en-AU"/>
        </w:rPr>
        <w:t>7</w:t>
      </w:r>
      <w:r w:rsidR="0027416D">
        <w:rPr>
          <w:rFonts w:cs="Arial"/>
          <w:lang w:eastAsia="en-AU"/>
        </w:rPr>
        <w:t xml:space="preserve"> </w:t>
      </w:r>
      <w:r w:rsidRPr="005F3530">
        <w:rPr>
          <w:rFonts w:cs="Arial"/>
          <w:lang w:eastAsia="en-AU"/>
        </w:rPr>
        <w:t xml:space="preserve">to </w:t>
      </w:r>
      <w:r w:rsidR="002C669F">
        <w:rPr>
          <w:rFonts w:cs="Arial"/>
          <w:lang w:eastAsia="en-AU"/>
        </w:rPr>
        <w:t>20</w:t>
      </w:r>
      <w:r w:rsidR="009A4DDA">
        <w:rPr>
          <w:rFonts w:cs="Arial"/>
          <w:lang w:eastAsia="en-AU"/>
        </w:rPr>
        <w:t>2</w:t>
      </w:r>
      <w:r w:rsidR="00C83C92">
        <w:rPr>
          <w:rFonts w:cs="Arial"/>
          <w:lang w:eastAsia="en-AU"/>
        </w:rPr>
        <w:t>1</w:t>
      </w:r>
      <w:r w:rsidRPr="005F3530">
        <w:rPr>
          <w:rFonts w:cs="Arial"/>
          <w:lang w:eastAsia="en-AU"/>
        </w:rPr>
        <w:t>. It does not include DI cycles</w:t>
      </w:r>
      <w:r w:rsidR="00141532">
        <w:rPr>
          <w:rFonts w:cs="Arial"/>
          <w:lang w:eastAsia="en-AU"/>
        </w:rPr>
        <w:t xml:space="preserve"> or lab-only cycles</w:t>
      </w:r>
      <w:r w:rsidRPr="005F3530">
        <w:rPr>
          <w:rFonts w:cs="Arial"/>
          <w:lang w:eastAsia="en-AU"/>
        </w:rPr>
        <w:t>.</w:t>
      </w:r>
    </w:p>
    <w:p w14:paraId="467F272D" w14:textId="5D86F4B1" w:rsidR="00820709" w:rsidRDefault="009303CD" w:rsidP="009303CD">
      <w:pPr>
        <w:pStyle w:val="NPESUbodytext"/>
        <w:rPr>
          <w:rFonts w:cs="Arial"/>
          <w:lang w:eastAsia="en-AU"/>
        </w:rPr>
      </w:pPr>
      <w:r w:rsidRPr="00BD3E20">
        <w:rPr>
          <w:rFonts w:cs="Arial"/>
          <w:lang w:eastAsia="en-AU"/>
        </w:rPr>
        <w:t xml:space="preserve">In </w:t>
      </w:r>
      <w:r w:rsidR="002C669F">
        <w:rPr>
          <w:rFonts w:cs="Arial"/>
          <w:lang w:eastAsia="en-AU"/>
        </w:rPr>
        <w:t>20</w:t>
      </w:r>
      <w:r w:rsidR="009A4DDA">
        <w:rPr>
          <w:rFonts w:cs="Arial"/>
          <w:lang w:eastAsia="en-AU"/>
        </w:rPr>
        <w:t>2</w:t>
      </w:r>
      <w:r w:rsidR="00C83C92">
        <w:rPr>
          <w:rFonts w:cs="Arial"/>
          <w:lang w:eastAsia="en-AU"/>
        </w:rPr>
        <w:t>1</w:t>
      </w:r>
      <w:r w:rsidR="00BD3E20" w:rsidRPr="00BD3E20">
        <w:rPr>
          <w:rFonts w:cs="Arial"/>
          <w:lang w:eastAsia="en-AU"/>
        </w:rPr>
        <w:t xml:space="preserve">, </w:t>
      </w:r>
      <w:r w:rsidR="009A4DDA">
        <w:rPr>
          <w:rFonts w:cs="Arial"/>
          <w:lang w:eastAsia="en-AU"/>
        </w:rPr>
        <w:t>8,</w:t>
      </w:r>
      <w:r w:rsidR="00C83C92">
        <w:rPr>
          <w:rFonts w:cs="Arial"/>
          <w:lang w:eastAsia="en-AU"/>
        </w:rPr>
        <w:t>861</w:t>
      </w:r>
      <w:r w:rsidR="009A4DDA">
        <w:rPr>
          <w:rFonts w:cs="Arial"/>
          <w:lang w:eastAsia="en-AU"/>
        </w:rPr>
        <w:t xml:space="preserve"> </w:t>
      </w:r>
      <w:r w:rsidRPr="00BD3E20">
        <w:rPr>
          <w:rFonts w:cs="Arial"/>
          <w:lang w:eastAsia="en-AU"/>
        </w:rPr>
        <w:t>initiated fresh or thaw ART treatment cycles were undertaken in New Zealand</w:t>
      </w:r>
      <w:r w:rsidRPr="004678E4">
        <w:rPr>
          <w:rFonts w:cs="Arial"/>
          <w:lang w:eastAsia="en-AU"/>
        </w:rPr>
        <w:t xml:space="preserve">. </w:t>
      </w:r>
      <w:r w:rsidRPr="00952173">
        <w:rPr>
          <w:rFonts w:cs="Arial"/>
          <w:lang w:eastAsia="en-AU"/>
        </w:rPr>
        <w:t xml:space="preserve">This was an increase of </w:t>
      </w:r>
      <w:r w:rsidR="00C83C92">
        <w:rPr>
          <w:rFonts w:cs="Arial"/>
          <w:lang w:eastAsia="en-AU"/>
        </w:rPr>
        <w:t>5.7</w:t>
      </w:r>
      <w:r w:rsidRPr="00952173">
        <w:rPr>
          <w:rFonts w:cs="Arial"/>
          <w:lang w:eastAsia="en-AU"/>
        </w:rPr>
        <w:t xml:space="preserve">% </w:t>
      </w:r>
      <w:r w:rsidR="002618FA" w:rsidRPr="00952173">
        <w:rPr>
          <w:rFonts w:cs="Arial"/>
          <w:lang w:eastAsia="en-AU"/>
        </w:rPr>
        <w:t xml:space="preserve">compared to </w:t>
      </w:r>
      <w:r w:rsidRPr="00952173">
        <w:rPr>
          <w:rFonts w:cs="Arial"/>
          <w:lang w:eastAsia="en-AU"/>
        </w:rPr>
        <w:t>20</w:t>
      </w:r>
      <w:r w:rsidR="00C83C92">
        <w:rPr>
          <w:rFonts w:cs="Arial"/>
          <w:lang w:eastAsia="en-AU"/>
        </w:rPr>
        <w:t>20</w:t>
      </w:r>
      <w:r w:rsidRPr="00952173">
        <w:rPr>
          <w:rFonts w:cs="Arial"/>
          <w:lang w:eastAsia="en-AU"/>
        </w:rPr>
        <w:t xml:space="preserve"> and an increase</w:t>
      </w:r>
      <w:r w:rsidR="005222C7" w:rsidRPr="00952173">
        <w:rPr>
          <w:rFonts w:cs="Arial"/>
          <w:lang w:eastAsia="en-AU"/>
        </w:rPr>
        <w:t xml:space="preserve"> </w:t>
      </w:r>
      <w:r w:rsidRPr="00952173">
        <w:rPr>
          <w:rFonts w:cs="Arial"/>
          <w:lang w:eastAsia="en-AU"/>
        </w:rPr>
        <w:t xml:space="preserve">of </w:t>
      </w:r>
      <w:r w:rsidR="00141532">
        <w:rPr>
          <w:rFonts w:cs="Arial"/>
          <w:lang w:eastAsia="en-AU"/>
        </w:rPr>
        <w:t>2</w:t>
      </w:r>
      <w:r w:rsidR="00C83C92">
        <w:rPr>
          <w:rFonts w:cs="Arial"/>
          <w:lang w:eastAsia="en-AU"/>
        </w:rPr>
        <w:t>1.8</w:t>
      </w:r>
      <w:r w:rsidRPr="00952173">
        <w:rPr>
          <w:rFonts w:cs="Arial"/>
          <w:lang w:eastAsia="en-AU"/>
        </w:rPr>
        <w:t xml:space="preserve">% </w:t>
      </w:r>
      <w:r w:rsidR="00F8426D" w:rsidRPr="00952173">
        <w:rPr>
          <w:rFonts w:cs="Arial"/>
          <w:lang w:eastAsia="en-AU"/>
        </w:rPr>
        <w:t>from</w:t>
      </w:r>
      <w:r w:rsidRPr="00952173">
        <w:rPr>
          <w:rFonts w:cs="Arial"/>
          <w:lang w:eastAsia="en-AU"/>
        </w:rPr>
        <w:t xml:space="preserve"> 20</w:t>
      </w:r>
      <w:r w:rsidR="00BD3E20" w:rsidRPr="00952173">
        <w:rPr>
          <w:rFonts w:cs="Arial"/>
          <w:lang w:eastAsia="en-AU"/>
        </w:rPr>
        <w:t>1</w:t>
      </w:r>
      <w:r w:rsidR="00C83C92">
        <w:rPr>
          <w:rFonts w:cs="Arial"/>
          <w:lang w:eastAsia="en-AU"/>
        </w:rPr>
        <w:t>7</w:t>
      </w:r>
      <w:r w:rsidRPr="00952173">
        <w:rPr>
          <w:rFonts w:cs="Arial"/>
          <w:lang w:eastAsia="en-AU"/>
        </w:rPr>
        <w:t xml:space="preserve"> (Table 2</w:t>
      </w:r>
      <w:r w:rsidR="00BD7E00">
        <w:rPr>
          <w:rFonts w:cs="Arial"/>
          <w:lang w:eastAsia="en-AU"/>
        </w:rPr>
        <w:t>8</w:t>
      </w:r>
      <w:r w:rsidRPr="00952173">
        <w:rPr>
          <w:rFonts w:cs="Arial"/>
          <w:lang w:eastAsia="en-AU"/>
        </w:rPr>
        <w:t>).</w:t>
      </w:r>
      <w:r w:rsidR="00BD3E20" w:rsidRPr="004678E4">
        <w:rPr>
          <w:rFonts w:cs="Arial"/>
          <w:lang w:eastAsia="en-AU"/>
        </w:rPr>
        <w:t xml:space="preserve"> </w:t>
      </w:r>
      <w:r w:rsidR="004F564A" w:rsidRPr="004678E4">
        <w:rPr>
          <w:rFonts w:cs="Arial"/>
          <w:lang w:eastAsia="en-AU"/>
        </w:rPr>
        <w:t>Between</w:t>
      </w:r>
      <w:r w:rsidRPr="00BD3E20">
        <w:rPr>
          <w:rFonts w:cs="Arial"/>
          <w:lang w:eastAsia="en-AU"/>
        </w:rPr>
        <w:t xml:space="preserve"> 20</w:t>
      </w:r>
      <w:r w:rsidR="004F564A">
        <w:rPr>
          <w:rFonts w:cs="Arial"/>
          <w:lang w:eastAsia="en-AU"/>
        </w:rPr>
        <w:t>1</w:t>
      </w:r>
      <w:r w:rsidR="00C83C92">
        <w:rPr>
          <w:rFonts w:cs="Arial"/>
          <w:lang w:eastAsia="en-AU"/>
        </w:rPr>
        <w:t>7</w:t>
      </w:r>
      <w:r w:rsidRPr="00BD3E20">
        <w:rPr>
          <w:rFonts w:cs="Arial"/>
          <w:lang w:eastAsia="en-AU"/>
        </w:rPr>
        <w:t xml:space="preserve"> and </w:t>
      </w:r>
      <w:r w:rsidR="002C669F">
        <w:rPr>
          <w:rFonts w:cs="Arial"/>
          <w:lang w:eastAsia="en-AU"/>
        </w:rPr>
        <w:t>20</w:t>
      </w:r>
      <w:r w:rsidR="009A4DDA">
        <w:rPr>
          <w:rFonts w:cs="Arial"/>
          <w:lang w:eastAsia="en-AU"/>
        </w:rPr>
        <w:t>2</w:t>
      </w:r>
      <w:r w:rsidR="00C83C92">
        <w:rPr>
          <w:rFonts w:cs="Arial"/>
          <w:lang w:eastAsia="en-AU"/>
        </w:rPr>
        <w:t>1</w:t>
      </w:r>
      <w:r w:rsidRPr="00BD3E20">
        <w:rPr>
          <w:rFonts w:cs="Arial"/>
          <w:lang w:eastAsia="en-AU"/>
        </w:rPr>
        <w:t xml:space="preserve">, the live </w:t>
      </w:r>
      <w:r w:rsidR="00EC42AE">
        <w:rPr>
          <w:rFonts w:cs="Arial"/>
          <w:lang w:eastAsia="en-AU"/>
        </w:rPr>
        <w:t>birth</w:t>
      </w:r>
      <w:r w:rsidRPr="00BD3E20">
        <w:rPr>
          <w:rFonts w:cs="Arial"/>
          <w:lang w:eastAsia="en-AU"/>
        </w:rPr>
        <w:t xml:space="preserve"> rates per initiated cycle</w:t>
      </w:r>
      <w:r w:rsidR="004F564A">
        <w:rPr>
          <w:rFonts w:cs="Arial"/>
          <w:lang w:eastAsia="en-AU"/>
        </w:rPr>
        <w:t xml:space="preserve"> </w:t>
      </w:r>
      <w:r w:rsidRPr="00BD3E20">
        <w:rPr>
          <w:rFonts w:cs="Arial"/>
          <w:lang w:eastAsia="en-AU"/>
        </w:rPr>
        <w:t>ranged from 2</w:t>
      </w:r>
      <w:r w:rsidR="00B74D33">
        <w:rPr>
          <w:rFonts w:cs="Arial"/>
          <w:lang w:eastAsia="en-AU"/>
        </w:rPr>
        <w:t>1.9</w:t>
      </w:r>
      <w:r w:rsidRPr="00BD3E20">
        <w:rPr>
          <w:rFonts w:cs="Arial"/>
          <w:lang w:eastAsia="en-AU"/>
        </w:rPr>
        <w:t>% to 23.</w:t>
      </w:r>
      <w:r w:rsidR="00141532">
        <w:rPr>
          <w:rFonts w:cs="Arial"/>
          <w:lang w:eastAsia="en-AU"/>
        </w:rPr>
        <w:t>7</w:t>
      </w:r>
      <w:r w:rsidRPr="00BD3E20">
        <w:rPr>
          <w:rFonts w:cs="Arial"/>
          <w:lang w:eastAsia="en-AU"/>
        </w:rPr>
        <w:t>%</w:t>
      </w:r>
      <w:r w:rsidR="001D261D">
        <w:rPr>
          <w:rFonts w:cs="Arial"/>
          <w:lang w:eastAsia="en-AU"/>
        </w:rPr>
        <w:t xml:space="preserve">. </w:t>
      </w:r>
      <w:r w:rsidR="00297809">
        <w:rPr>
          <w:rFonts w:cs="Arial"/>
          <w:lang w:eastAsia="en-AU"/>
        </w:rPr>
        <w:t>In the same time period, t</w:t>
      </w:r>
      <w:r w:rsidR="009C013A">
        <w:rPr>
          <w:rFonts w:cs="Arial"/>
          <w:lang w:eastAsia="en-AU"/>
        </w:rPr>
        <w:t xml:space="preserve">he </w:t>
      </w:r>
      <w:r w:rsidR="001D261D">
        <w:rPr>
          <w:rFonts w:cs="Arial"/>
          <w:lang w:eastAsia="en-AU"/>
        </w:rPr>
        <w:t xml:space="preserve">live </w:t>
      </w:r>
      <w:r w:rsidR="00EC42AE">
        <w:rPr>
          <w:rFonts w:cs="Arial"/>
          <w:lang w:eastAsia="en-AU"/>
        </w:rPr>
        <w:t>birth</w:t>
      </w:r>
      <w:r w:rsidR="001D261D">
        <w:rPr>
          <w:rFonts w:cs="Arial"/>
          <w:lang w:eastAsia="en-AU"/>
        </w:rPr>
        <w:t xml:space="preserve"> rate</w:t>
      </w:r>
      <w:r w:rsidR="00580F54">
        <w:rPr>
          <w:rFonts w:cs="Arial"/>
          <w:lang w:eastAsia="en-AU"/>
        </w:rPr>
        <w:t xml:space="preserve"> per initiated </w:t>
      </w:r>
      <w:r w:rsidR="00971360">
        <w:rPr>
          <w:rFonts w:cs="Arial"/>
          <w:lang w:eastAsia="en-AU"/>
        </w:rPr>
        <w:t xml:space="preserve">cycle (excluding </w:t>
      </w:r>
      <w:r w:rsidR="00580F54" w:rsidRPr="00971360">
        <w:rPr>
          <w:rFonts w:cs="Arial"/>
          <w:lang w:eastAsia="en-AU"/>
        </w:rPr>
        <w:t>freeze</w:t>
      </w:r>
      <w:r w:rsidR="00BE1D16" w:rsidRPr="00971360">
        <w:rPr>
          <w:rFonts w:cs="Arial"/>
          <w:lang w:eastAsia="en-AU"/>
        </w:rPr>
        <w:t>-</w:t>
      </w:r>
      <w:r w:rsidR="00580F54" w:rsidRPr="00971360">
        <w:rPr>
          <w:rFonts w:cs="Arial"/>
          <w:lang w:eastAsia="en-AU"/>
        </w:rPr>
        <w:t>all</w:t>
      </w:r>
      <w:r w:rsidR="00971360">
        <w:rPr>
          <w:rFonts w:cs="Arial"/>
          <w:lang w:eastAsia="en-AU"/>
        </w:rPr>
        <w:t xml:space="preserve">) </w:t>
      </w:r>
      <w:r w:rsidR="001D261D">
        <w:rPr>
          <w:rFonts w:cs="Arial"/>
          <w:lang w:eastAsia="en-AU"/>
        </w:rPr>
        <w:t xml:space="preserve">has </w:t>
      </w:r>
      <w:r w:rsidR="00C83C92">
        <w:rPr>
          <w:rFonts w:cs="Arial"/>
          <w:lang w:eastAsia="en-AU"/>
        </w:rPr>
        <w:t>ranged</w:t>
      </w:r>
      <w:r w:rsidR="001D261D">
        <w:rPr>
          <w:rFonts w:cs="Arial"/>
          <w:lang w:eastAsia="en-AU"/>
        </w:rPr>
        <w:t xml:space="preserve"> </w:t>
      </w:r>
      <w:r w:rsidR="00E52BB5">
        <w:rPr>
          <w:rFonts w:cs="Arial"/>
          <w:lang w:eastAsia="en-AU"/>
        </w:rPr>
        <w:t>between</w:t>
      </w:r>
      <w:r w:rsidR="00580F54">
        <w:rPr>
          <w:rFonts w:cs="Arial"/>
          <w:lang w:eastAsia="en-AU"/>
        </w:rPr>
        <w:t xml:space="preserve"> </w:t>
      </w:r>
      <w:r w:rsidR="009A4DDA">
        <w:rPr>
          <w:rFonts w:cs="Arial"/>
          <w:lang w:eastAsia="en-AU"/>
        </w:rPr>
        <w:t>25.8</w:t>
      </w:r>
      <w:r w:rsidR="00580F54">
        <w:rPr>
          <w:rFonts w:cs="Arial"/>
          <w:lang w:eastAsia="en-AU"/>
        </w:rPr>
        <w:t xml:space="preserve">% </w:t>
      </w:r>
      <w:r w:rsidR="00E52BB5">
        <w:rPr>
          <w:rFonts w:cs="Arial"/>
          <w:lang w:eastAsia="en-AU"/>
        </w:rPr>
        <w:t xml:space="preserve">and </w:t>
      </w:r>
      <w:r w:rsidR="00141532">
        <w:rPr>
          <w:rFonts w:cs="Arial"/>
          <w:lang w:eastAsia="en-AU"/>
        </w:rPr>
        <w:t>29.7</w:t>
      </w:r>
      <w:r w:rsidR="00E52BB5">
        <w:rPr>
          <w:rFonts w:cs="Arial"/>
          <w:lang w:eastAsia="en-AU"/>
        </w:rPr>
        <w:t>%</w:t>
      </w:r>
      <w:r w:rsidR="00297809">
        <w:rPr>
          <w:rFonts w:cs="Arial"/>
          <w:lang w:eastAsia="en-AU"/>
        </w:rPr>
        <w:t xml:space="preserve"> </w:t>
      </w:r>
      <w:r w:rsidRPr="00BD3E20">
        <w:rPr>
          <w:rFonts w:cs="Arial"/>
          <w:lang w:eastAsia="en-AU"/>
        </w:rPr>
        <w:t>(Table 2</w:t>
      </w:r>
      <w:r w:rsidR="00BD7E00">
        <w:rPr>
          <w:rFonts w:cs="Arial"/>
          <w:lang w:eastAsia="en-AU"/>
        </w:rPr>
        <w:t>8</w:t>
      </w:r>
      <w:r w:rsidRPr="00BD3E20">
        <w:rPr>
          <w:rFonts w:cs="Arial"/>
          <w:lang w:eastAsia="en-AU"/>
        </w:rPr>
        <w:t>).</w:t>
      </w:r>
    </w:p>
    <w:p w14:paraId="7E5BDD53" w14:textId="77777777" w:rsidR="002618FA" w:rsidRPr="00617599" w:rsidRDefault="002618FA" w:rsidP="009303CD">
      <w:pPr>
        <w:pStyle w:val="NPESUbodytext"/>
        <w:rPr>
          <w:rFonts w:cs="Arial"/>
          <w:highlight w:val="yellow"/>
          <w:lang w:eastAsia="en-AU"/>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gridCol w:w="1017"/>
        <w:gridCol w:w="1016"/>
        <w:gridCol w:w="1016"/>
        <w:gridCol w:w="1016"/>
        <w:gridCol w:w="1016"/>
      </w:tblGrid>
      <w:tr w:rsidR="00901098" w:rsidRPr="00147056" w14:paraId="2C433B89" w14:textId="0699BFFE" w:rsidTr="008436D1">
        <w:tc>
          <w:tcPr>
            <w:tcW w:w="5000" w:type="pct"/>
            <w:gridSpan w:val="6"/>
            <w:tcBorders>
              <w:bottom w:val="single" w:sz="12" w:space="0" w:color="auto"/>
            </w:tcBorders>
            <w:hideMark/>
          </w:tcPr>
          <w:p w14:paraId="53672985" w14:textId="169494F3" w:rsidR="00901098" w:rsidRPr="00147056" w:rsidRDefault="00901098" w:rsidP="00360E75">
            <w:pPr>
              <w:pStyle w:val="Caption"/>
              <w:spacing w:before="60" w:line="260" w:lineRule="atLeast"/>
              <w:rPr>
                <w:rFonts w:eastAsia="Times New Roman" w:cs="Arial"/>
                <w:lang w:eastAsia="en-AU"/>
              </w:rPr>
            </w:pPr>
            <w:bookmarkStart w:id="390" w:name="_Toc453055864"/>
            <w:bookmarkStart w:id="391" w:name="_Toc453056159"/>
            <w:bookmarkStart w:id="392" w:name="_Toc453057250"/>
            <w:bookmarkStart w:id="393" w:name="_Toc158026577"/>
            <w:r w:rsidRPr="00147056">
              <w:rPr>
                <w:rFonts w:eastAsia="Times New Roman" w:cs="Arial"/>
                <w:lang w:eastAsia="en-AU"/>
              </w:rPr>
              <w:t>Table 2</w:t>
            </w:r>
            <w:r w:rsidR="00F400A5">
              <w:rPr>
                <w:rFonts w:eastAsia="Times New Roman" w:cs="Arial"/>
                <w:lang w:eastAsia="en-AU"/>
              </w:rPr>
              <w:t>8</w:t>
            </w:r>
            <w:r w:rsidRPr="00147056">
              <w:rPr>
                <w:rFonts w:eastAsia="Times New Roman" w:cs="Arial"/>
                <w:lang w:eastAsia="en-AU"/>
              </w:rPr>
              <w:t xml:space="preserve">: Number of fresh and thaw cycles by stage/outcome of treatment, New Zealand, </w:t>
            </w:r>
            <w:r>
              <w:rPr>
                <w:rFonts w:eastAsia="Times New Roman" w:cs="Arial"/>
                <w:lang w:eastAsia="en-AU"/>
              </w:rPr>
              <w:t>201</w:t>
            </w:r>
            <w:r w:rsidR="008144A6">
              <w:rPr>
                <w:rFonts w:eastAsia="Times New Roman" w:cs="Arial"/>
                <w:lang w:eastAsia="en-AU"/>
              </w:rPr>
              <w:t>7</w:t>
            </w:r>
            <w:r>
              <w:rPr>
                <w:rFonts w:eastAsia="Times New Roman" w:cs="Arial"/>
                <w:lang w:eastAsia="en-AU"/>
              </w:rPr>
              <w:t>-20</w:t>
            </w:r>
            <w:r w:rsidR="009A4DDA">
              <w:rPr>
                <w:rFonts w:eastAsia="Times New Roman" w:cs="Arial"/>
                <w:lang w:eastAsia="en-AU"/>
              </w:rPr>
              <w:t>2</w:t>
            </w:r>
            <w:bookmarkEnd w:id="390"/>
            <w:bookmarkEnd w:id="391"/>
            <w:bookmarkEnd w:id="392"/>
            <w:r w:rsidR="008144A6">
              <w:rPr>
                <w:rFonts w:eastAsia="Times New Roman" w:cs="Arial"/>
                <w:lang w:eastAsia="en-AU"/>
              </w:rPr>
              <w:t>1</w:t>
            </w:r>
            <w:bookmarkEnd w:id="393"/>
          </w:p>
        </w:tc>
      </w:tr>
      <w:tr w:rsidR="008144A6" w:rsidRPr="00147056" w14:paraId="02B625D7" w14:textId="37B0C0A3" w:rsidTr="008144A6">
        <w:trPr>
          <w:trHeight w:val="227"/>
        </w:trPr>
        <w:tc>
          <w:tcPr>
            <w:tcW w:w="2185" w:type="pct"/>
            <w:tcBorders>
              <w:top w:val="single" w:sz="12" w:space="0" w:color="auto"/>
              <w:bottom w:val="single" w:sz="2" w:space="0" w:color="auto"/>
            </w:tcBorders>
            <w:vAlign w:val="center"/>
            <w:hideMark/>
          </w:tcPr>
          <w:p w14:paraId="2A4FB0C4" w14:textId="77777777" w:rsidR="008144A6" w:rsidRPr="00147056" w:rsidRDefault="008144A6" w:rsidP="008144A6">
            <w:pPr>
              <w:spacing w:after="0" w:line="276" w:lineRule="auto"/>
              <w:rPr>
                <w:rFonts w:ascii="Arial" w:eastAsia="Times New Roman" w:hAnsi="Arial" w:cs="Arial"/>
                <w:b/>
                <w:bCs/>
                <w:sz w:val="16"/>
                <w:szCs w:val="16"/>
                <w:lang w:eastAsia="en-AU"/>
              </w:rPr>
            </w:pPr>
            <w:r w:rsidRPr="00147056">
              <w:rPr>
                <w:rFonts w:ascii="Arial" w:eastAsia="Times New Roman" w:hAnsi="Arial" w:cs="Arial"/>
                <w:b/>
                <w:bCs/>
                <w:sz w:val="16"/>
                <w:szCs w:val="16"/>
                <w:lang w:eastAsia="en-AU"/>
              </w:rPr>
              <w:t xml:space="preserve">Stage/outcome of treatment </w:t>
            </w:r>
          </w:p>
        </w:tc>
        <w:tc>
          <w:tcPr>
            <w:tcW w:w="563" w:type="pct"/>
            <w:tcBorders>
              <w:top w:val="single" w:sz="12" w:space="0" w:color="auto"/>
              <w:bottom w:val="single" w:sz="2" w:space="0" w:color="auto"/>
            </w:tcBorders>
            <w:vAlign w:val="center"/>
            <w:hideMark/>
          </w:tcPr>
          <w:p w14:paraId="1900B7D4" w14:textId="78C0236A" w:rsidR="008144A6" w:rsidRPr="00147056" w:rsidRDefault="008144A6" w:rsidP="008144A6">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2017</w:t>
            </w:r>
            <w:r w:rsidRPr="00147056">
              <w:rPr>
                <w:rFonts w:ascii="Arial" w:eastAsia="Times New Roman" w:hAnsi="Arial" w:cs="Arial"/>
                <w:b/>
                <w:bCs/>
                <w:sz w:val="16"/>
                <w:szCs w:val="16"/>
                <w:lang w:eastAsia="en-AU"/>
              </w:rPr>
              <w:t xml:space="preserve"> </w:t>
            </w:r>
          </w:p>
        </w:tc>
        <w:tc>
          <w:tcPr>
            <w:tcW w:w="563" w:type="pct"/>
            <w:tcBorders>
              <w:top w:val="single" w:sz="12" w:space="0" w:color="auto"/>
              <w:bottom w:val="single" w:sz="2" w:space="0" w:color="auto"/>
            </w:tcBorders>
            <w:vAlign w:val="center"/>
            <w:hideMark/>
          </w:tcPr>
          <w:p w14:paraId="4B990879" w14:textId="0394307D" w:rsidR="008144A6" w:rsidRPr="00147056" w:rsidRDefault="008144A6" w:rsidP="008144A6">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2018</w:t>
            </w:r>
          </w:p>
        </w:tc>
        <w:tc>
          <w:tcPr>
            <w:tcW w:w="563" w:type="pct"/>
            <w:tcBorders>
              <w:top w:val="single" w:sz="12" w:space="0" w:color="auto"/>
              <w:bottom w:val="single" w:sz="2" w:space="0" w:color="auto"/>
            </w:tcBorders>
            <w:vAlign w:val="center"/>
            <w:hideMark/>
          </w:tcPr>
          <w:p w14:paraId="48E6D63C" w14:textId="27BFF03E" w:rsidR="008144A6" w:rsidRPr="00147056" w:rsidRDefault="008144A6" w:rsidP="008144A6">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2019</w:t>
            </w:r>
          </w:p>
        </w:tc>
        <w:tc>
          <w:tcPr>
            <w:tcW w:w="563" w:type="pct"/>
            <w:tcBorders>
              <w:top w:val="single" w:sz="12" w:space="0" w:color="auto"/>
              <w:bottom w:val="single" w:sz="2" w:space="0" w:color="auto"/>
            </w:tcBorders>
            <w:vAlign w:val="center"/>
            <w:hideMark/>
          </w:tcPr>
          <w:p w14:paraId="5AB59230" w14:textId="303CC0B1" w:rsidR="008144A6" w:rsidRPr="00147056" w:rsidRDefault="008144A6" w:rsidP="008144A6">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2020</w:t>
            </w:r>
          </w:p>
        </w:tc>
        <w:tc>
          <w:tcPr>
            <w:tcW w:w="563" w:type="pct"/>
            <w:tcBorders>
              <w:top w:val="single" w:sz="12" w:space="0" w:color="auto"/>
              <w:bottom w:val="single" w:sz="2" w:space="0" w:color="auto"/>
            </w:tcBorders>
            <w:vAlign w:val="center"/>
          </w:tcPr>
          <w:p w14:paraId="12DB0795" w14:textId="45670C8D" w:rsidR="008144A6" w:rsidRDefault="008144A6" w:rsidP="008144A6">
            <w:pPr>
              <w:spacing w:after="0" w:line="276" w:lineRule="auto"/>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2021</w:t>
            </w:r>
          </w:p>
        </w:tc>
      </w:tr>
      <w:tr w:rsidR="008144A6" w:rsidRPr="00147056" w14:paraId="055B6385" w14:textId="77BE94D9" w:rsidTr="008144A6">
        <w:trPr>
          <w:trHeight w:val="227"/>
        </w:trPr>
        <w:tc>
          <w:tcPr>
            <w:tcW w:w="2185" w:type="pct"/>
            <w:tcBorders>
              <w:top w:val="single" w:sz="2" w:space="0" w:color="auto"/>
            </w:tcBorders>
            <w:vAlign w:val="center"/>
            <w:hideMark/>
          </w:tcPr>
          <w:p w14:paraId="20D659E3" w14:textId="77777777" w:rsidR="008144A6" w:rsidRPr="00147056" w:rsidRDefault="008144A6" w:rsidP="008144A6">
            <w:pPr>
              <w:spacing w:after="0" w:line="276" w:lineRule="auto"/>
              <w:rPr>
                <w:rFonts w:ascii="Arial" w:eastAsia="Times New Roman" w:hAnsi="Arial" w:cs="Arial"/>
                <w:sz w:val="16"/>
                <w:szCs w:val="16"/>
                <w:lang w:eastAsia="en-AU"/>
              </w:rPr>
            </w:pPr>
            <w:r w:rsidRPr="00147056">
              <w:rPr>
                <w:rFonts w:ascii="Arial" w:eastAsia="Times New Roman" w:hAnsi="Arial" w:cs="Arial"/>
                <w:sz w:val="16"/>
                <w:szCs w:val="16"/>
                <w:lang w:eastAsia="en-AU"/>
              </w:rPr>
              <w:t>Initiated cycles</w:t>
            </w:r>
            <w:r w:rsidRPr="00147056">
              <w:rPr>
                <w:rFonts w:ascii="Arial" w:eastAsia="Times New Roman" w:hAnsi="Arial" w:cs="Arial"/>
                <w:sz w:val="16"/>
                <w:szCs w:val="16"/>
                <w:vertAlign w:val="superscript"/>
                <w:lang w:eastAsia="en-AU"/>
              </w:rPr>
              <w:t>(a)</w:t>
            </w:r>
          </w:p>
        </w:tc>
        <w:tc>
          <w:tcPr>
            <w:tcW w:w="563" w:type="pct"/>
            <w:tcBorders>
              <w:top w:val="single" w:sz="2" w:space="0" w:color="auto"/>
            </w:tcBorders>
            <w:vAlign w:val="center"/>
            <w:hideMark/>
          </w:tcPr>
          <w:p w14:paraId="5AC171CD" w14:textId="70F1F44D"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7,273</w:t>
            </w:r>
          </w:p>
        </w:tc>
        <w:tc>
          <w:tcPr>
            <w:tcW w:w="563" w:type="pct"/>
            <w:tcBorders>
              <w:top w:val="single" w:sz="2" w:space="0" w:color="auto"/>
            </w:tcBorders>
            <w:vAlign w:val="center"/>
            <w:hideMark/>
          </w:tcPr>
          <w:p w14:paraId="4A37A382" w14:textId="73653CC8"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7,723</w:t>
            </w:r>
          </w:p>
        </w:tc>
        <w:tc>
          <w:tcPr>
            <w:tcW w:w="563" w:type="pct"/>
            <w:tcBorders>
              <w:top w:val="single" w:sz="2" w:space="0" w:color="auto"/>
            </w:tcBorders>
            <w:vAlign w:val="center"/>
            <w:hideMark/>
          </w:tcPr>
          <w:p w14:paraId="53888A7E" w14:textId="7323431E"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sz w:val="16"/>
                <w:szCs w:val="16"/>
              </w:rPr>
              <w:t>7,880</w:t>
            </w:r>
          </w:p>
        </w:tc>
        <w:tc>
          <w:tcPr>
            <w:tcW w:w="563" w:type="pct"/>
            <w:tcBorders>
              <w:top w:val="single" w:sz="2" w:space="0" w:color="auto"/>
            </w:tcBorders>
            <w:vAlign w:val="center"/>
            <w:hideMark/>
          </w:tcPr>
          <w:p w14:paraId="3835DC90" w14:textId="71F43D3A"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sz w:val="16"/>
                <w:szCs w:val="16"/>
              </w:rPr>
              <w:t>8,382</w:t>
            </w:r>
          </w:p>
        </w:tc>
        <w:tc>
          <w:tcPr>
            <w:tcW w:w="563" w:type="pct"/>
            <w:tcBorders>
              <w:top w:val="single" w:sz="2" w:space="0" w:color="auto"/>
            </w:tcBorders>
            <w:vAlign w:val="center"/>
          </w:tcPr>
          <w:p w14:paraId="65615219" w14:textId="41F3819A" w:rsidR="008144A6" w:rsidRDefault="008144A6" w:rsidP="008144A6">
            <w:pPr>
              <w:spacing w:after="0" w:line="276" w:lineRule="auto"/>
              <w:jc w:val="right"/>
              <w:rPr>
                <w:rFonts w:ascii="Arial" w:eastAsia="Times New Roman" w:hAnsi="Arial" w:cs="Arial"/>
                <w:sz w:val="16"/>
                <w:szCs w:val="16"/>
                <w:lang w:eastAsia="en-AU"/>
              </w:rPr>
            </w:pPr>
            <w:r>
              <w:rPr>
                <w:rFonts w:ascii="Arial" w:hAnsi="Arial" w:cs="Arial"/>
                <w:sz w:val="16"/>
                <w:szCs w:val="16"/>
              </w:rPr>
              <w:t>8,861</w:t>
            </w:r>
          </w:p>
        </w:tc>
      </w:tr>
      <w:tr w:rsidR="008144A6" w:rsidRPr="00147056" w14:paraId="746AEAF0" w14:textId="6197804B" w:rsidTr="008144A6">
        <w:trPr>
          <w:trHeight w:val="227"/>
        </w:trPr>
        <w:tc>
          <w:tcPr>
            <w:tcW w:w="2185" w:type="pct"/>
            <w:vAlign w:val="center"/>
            <w:hideMark/>
          </w:tcPr>
          <w:p w14:paraId="1E05ABAD" w14:textId="77777777" w:rsidR="008144A6" w:rsidRPr="00147056" w:rsidRDefault="008144A6" w:rsidP="008144A6">
            <w:pPr>
              <w:spacing w:after="0" w:line="276" w:lineRule="auto"/>
              <w:rPr>
                <w:rFonts w:ascii="Arial" w:eastAsia="Times New Roman" w:hAnsi="Arial" w:cs="Arial"/>
                <w:sz w:val="16"/>
                <w:szCs w:val="16"/>
                <w:lang w:eastAsia="en-AU"/>
              </w:rPr>
            </w:pPr>
            <w:r w:rsidRPr="00147056">
              <w:rPr>
                <w:rFonts w:ascii="Arial" w:eastAsia="Times New Roman" w:hAnsi="Arial" w:cs="Arial"/>
                <w:sz w:val="16"/>
                <w:szCs w:val="16"/>
                <w:lang w:eastAsia="en-AU"/>
              </w:rPr>
              <w:t>Cycles with OPU</w:t>
            </w:r>
            <w:r w:rsidRPr="00147056">
              <w:rPr>
                <w:rFonts w:ascii="Arial" w:eastAsia="Times New Roman" w:hAnsi="Arial" w:cs="Arial"/>
                <w:sz w:val="16"/>
                <w:szCs w:val="16"/>
                <w:vertAlign w:val="superscript"/>
                <w:lang w:eastAsia="en-AU"/>
              </w:rPr>
              <w:t>(b)</w:t>
            </w:r>
          </w:p>
        </w:tc>
        <w:tc>
          <w:tcPr>
            <w:tcW w:w="563" w:type="pct"/>
            <w:vAlign w:val="center"/>
            <w:hideMark/>
          </w:tcPr>
          <w:p w14:paraId="0DCC9FB6" w14:textId="746DBF62"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3,488</w:t>
            </w:r>
          </w:p>
        </w:tc>
        <w:tc>
          <w:tcPr>
            <w:tcW w:w="563" w:type="pct"/>
            <w:vAlign w:val="center"/>
            <w:hideMark/>
          </w:tcPr>
          <w:p w14:paraId="7E17C2A9" w14:textId="7DD303A7"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3,502</w:t>
            </w:r>
          </w:p>
        </w:tc>
        <w:tc>
          <w:tcPr>
            <w:tcW w:w="563" w:type="pct"/>
            <w:vAlign w:val="center"/>
            <w:hideMark/>
          </w:tcPr>
          <w:p w14:paraId="7093BA6A" w14:textId="6A5A0D47"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3,537</w:t>
            </w:r>
          </w:p>
        </w:tc>
        <w:tc>
          <w:tcPr>
            <w:tcW w:w="563" w:type="pct"/>
            <w:vAlign w:val="bottom"/>
            <w:hideMark/>
          </w:tcPr>
          <w:p w14:paraId="6E63596F" w14:textId="1F324EE5"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3,882</w:t>
            </w:r>
          </w:p>
        </w:tc>
        <w:tc>
          <w:tcPr>
            <w:tcW w:w="563" w:type="pct"/>
            <w:vAlign w:val="center"/>
          </w:tcPr>
          <w:p w14:paraId="0C2196B7" w14:textId="177D6D98" w:rsidR="008144A6" w:rsidRPr="00147056" w:rsidRDefault="008144A6" w:rsidP="008144A6">
            <w:pPr>
              <w:spacing w:after="0" w:line="276" w:lineRule="auto"/>
              <w:jc w:val="right"/>
              <w:rPr>
                <w:rFonts w:ascii="Arial" w:hAnsi="Arial" w:cs="Arial"/>
                <w:sz w:val="16"/>
                <w:szCs w:val="16"/>
              </w:rPr>
            </w:pPr>
            <w:r>
              <w:rPr>
                <w:rFonts w:ascii="Arial" w:hAnsi="Arial" w:cs="Arial"/>
                <w:color w:val="000000"/>
                <w:sz w:val="16"/>
                <w:szCs w:val="16"/>
              </w:rPr>
              <w:t>4,090</w:t>
            </w:r>
          </w:p>
        </w:tc>
      </w:tr>
      <w:tr w:rsidR="008144A6" w:rsidRPr="00147056" w14:paraId="611961AA" w14:textId="7F9F994F" w:rsidTr="008144A6">
        <w:trPr>
          <w:trHeight w:val="227"/>
        </w:trPr>
        <w:tc>
          <w:tcPr>
            <w:tcW w:w="2185" w:type="pct"/>
            <w:vAlign w:val="center"/>
          </w:tcPr>
          <w:p w14:paraId="611CF72A" w14:textId="6A51E8EA" w:rsidR="008144A6" w:rsidRPr="00BD3E20" w:rsidRDefault="008144A6" w:rsidP="008144A6">
            <w:pPr>
              <w:spacing w:after="0" w:line="276" w:lineRule="auto"/>
              <w:rPr>
                <w:rFonts w:ascii="Arial" w:eastAsia="Times New Roman" w:hAnsi="Arial" w:cs="Arial"/>
                <w:sz w:val="16"/>
                <w:szCs w:val="16"/>
                <w:lang w:eastAsia="en-AU"/>
              </w:rPr>
            </w:pPr>
            <w:r w:rsidRPr="00BD3E20">
              <w:rPr>
                <w:rFonts w:ascii="Arial" w:hAnsi="Arial" w:cs="Arial"/>
                <w:sz w:val="16"/>
                <w:szCs w:val="16"/>
              </w:rPr>
              <w:t>Freeze-all</w:t>
            </w:r>
          </w:p>
        </w:tc>
        <w:tc>
          <w:tcPr>
            <w:tcW w:w="563" w:type="pct"/>
            <w:vAlign w:val="center"/>
          </w:tcPr>
          <w:p w14:paraId="366D704B" w14:textId="4DA558BA" w:rsidR="008144A6" w:rsidRPr="00BD3E20"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986</w:t>
            </w:r>
          </w:p>
        </w:tc>
        <w:tc>
          <w:tcPr>
            <w:tcW w:w="563" w:type="pct"/>
            <w:vAlign w:val="center"/>
          </w:tcPr>
          <w:p w14:paraId="1F79C810" w14:textId="3666EC76" w:rsidR="008144A6" w:rsidRPr="00BD3E20"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1,213</w:t>
            </w:r>
          </w:p>
        </w:tc>
        <w:tc>
          <w:tcPr>
            <w:tcW w:w="563" w:type="pct"/>
            <w:vAlign w:val="center"/>
          </w:tcPr>
          <w:p w14:paraId="1DFCC6FC" w14:textId="44D98128" w:rsidR="008144A6" w:rsidRPr="00BD3E20"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1,327</w:t>
            </w:r>
          </w:p>
        </w:tc>
        <w:tc>
          <w:tcPr>
            <w:tcW w:w="563" w:type="pct"/>
            <w:vAlign w:val="bottom"/>
          </w:tcPr>
          <w:p w14:paraId="056A7BBB" w14:textId="219351D4" w:rsidR="008144A6" w:rsidRPr="00BD3E20" w:rsidRDefault="008144A6" w:rsidP="008144A6">
            <w:pPr>
              <w:spacing w:after="0" w:line="276" w:lineRule="auto"/>
              <w:jc w:val="right"/>
              <w:rPr>
                <w:rFonts w:ascii="Arial" w:hAnsi="Arial" w:cs="Arial"/>
                <w:sz w:val="16"/>
                <w:szCs w:val="16"/>
              </w:rPr>
            </w:pPr>
            <w:r>
              <w:rPr>
                <w:rFonts w:ascii="Arial" w:hAnsi="Arial" w:cs="Arial"/>
                <w:color w:val="000000"/>
                <w:sz w:val="16"/>
                <w:szCs w:val="16"/>
              </w:rPr>
              <w:t>1,687</w:t>
            </w:r>
          </w:p>
        </w:tc>
        <w:tc>
          <w:tcPr>
            <w:tcW w:w="563" w:type="pct"/>
            <w:vAlign w:val="center"/>
          </w:tcPr>
          <w:p w14:paraId="28C959B2" w14:textId="1B030F5A" w:rsidR="008144A6" w:rsidRDefault="008144A6" w:rsidP="008144A6">
            <w:pPr>
              <w:spacing w:after="0" w:line="276" w:lineRule="auto"/>
              <w:jc w:val="right"/>
              <w:rPr>
                <w:rFonts w:ascii="Arial" w:hAnsi="Arial" w:cs="Arial"/>
                <w:sz w:val="16"/>
                <w:szCs w:val="16"/>
              </w:rPr>
            </w:pPr>
            <w:r>
              <w:rPr>
                <w:rFonts w:ascii="Arial" w:hAnsi="Arial" w:cs="Arial"/>
                <w:color w:val="000000"/>
                <w:sz w:val="16"/>
                <w:szCs w:val="16"/>
              </w:rPr>
              <w:t>1,945</w:t>
            </w:r>
          </w:p>
        </w:tc>
      </w:tr>
      <w:tr w:rsidR="008144A6" w:rsidRPr="00147056" w14:paraId="4CCAAC76" w14:textId="4F82CE04" w:rsidTr="008144A6">
        <w:trPr>
          <w:trHeight w:val="227"/>
        </w:trPr>
        <w:tc>
          <w:tcPr>
            <w:tcW w:w="2185" w:type="pct"/>
            <w:vAlign w:val="center"/>
            <w:hideMark/>
          </w:tcPr>
          <w:p w14:paraId="44C3DD84" w14:textId="77777777" w:rsidR="008144A6" w:rsidRPr="00147056" w:rsidRDefault="008144A6" w:rsidP="008144A6">
            <w:pPr>
              <w:spacing w:after="0" w:line="276" w:lineRule="auto"/>
              <w:rPr>
                <w:rFonts w:ascii="Arial" w:eastAsia="Times New Roman" w:hAnsi="Arial" w:cs="Arial"/>
                <w:sz w:val="16"/>
                <w:szCs w:val="16"/>
                <w:lang w:eastAsia="en-AU"/>
              </w:rPr>
            </w:pPr>
            <w:r w:rsidRPr="00147056">
              <w:rPr>
                <w:rFonts w:ascii="Arial" w:eastAsia="Times New Roman" w:hAnsi="Arial" w:cs="Arial"/>
                <w:sz w:val="16"/>
                <w:szCs w:val="16"/>
                <w:lang w:eastAsia="en-AU"/>
              </w:rPr>
              <w:t xml:space="preserve">Embryo transfers </w:t>
            </w:r>
          </w:p>
        </w:tc>
        <w:tc>
          <w:tcPr>
            <w:tcW w:w="563" w:type="pct"/>
            <w:vAlign w:val="center"/>
            <w:hideMark/>
          </w:tcPr>
          <w:p w14:paraId="4A1F30EF" w14:textId="26071C7C"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5,055</w:t>
            </w:r>
          </w:p>
        </w:tc>
        <w:tc>
          <w:tcPr>
            <w:tcW w:w="563" w:type="pct"/>
            <w:vAlign w:val="center"/>
            <w:hideMark/>
          </w:tcPr>
          <w:p w14:paraId="29A51904" w14:textId="1E00F5B8"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5,416</w:t>
            </w:r>
          </w:p>
        </w:tc>
        <w:tc>
          <w:tcPr>
            <w:tcW w:w="563" w:type="pct"/>
            <w:vAlign w:val="center"/>
            <w:hideMark/>
          </w:tcPr>
          <w:p w14:paraId="3DBD8046" w14:textId="034C949E"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5,457</w:t>
            </w:r>
          </w:p>
        </w:tc>
        <w:tc>
          <w:tcPr>
            <w:tcW w:w="563" w:type="pct"/>
            <w:vAlign w:val="bottom"/>
            <w:hideMark/>
          </w:tcPr>
          <w:p w14:paraId="29EEE4C2" w14:textId="6AFAEC2F"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5,852</w:t>
            </w:r>
          </w:p>
        </w:tc>
        <w:tc>
          <w:tcPr>
            <w:tcW w:w="563" w:type="pct"/>
            <w:vAlign w:val="center"/>
          </w:tcPr>
          <w:p w14:paraId="68264CD0" w14:textId="035DF08D" w:rsidR="008144A6" w:rsidRPr="00147056" w:rsidRDefault="008144A6" w:rsidP="008144A6">
            <w:pPr>
              <w:spacing w:after="0" w:line="276" w:lineRule="auto"/>
              <w:jc w:val="right"/>
              <w:rPr>
                <w:rFonts w:ascii="Arial" w:hAnsi="Arial" w:cs="Arial"/>
                <w:sz w:val="16"/>
                <w:szCs w:val="16"/>
              </w:rPr>
            </w:pPr>
            <w:r>
              <w:rPr>
                <w:rFonts w:ascii="Arial" w:hAnsi="Arial" w:cs="Arial"/>
                <w:color w:val="000000"/>
                <w:sz w:val="16"/>
                <w:szCs w:val="16"/>
              </w:rPr>
              <w:t>6,065</w:t>
            </w:r>
          </w:p>
        </w:tc>
      </w:tr>
      <w:tr w:rsidR="008144A6" w:rsidRPr="00147056" w14:paraId="2630F26E" w14:textId="205DADD8" w:rsidTr="008144A6">
        <w:trPr>
          <w:trHeight w:val="227"/>
        </w:trPr>
        <w:tc>
          <w:tcPr>
            <w:tcW w:w="2185" w:type="pct"/>
            <w:vAlign w:val="center"/>
            <w:hideMark/>
          </w:tcPr>
          <w:p w14:paraId="1646F75F" w14:textId="77777777" w:rsidR="008144A6" w:rsidRPr="00147056" w:rsidRDefault="008144A6" w:rsidP="008144A6">
            <w:pPr>
              <w:spacing w:after="0" w:line="276" w:lineRule="auto"/>
              <w:rPr>
                <w:rFonts w:ascii="Arial" w:eastAsia="Times New Roman" w:hAnsi="Arial" w:cs="Arial"/>
                <w:sz w:val="16"/>
                <w:szCs w:val="16"/>
                <w:lang w:eastAsia="en-AU"/>
              </w:rPr>
            </w:pPr>
            <w:r w:rsidRPr="00147056">
              <w:rPr>
                <w:rFonts w:ascii="Arial" w:eastAsia="Times New Roman" w:hAnsi="Arial" w:cs="Arial"/>
                <w:sz w:val="16"/>
                <w:szCs w:val="16"/>
                <w:lang w:eastAsia="en-AU"/>
              </w:rPr>
              <w:t xml:space="preserve">Clinical pregnancies </w:t>
            </w:r>
          </w:p>
        </w:tc>
        <w:tc>
          <w:tcPr>
            <w:tcW w:w="563" w:type="pct"/>
            <w:vAlign w:val="center"/>
            <w:hideMark/>
          </w:tcPr>
          <w:p w14:paraId="21263F74" w14:textId="3BBFBD4E"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2,060</w:t>
            </w:r>
          </w:p>
        </w:tc>
        <w:tc>
          <w:tcPr>
            <w:tcW w:w="563" w:type="pct"/>
            <w:vAlign w:val="center"/>
            <w:hideMark/>
          </w:tcPr>
          <w:p w14:paraId="535CF70B" w14:textId="123ABAC6"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2,194</w:t>
            </w:r>
          </w:p>
        </w:tc>
        <w:tc>
          <w:tcPr>
            <w:tcW w:w="563" w:type="pct"/>
            <w:vAlign w:val="center"/>
            <w:hideMark/>
          </w:tcPr>
          <w:p w14:paraId="307E39CA" w14:textId="35A14D9A"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2,276</w:t>
            </w:r>
          </w:p>
        </w:tc>
        <w:tc>
          <w:tcPr>
            <w:tcW w:w="563" w:type="pct"/>
            <w:vAlign w:val="bottom"/>
            <w:hideMark/>
          </w:tcPr>
          <w:p w14:paraId="757BB739" w14:textId="6CD9AD3F"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2,460</w:t>
            </w:r>
          </w:p>
        </w:tc>
        <w:tc>
          <w:tcPr>
            <w:tcW w:w="563" w:type="pct"/>
            <w:vAlign w:val="center"/>
          </w:tcPr>
          <w:p w14:paraId="44E2E89F" w14:textId="0B0356E4" w:rsidR="008144A6" w:rsidRPr="00147056" w:rsidRDefault="008144A6" w:rsidP="008144A6">
            <w:pPr>
              <w:spacing w:after="0" w:line="276" w:lineRule="auto"/>
              <w:jc w:val="right"/>
              <w:rPr>
                <w:rFonts w:ascii="Arial" w:hAnsi="Arial" w:cs="Arial"/>
                <w:sz w:val="16"/>
                <w:szCs w:val="16"/>
              </w:rPr>
            </w:pPr>
            <w:r>
              <w:rPr>
                <w:rFonts w:ascii="Arial" w:hAnsi="Arial" w:cs="Arial"/>
                <w:color w:val="000000"/>
                <w:sz w:val="16"/>
                <w:szCs w:val="16"/>
              </w:rPr>
              <w:t>2,553</w:t>
            </w:r>
          </w:p>
        </w:tc>
      </w:tr>
      <w:tr w:rsidR="008144A6" w:rsidRPr="00147056" w14:paraId="24BE00DF" w14:textId="5002FB98" w:rsidTr="008144A6">
        <w:trPr>
          <w:trHeight w:val="227"/>
        </w:trPr>
        <w:tc>
          <w:tcPr>
            <w:tcW w:w="2185" w:type="pct"/>
            <w:vAlign w:val="center"/>
            <w:hideMark/>
          </w:tcPr>
          <w:p w14:paraId="3ED12F04" w14:textId="6B207592" w:rsidR="008144A6" w:rsidRPr="00147056" w:rsidRDefault="008144A6" w:rsidP="008144A6">
            <w:pPr>
              <w:spacing w:after="0" w:line="276" w:lineRule="auto"/>
              <w:rPr>
                <w:rFonts w:ascii="Arial" w:eastAsia="Times New Roman" w:hAnsi="Arial" w:cs="Arial"/>
                <w:sz w:val="16"/>
                <w:szCs w:val="16"/>
                <w:lang w:eastAsia="en-AU"/>
              </w:rPr>
            </w:pPr>
            <w:r w:rsidRPr="00147056">
              <w:rPr>
                <w:rFonts w:ascii="Arial" w:eastAsia="Times New Roman" w:hAnsi="Arial" w:cs="Arial"/>
                <w:sz w:val="16"/>
                <w:szCs w:val="16"/>
                <w:lang w:eastAsia="en-AU"/>
              </w:rPr>
              <w:t xml:space="preserve">Live </w:t>
            </w:r>
            <w:r>
              <w:rPr>
                <w:rFonts w:ascii="Arial" w:eastAsia="Times New Roman" w:hAnsi="Arial" w:cs="Arial"/>
                <w:sz w:val="16"/>
                <w:szCs w:val="16"/>
                <w:lang w:eastAsia="en-AU"/>
              </w:rPr>
              <w:t>births</w:t>
            </w:r>
            <w:r w:rsidRPr="00147056">
              <w:rPr>
                <w:rFonts w:ascii="Arial" w:eastAsia="Times New Roman" w:hAnsi="Arial" w:cs="Arial"/>
                <w:sz w:val="16"/>
                <w:szCs w:val="16"/>
                <w:lang w:eastAsia="en-AU"/>
              </w:rPr>
              <w:t xml:space="preserve"> </w:t>
            </w:r>
          </w:p>
        </w:tc>
        <w:tc>
          <w:tcPr>
            <w:tcW w:w="563" w:type="pct"/>
            <w:vAlign w:val="center"/>
            <w:hideMark/>
          </w:tcPr>
          <w:p w14:paraId="41905653" w14:textId="03AAFC9C"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1,625</w:t>
            </w:r>
          </w:p>
        </w:tc>
        <w:tc>
          <w:tcPr>
            <w:tcW w:w="563" w:type="pct"/>
            <w:vAlign w:val="center"/>
            <w:hideMark/>
          </w:tcPr>
          <w:p w14:paraId="594C7542" w14:textId="72A86C87"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1,755</w:t>
            </w:r>
          </w:p>
        </w:tc>
        <w:tc>
          <w:tcPr>
            <w:tcW w:w="563" w:type="pct"/>
            <w:vAlign w:val="center"/>
            <w:hideMark/>
          </w:tcPr>
          <w:p w14:paraId="653B4D46" w14:textId="540F1E39"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1,729</w:t>
            </w:r>
          </w:p>
        </w:tc>
        <w:tc>
          <w:tcPr>
            <w:tcW w:w="563" w:type="pct"/>
            <w:vAlign w:val="bottom"/>
            <w:hideMark/>
          </w:tcPr>
          <w:p w14:paraId="2F1070A4" w14:textId="2B253EA0" w:rsidR="008144A6" w:rsidRPr="00147056" w:rsidRDefault="008144A6" w:rsidP="008144A6">
            <w:pPr>
              <w:spacing w:after="0" w:line="276" w:lineRule="auto"/>
              <w:jc w:val="right"/>
              <w:rPr>
                <w:rFonts w:ascii="Arial" w:eastAsia="Times New Roman" w:hAnsi="Arial" w:cs="Arial"/>
                <w:sz w:val="16"/>
                <w:szCs w:val="16"/>
                <w:lang w:eastAsia="en-AU"/>
              </w:rPr>
            </w:pPr>
            <w:r>
              <w:rPr>
                <w:rFonts w:ascii="Arial" w:hAnsi="Arial" w:cs="Arial"/>
                <w:color w:val="000000"/>
                <w:sz w:val="16"/>
                <w:szCs w:val="16"/>
              </w:rPr>
              <w:t>1,987</w:t>
            </w:r>
          </w:p>
        </w:tc>
        <w:tc>
          <w:tcPr>
            <w:tcW w:w="563" w:type="pct"/>
            <w:vAlign w:val="center"/>
          </w:tcPr>
          <w:p w14:paraId="1D7ADC46" w14:textId="38F88DF0" w:rsidR="008144A6" w:rsidRPr="00147056" w:rsidRDefault="008144A6" w:rsidP="008144A6">
            <w:pPr>
              <w:spacing w:after="0" w:line="276" w:lineRule="auto"/>
              <w:jc w:val="right"/>
              <w:rPr>
                <w:rFonts w:ascii="Arial" w:hAnsi="Arial" w:cs="Arial"/>
                <w:sz w:val="16"/>
                <w:szCs w:val="16"/>
              </w:rPr>
            </w:pPr>
            <w:r>
              <w:rPr>
                <w:rFonts w:ascii="Arial" w:hAnsi="Arial" w:cs="Arial"/>
                <w:color w:val="000000"/>
                <w:sz w:val="16"/>
                <w:szCs w:val="16"/>
              </w:rPr>
              <w:t>2,021</w:t>
            </w:r>
          </w:p>
        </w:tc>
      </w:tr>
      <w:tr w:rsidR="008144A6" w:rsidRPr="00147056" w14:paraId="7824A974" w14:textId="0D612C0B" w:rsidTr="008144A6">
        <w:trPr>
          <w:trHeight w:val="227"/>
        </w:trPr>
        <w:tc>
          <w:tcPr>
            <w:tcW w:w="2185" w:type="pct"/>
            <w:vAlign w:val="center"/>
            <w:hideMark/>
          </w:tcPr>
          <w:p w14:paraId="694BB350" w14:textId="77777777" w:rsidR="008144A6" w:rsidRPr="00147056" w:rsidRDefault="008144A6" w:rsidP="008144A6">
            <w:pPr>
              <w:spacing w:after="0" w:line="276" w:lineRule="auto"/>
              <w:rPr>
                <w:rFonts w:ascii="Arial" w:eastAsia="Times New Roman" w:hAnsi="Arial" w:cs="Arial"/>
                <w:i/>
                <w:sz w:val="16"/>
                <w:szCs w:val="16"/>
                <w:lang w:eastAsia="en-AU"/>
              </w:rPr>
            </w:pPr>
            <w:r w:rsidRPr="00147056">
              <w:rPr>
                <w:rFonts w:ascii="Arial" w:eastAsia="Times New Roman" w:hAnsi="Arial" w:cs="Arial"/>
                <w:i/>
                <w:sz w:val="16"/>
                <w:szCs w:val="16"/>
                <w:lang w:eastAsia="en-AU"/>
              </w:rPr>
              <w:t xml:space="preserve">Clinical pregnancies per initiated cycle (%) </w:t>
            </w:r>
          </w:p>
        </w:tc>
        <w:tc>
          <w:tcPr>
            <w:tcW w:w="563" w:type="pct"/>
            <w:vAlign w:val="center"/>
            <w:hideMark/>
          </w:tcPr>
          <w:p w14:paraId="45217872" w14:textId="0E9D9947" w:rsidR="008144A6" w:rsidRPr="00147056"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28.3</w:t>
            </w:r>
          </w:p>
        </w:tc>
        <w:tc>
          <w:tcPr>
            <w:tcW w:w="563" w:type="pct"/>
            <w:vAlign w:val="center"/>
            <w:hideMark/>
          </w:tcPr>
          <w:p w14:paraId="30167C04" w14:textId="6624EE1B" w:rsidR="008144A6" w:rsidRPr="00147056"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28.4</w:t>
            </w:r>
          </w:p>
        </w:tc>
        <w:tc>
          <w:tcPr>
            <w:tcW w:w="563" w:type="pct"/>
            <w:vAlign w:val="center"/>
            <w:hideMark/>
          </w:tcPr>
          <w:p w14:paraId="69A06DAF" w14:textId="7C12946E" w:rsidR="008144A6" w:rsidRPr="00147056"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sz w:val="16"/>
                <w:szCs w:val="16"/>
              </w:rPr>
              <w:t>28.9</w:t>
            </w:r>
          </w:p>
        </w:tc>
        <w:tc>
          <w:tcPr>
            <w:tcW w:w="563" w:type="pct"/>
            <w:vAlign w:val="bottom"/>
            <w:hideMark/>
          </w:tcPr>
          <w:p w14:paraId="4A9CB04F" w14:textId="609019A9" w:rsidR="008144A6" w:rsidRPr="00330923"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sz w:val="16"/>
                <w:szCs w:val="16"/>
              </w:rPr>
              <w:t>29.3</w:t>
            </w:r>
          </w:p>
        </w:tc>
        <w:tc>
          <w:tcPr>
            <w:tcW w:w="563" w:type="pct"/>
            <w:vAlign w:val="center"/>
          </w:tcPr>
          <w:p w14:paraId="63E367D4" w14:textId="254F6B69" w:rsidR="008144A6" w:rsidRPr="00330923" w:rsidRDefault="008144A6" w:rsidP="008144A6">
            <w:pPr>
              <w:spacing w:after="0" w:line="276" w:lineRule="auto"/>
              <w:jc w:val="right"/>
              <w:rPr>
                <w:rFonts w:ascii="Arial" w:hAnsi="Arial" w:cs="Arial"/>
                <w:i/>
                <w:sz w:val="16"/>
                <w:szCs w:val="16"/>
              </w:rPr>
            </w:pPr>
            <w:r>
              <w:rPr>
                <w:rFonts w:ascii="Arial" w:hAnsi="Arial" w:cs="Arial"/>
                <w:i/>
                <w:iCs/>
                <w:sz w:val="16"/>
                <w:szCs w:val="16"/>
              </w:rPr>
              <w:t>28.8</w:t>
            </w:r>
          </w:p>
        </w:tc>
      </w:tr>
      <w:tr w:rsidR="008144A6" w:rsidRPr="00147056" w14:paraId="0E2B937C" w14:textId="261314F2" w:rsidTr="008144A6">
        <w:trPr>
          <w:trHeight w:val="227"/>
        </w:trPr>
        <w:tc>
          <w:tcPr>
            <w:tcW w:w="2185" w:type="pct"/>
            <w:vAlign w:val="center"/>
            <w:hideMark/>
          </w:tcPr>
          <w:p w14:paraId="3185B06B" w14:textId="77777777" w:rsidR="008144A6" w:rsidRPr="00147056" w:rsidRDefault="008144A6" w:rsidP="008144A6">
            <w:pPr>
              <w:spacing w:after="0" w:line="276" w:lineRule="auto"/>
              <w:rPr>
                <w:rFonts w:ascii="Arial" w:eastAsia="Times New Roman" w:hAnsi="Arial" w:cs="Arial"/>
                <w:i/>
                <w:sz w:val="16"/>
                <w:szCs w:val="16"/>
                <w:lang w:eastAsia="en-AU"/>
              </w:rPr>
            </w:pPr>
            <w:r w:rsidRPr="00147056">
              <w:rPr>
                <w:rFonts w:ascii="Arial" w:eastAsia="Times New Roman" w:hAnsi="Arial" w:cs="Arial"/>
                <w:i/>
                <w:sz w:val="16"/>
                <w:szCs w:val="16"/>
                <w:lang w:eastAsia="en-AU"/>
              </w:rPr>
              <w:t xml:space="preserve">Clinical pregnancies per embryo transfer (%) </w:t>
            </w:r>
          </w:p>
        </w:tc>
        <w:tc>
          <w:tcPr>
            <w:tcW w:w="563" w:type="pct"/>
            <w:vAlign w:val="center"/>
            <w:hideMark/>
          </w:tcPr>
          <w:p w14:paraId="1E8A564C" w14:textId="7DC4C342" w:rsidR="008144A6" w:rsidRPr="00147056"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40.8</w:t>
            </w:r>
          </w:p>
        </w:tc>
        <w:tc>
          <w:tcPr>
            <w:tcW w:w="563" w:type="pct"/>
            <w:vAlign w:val="center"/>
            <w:hideMark/>
          </w:tcPr>
          <w:p w14:paraId="3C1D6C2A" w14:textId="57B97094" w:rsidR="008144A6" w:rsidRPr="00147056"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40.5</w:t>
            </w:r>
          </w:p>
        </w:tc>
        <w:tc>
          <w:tcPr>
            <w:tcW w:w="563" w:type="pct"/>
            <w:vAlign w:val="center"/>
            <w:hideMark/>
          </w:tcPr>
          <w:p w14:paraId="4FCB56D5" w14:textId="0489576B" w:rsidR="008144A6" w:rsidRPr="00147056"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sz w:val="16"/>
                <w:szCs w:val="16"/>
              </w:rPr>
              <w:t>41.7</w:t>
            </w:r>
          </w:p>
        </w:tc>
        <w:tc>
          <w:tcPr>
            <w:tcW w:w="563" w:type="pct"/>
            <w:vAlign w:val="bottom"/>
            <w:hideMark/>
          </w:tcPr>
          <w:p w14:paraId="46CEFF79" w14:textId="1865BBA7" w:rsidR="008144A6" w:rsidRPr="00330923"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sz w:val="16"/>
                <w:szCs w:val="16"/>
              </w:rPr>
              <w:t>42.0</w:t>
            </w:r>
          </w:p>
        </w:tc>
        <w:tc>
          <w:tcPr>
            <w:tcW w:w="563" w:type="pct"/>
            <w:vAlign w:val="center"/>
          </w:tcPr>
          <w:p w14:paraId="45175517" w14:textId="74494203" w:rsidR="008144A6" w:rsidRPr="00330923" w:rsidRDefault="008144A6" w:rsidP="008144A6">
            <w:pPr>
              <w:spacing w:after="0" w:line="276" w:lineRule="auto"/>
              <w:jc w:val="right"/>
              <w:rPr>
                <w:rFonts w:ascii="Arial" w:hAnsi="Arial" w:cs="Arial"/>
                <w:i/>
                <w:sz w:val="16"/>
                <w:szCs w:val="16"/>
              </w:rPr>
            </w:pPr>
            <w:r>
              <w:rPr>
                <w:rFonts w:ascii="Arial" w:hAnsi="Arial" w:cs="Arial"/>
                <w:i/>
                <w:iCs/>
                <w:sz w:val="16"/>
                <w:szCs w:val="16"/>
              </w:rPr>
              <w:t>42.1</w:t>
            </w:r>
          </w:p>
        </w:tc>
      </w:tr>
      <w:tr w:rsidR="008144A6" w:rsidRPr="00147056" w14:paraId="454628C0" w14:textId="2B2830A5" w:rsidTr="008144A6">
        <w:trPr>
          <w:trHeight w:val="227"/>
        </w:trPr>
        <w:tc>
          <w:tcPr>
            <w:tcW w:w="2185" w:type="pct"/>
            <w:vAlign w:val="center"/>
            <w:hideMark/>
          </w:tcPr>
          <w:p w14:paraId="38C5BD4F" w14:textId="01DC7816" w:rsidR="008144A6" w:rsidRPr="00147056" w:rsidRDefault="008144A6" w:rsidP="008144A6">
            <w:pPr>
              <w:spacing w:after="0" w:line="276" w:lineRule="auto"/>
              <w:rPr>
                <w:rFonts w:ascii="Arial" w:eastAsia="Times New Roman" w:hAnsi="Arial" w:cs="Arial"/>
                <w:i/>
                <w:sz w:val="16"/>
                <w:szCs w:val="16"/>
                <w:lang w:eastAsia="en-AU"/>
              </w:rPr>
            </w:pPr>
            <w:r w:rsidRPr="00147056">
              <w:rPr>
                <w:rFonts w:ascii="Arial" w:eastAsia="Times New Roman" w:hAnsi="Arial" w:cs="Arial"/>
                <w:i/>
                <w:sz w:val="16"/>
                <w:szCs w:val="16"/>
                <w:lang w:eastAsia="en-AU"/>
              </w:rPr>
              <w:t xml:space="preserve">Live </w:t>
            </w:r>
            <w:r>
              <w:rPr>
                <w:rFonts w:ascii="Arial" w:eastAsia="Times New Roman" w:hAnsi="Arial" w:cs="Arial"/>
                <w:i/>
                <w:sz w:val="16"/>
                <w:szCs w:val="16"/>
                <w:lang w:eastAsia="en-AU"/>
              </w:rPr>
              <w:t>births</w:t>
            </w:r>
            <w:r w:rsidRPr="00147056">
              <w:rPr>
                <w:rFonts w:ascii="Arial" w:eastAsia="Times New Roman" w:hAnsi="Arial" w:cs="Arial"/>
                <w:i/>
                <w:sz w:val="16"/>
                <w:szCs w:val="16"/>
                <w:lang w:eastAsia="en-AU"/>
              </w:rPr>
              <w:t xml:space="preserve"> per initiated cycle (%) </w:t>
            </w:r>
          </w:p>
        </w:tc>
        <w:tc>
          <w:tcPr>
            <w:tcW w:w="563" w:type="pct"/>
            <w:vAlign w:val="center"/>
            <w:hideMark/>
          </w:tcPr>
          <w:p w14:paraId="313766F8" w14:textId="5A952390" w:rsidR="008144A6" w:rsidRPr="00147056"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22.3</w:t>
            </w:r>
          </w:p>
        </w:tc>
        <w:tc>
          <w:tcPr>
            <w:tcW w:w="563" w:type="pct"/>
            <w:vAlign w:val="center"/>
            <w:hideMark/>
          </w:tcPr>
          <w:p w14:paraId="3575FE87" w14:textId="6C29B018" w:rsidR="008144A6" w:rsidRPr="00147056"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22.7</w:t>
            </w:r>
          </w:p>
        </w:tc>
        <w:tc>
          <w:tcPr>
            <w:tcW w:w="563" w:type="pct"/>
            <w:vAlign w:val="center"/>
            <w:hideMark/>
          </w:tcPr>
          <w:p w14:paraId="0AB250FF" w14:textId="68CEEA5C" w:rsidR="008144A6" w:rsidRPr="00147056"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sz w:val="16"/>
                <w:szCs w:val="16"/>
              </w:rPr>
              <w:t>21.9</w:t>
            </w:r>
          </w:p>
        </w:tc>
        <w:tc>
          <w:tcPr>
            <w:tcW w:w="563" w:type="pct"/>
            <w:vAlign w:val="bottom"/>
            <w:hideMark/>
          </w:tcPr>
          <w:p w14:paraId="75D9F2D7" w14:textId="1015F480" w:rsidR="008144A6" w:rsidRPr="00330923"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sz w:val="16"/>
                <w:szCs w:val="16"/>
              </w:rPr>
              <w:t>23.7</w:t>
            </w:r>
          </w:p>
        </w:tc>
        <w:tc>
          <w:tcPr>
            <w:tcW w:w="563" w:type="pct"/>
            <w:vAlign w:val="center"/>
          </w:tcPr>
          <w:p w14:paraId="3FDEE2E3" w14:textId="0B40D68E" w:rsidR="008144A6" w:rsidRPr="00330923" w:rsidRDefault="008144A6" w:rsidP="008144A6">
            <w:pPr>
              <w:spacing w:after="0" w:line="276" w:lineRule="auto"/>
              <w:jc w:val="right"/>
              <w:rPr>
                <w:rFonts w:ascii="Arial" w:hAnsi="Arial" w:cs="Arial"/>
                <w:i/>
                <w:sz w:val="16"/>
                <w:szCs w:val="16"/>
              </w:rPr>
            </w:pPr>
            <w:r>
              <w:rPr>
                <w:rFonts w:ascii="Arial" w:hAnsi="Arial" w:cs="Arial"/>
                <w:i/>
                <w:iCs/>
                <w:sz w:val="16"/>
                <w:szCs w:val="16"/>
              </w:rPr>
              <w:t>22.8</w:t>
            </w:r>
          </w:p>
        </w:tc>
      </w:tr>
      <w:tr w:rsidR="008144A6" w:rsidRPr="00147056" w14:paraId="7A9D9277" w14:textId="64B2FA1A" w:rsidTr="008144A6">
        <w:trPr>
          <w:trHeight w:val="227"/>
        </w:trPr>
        <w:tc>
          <w:tcPr>
            <w:tcW w:w="2185" w:type="pct"/>
            <w:vAlign w:val="center"/>
          </w:tcPr>
          <w:p w14:paraId="074818D8" w14:textId="109A9DDE" w:rsidR="008144A6" w:rsidRPr="00BD3E20" w:rsidRDefault="008144A6" w:rsidP="008144A6">
            <w:pPr>
              <w:spacing w:after="0" w:line="276" w:lineRule="auto"/>
              <w:rPr>
                <w:rFonts w:ascii="Arial" w:eastAsia="Times New Roman" w:hAnsi="Arial" w:cs="Arial"/>
                <w:i/>
                <w:sz w:val="16"/>
                <w:szCs w:val="16"/>
                <w:lang w:eastAsia="en-AU"/>
              </w:rPr>
            </w:pPr>
            <w:r w:rsidRPr="00BD3E20">
              <w:rPr>
                <w:rFonts w:ascii="Arial" w:eastAsia="Times New Roman" w:hAnsi="Arial" w:cs="Arial"/>
                <w:i/>
                <w:sz w:val="16"/>
                <w:szCs w:val="16"/>
                <w:lang w:eastAsia="en-AU"/>
              </w:rPr>
              <w:t xml:space="preserve">Live </w:t>
            </w:r>
            <w:r>
              <w:rPr>
                <w:rFonts w:ascii="Arial" w:eastAsia="Times New Roman" w:hAnsi="Arial" w:cs="Arial"/>
                <w:i/>
                <w:sz w:val="16"/>
                <w:szCs w:val="16"/>
                <w:lang w:eastAsia="en-AU"/>
              </w:rPr>
              <w:t>births</w:t>
            </w:r>
            <w:r w:rsidRPr="00BD3E20">
              <w:rPr>
                <w:rFonts w:ascii="Arial" w:eastAsia="Times New Roman" w:hAnsi="Arial" w:cs="Arial"/>
                <w:i/>
                <w:sz w:val="16"/>
                <w:szCs w:val="16"/>
                <w:lang w:eastAsia="en-AU"/>
              </w:rPr>
              <w:t xml:space="preserve"> per initiated </w:t>
            </w:r>
            <w:r>
              <w:rPr>
                <w:rFonts w:ascii="Arial" w:eastAsia="Times New Roman" w:hAnsi="Arial" w:cs="Arial"/>
                <w:i/>
                <w:sz w:val="16"/>
                <w:szCs w:val="16"/>
                <w:lang w:eastAsia="en-AU"/>
              </w:rPr>
              <w:t>cycle (excluding f</w:t>
            </w:r>
            <w:r w:rsidRPr="00BD3E20">
              <w:rPr>
                <w:rFonts w:ascii="Arial" w:eastAsia="Times New Roman" w:hAnsi="Arial" w:cs="Arial"/>
                <w:i/>
                <w:sz w:val="16"/>
                <w:szCs w:val="16"/>
                <w:lang w:eastAsia="en-AU"/>
              </w:rPr>
              <w:t>reeze-all</w:t>
            </w:r>
            <w:r w:rsidRPr="00147056">
              <w:rPr>
                <w:rFonts w:ascii="Arial" w:eastAsia="Times New Roman" w:hAnsi="Arial" w:cs="Arial"/>
                <w:sz w:val="16"/>
                <w:szCs w:val="16"/>
                <w:vertAlign w:val="superscript"/>
                <w:lang w:eastAsia="en-AU"/>
              </w:rPr>
              <w:t>(</w:t>
            </w:r>
            <w:r>
              <w:rPr>
                <w:rFonts w:ascii="Arial" w:eastAsia="Times New Roman" w:hAnsi="Arial" w:cs="Arial"/>
                <w:sz w:val="16"/>
                <w:szCs w:val="16"/>
                <w:vertAlign w:val="superscript"/>
                <w:lang w:eastAsia="en-AU"/>
              </w:rPr>
              <w:t>c</w:t>
            </w:r>
            <w:r w:rsidRPr="00147056">
              <w:rPr>
                <w:rFonts w:ascii="Arial" w:eastAsia="Times New Roman" w:hAnsi="Arial" w:cs="Arial"/>
                <w:sz w:val="16"/>
                <w:szCs w:val="16"/>
                <w:vertAlign w:val="superscript"/>
                <w:lang w:eastAsia="en-AU"/>
              </w:rPr>
              <w:t>)</w:t>
            </w:r>
            <w:r>
              <w:rPr>
                <w:rFonts w:ascii="Arial" w:eastAsia="Times New Roman" w:hAnsi="Arial" w:cs="Arial"/>
                <w:i/>
                <w:sz w:val="16"/>
                <w:szCs w:val="16"/>
                <w:lang w:eastAsia="en-AU"/>
              </w:rPr>
              <w:t xml:space="preserve">) </w:t>
            </w:r>
            <w:r w:rsidRPr="00BD3E20">
              <w:rPr>
                <w:rFonts w:ascii="Arial" w:eastAsia="Times New Roman" w:hAnsi="Arial" w:cs="Arial"/>
                <w:i/>
                <w:sz w:val="16"/>
                <w:szCs w:val="16"/>
                <w:lang w:eastAsia="en-AU"/>
              </w:rPr>
              <w:t>(%)</w:t>
            </w:r>
          </w:p>
        </w:tc>
        <w:tc>
          <w:tcPr>
            <w:tcW w:w="563" w:type="pct"/>
            <w:vAlign w:val="center"/>
          </w:tcPr>
          <w:p w14:paraId="03CB01B4" w14:textId="13CFB685" w:rsidR="008144A6" w:rsidRPr="00BD3E20"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25.8</w:t>
            </w:r>
          </w:p>
        </w:tc>
        <w:tc>
          <w:tcPr>
            <w:tcW w:w="563" w:type="pct"/>
            <w:vAlign w:val="center"/>
          </w:tcPr>
          <w:p w14:paraId="1E0D05F9" w14:textId="02595E27" w:rsidR="008144A6" w:rsidRPr="00BD3E20"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27.0</w:t>
            </w:r>
          </w:p>
        </w:tc>
        <w:tc>
          <w:tcPr>
            <w:tcW w:w="563" w:type="pct"/>
            <w:vAlign w:val="center"/>
          </w:tcPr>
          <w:p w14:paraId="74AAE20B" w14:textId="2354984D" w:rsidR="008144A6" w:rsidRPr="00BD3E20"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sz w:val="16"/>
                <w:szCs w:val="16"/>
              </w:rPr>
              <w:t>26.4</w:t>
            </w:r>
          </w:p>
        </w:tc>
        <w:tc>
          <w:tcPr>
            <w:tcW w:w="563" w:type="pct"/>
            <w:vAlign w:val="center"/>
          </w:tcPr>
          <w:p w14:paraId="5AAEAFDD" w14:textId="2AD35272" w:rsidR="008144A6" w:rsidRPr="00330923" w:rsidRDefault="008144A6" w:rsidP="008144A6">
            <w:pPr>
              <w:spacing w:after="0" w:line="276" w:lineRule="auto"/>
              <w:jc w:val="right"/>
              <w:rPr>
                <w:rFonts w:ascii="Arial" w:hAnsi="Arial" w:cs="Arial"/>
                <w:i/>
                <w:sz w:val="16"/>
                <w:szCs w:val="16"/>
              </w:rPr>
            </w:pPr>
            <w:r>
              <w:rPr>
                <w:rFonts w:ascii="Arial" w:hAnsi="Arial" w:cs="Arial"/>
                <w:i/>
                <w:iCs/>
                <w:sz w:val="16"/>
                <w:szCs w:val="16"/>
              </w:rPr>
              <w:t>29.7</w:t>
            </w:r>
          </w:p>
        </w:tc>
        <w:tc>
          <w:tcPr>
            <w:tcW w:w="563" w:type="pct"/>
            <w:vAlign w:val="center"/>
          </w:tcPr>
          <w:p w14:paraId="413196E7" w14:textId="5EA696F5" w:rsidR="008144A6" w:rsidRPr="00330923" w:rsidRDefault="008144A6" w:rsidP="008144A6">
            <w:pPr>
              <w:spacing w:after="0" w:line="276" w:lineRule="auto"/>
              <w:jc w:val="right"/>
              <w:rPr>
                <w:rFonts w:ascii="Arial" w:hAnsi="Arial" w:cs="Arial"/>
                <w:i/>
                <w:sz w:val="16"/>
                <w:szCs w:val="16"/>
              </w:rPr>
            </w:pPr>
            <w:r>
              <w:rPr>
                <w:rFonts w:ascii="Arial" w:hAnsi="Arial" w:cs="Arial"/>
                <w:i/>
                <w:iCs/>
                <w:sz w:val="16"/>
                <w:szCs w:val="16"/>
              </w:rPr>
              <w:t>29.2</w:t>
            </w:r>
          </w:p>
        </w:tc>
      </w:tr>
      <w:tr w:rsidR="008144A6" w:rsidRPr="00147056" w14:paraId="304AFD78" w14:textId="2677057E" w:rsidTr="008144A6">
        <w:trPr>
          <w:trHeight w:val="227"/>
        </w:trPr>
        <w:tc>
          <w:tcPr>
            <w:tcW w:w="2185" w:type="pct"/>
            <w:tcBorders>
              <w:bottom w:val="single" w:sz="12" w:space="0" w:color="auto"/>
            </w:tcBorders>
            <w:vAlign w:val="center"/>
            <w:hideMark/>
          </w:tcPr>
          <w:p w14:paraId="2F963753" w14:textId="22EAE965" w:rsidR="008144A6" w:rsidRPr="00147056" w:rsidRDefault="008144A6" w:rsidP="008144A6">
            <w:pPr>
              <w:spacing w:after="0" w:line="276" w:lineRule="auto"/>
              <w:rPr>
                <w:rFonts w:ascii="Arial" w:eastAsia="Times New Roman" w:hAnsi="Arial" w:cs="Arial"/>
                <w:i/>
                <w:sz w:val="16"/>
                <w:szCs w:val="16"/>
                <w:lang w:eastAsia="en-AU"/>
              </w:rPr>
            </w:pPr>
            <w:r w:rsidRPr="00147056">
              <w:rPr>
                <w:rFonts w:ascii="Arial" w:eastAsia="Times New Roman" w:hAnsi="Arial" w:cs="Arial"/>
                <w:i/>
                <w:sz w:val="16"/>
                <w:szCs w:val="16"/>
                <w:lang w:eastAsia="en-AU"/>
              </w:rPr>
              <w:t xml:space="preserve">Live </w:t>
            </w:r>
            <w:r>
              <w:rPr>
                <w:rFonts w:ascii="Arial" w:eastAsia="Times New Roman" w:hAnsi="Arial" w:cs="Arial"/>
                <w:i/>
                <w:sz w:val="16"/>
                <w:szCs w:val="16"/>
                <w:lang w:eastAsia="en-AU"/>
              </w:rPr>
              <w:t>births</w:t>
            </w:r>
            <w:r w:rsidRPr="00147056">
              <w:rPr>
                <w:rFonts w:ascii="Arial" w:eastAsia="Times New Roman" w:hAnsi="Arial" w:cs="Arial"/>
                <w:i/>
                <w:sz w:val="16"/>
                <w:szCs w:val="16"/>
                <w:lang w:eastAsia="en-AU"/>
              </w:rPr>
              <w:t xml:space="preserve"> per embryo transfer (%) </w:t>
            </w:r>
          </w:p>
        </w:tc>
        <w:tc>
          <w:tcPr>
            <w:tcW w:w="563" w:type="pct"/>
            <w:tcBorders>
              <w:bottom w:val="single" w:sz="12" w:space="0" w:color="auto"/>
            </w:tcBorders>
            <w:vAlign w:val="center"/>
            <w:hideMark/>
          </w:tcPr>
          <w:p w14:paraId="005FFA7A" w14:textId="33007CAC" w:rsidR="008144A6" w:rsidRPr="00147056"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32.1</w:t>
            </w:r>
          </w:p>
        </w:tc>
        <w:tc>
          <w:tcPr>
            <w:tcW w:w="563" w:type="pct"/>
            <w:tcBorders>
              <w:bottom w:val="single" w:sz="12" w:space="0" w:color="auto"/>
            </w:tcBorders>
            <w:vAlign w:val="center"/>
            <w:hideMark/>
          </w:tcPr>
          <w:p w14:paraId="7D18C420" w14:textId="1DCC0977" w:rsidR="008144A6" w:rsidRPr="00147056"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color w:val="000000"/>
                <w:sz w:val="16"/>
                <w:szCs w:val="16"/>
              </w:rPr>
              <w:t>32.4</w:t>
            </w:r>
          </w:p>
        </w:tc>
        <w:tc>
          <w:tcPr>
            <w:tcW w:w="563" w:type="pct"/>
            <w:tcBorders>
              <w:bottom w:val="single" w:sz="12" w:space="0" w:color="auto"/>
            </w:tcBorders>
            <w:vAlign w:val="center"/>
            <w:hideMark/>
          </w:tcPr>
          <w:p w14:paraId="3A290D77" w14:textId="400D3EF9" w:rsidR="008144A6" w:rsidRPr="00147056"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sz w:val="16"/>
                <w:szCs w:val="16"/>
              </w:rPr>
              <w:t>31.7</w:t>
            </w:r>
          </w:p>
        </w:tc>
        <w:tc>
          <w:tcPr>
            <w:tcW w:w="563" w:type="pct"/>
            <w:tcBorders>
              <w:bottom w:val="single" w:sz="12" w:space="0" w:color="auto"/>
            </w:tcBorders>
            <w:vAlign w:val="bottom"/>
            <w:hideMark/>
          </w:tcPr>
          <w:p w14:paraId="53F6709C" w14:textId="411DEC44" w:rsidR="008144A6" w:rsidRPr="00330923" w:rsidRDefault="008144A6" w:rsidP="008144A6">
            <w:pPr>
              <w:spacing w:after="0" w:line="276" w:lineRule="auto"/>
              <w:jc w:val="right"/>
              <w:rPr>
                <w:rFonts w:ascii="Arial" w:eastAsia="Times New Roman" w:hAnsi="Arial" w:cs="Arial"/>
                <w:i/>
                <w:sz w:val="16"/>
                <w:szCs w:val="16"/>
                <w:lang w:eastAsia="en-AU"/>
              </w:rPr>
            </w:pPr>
            <w:r>
              <w:rPr>
                <w:rFonts w:ascii="Arial" w:hAnsi="Arial" w:cs="Arial"/>
                <w:i/>
                <w:iCs/>
                <w:sz w:val="16"/>
                <w:szCs w:val="16"/>
              </w:rPr>
              <w:t>34.0</w:t>
            </w:r>
          </w:p>
        </w:tc>
        <w:tc>
          <w:tcPr>
            <w:tcW w:w="563" w:type="pct"/>
            <w:tcBorders>
              <w:bottom w:val="single" w:sz="12" w:space="0" w:color="auto"/>
            </w:tcBorders>
            <w:vAlign w:val="center"/>
          </w:tcPr>
          <w:p w14:paraId="3F1A89FE" w14:textId="130EF87E" w:rsidR="008144A6" w:rsidRPr="00330923" w:rsidRDefault="008144A6" w:rsidP="008144A6">
            <w:pPr>
              <w:spacing w:after="0" w:line="276" w:lineRule="auto"/>
              <w:jc w:val="right"/>
              <w:rPr>
                <w:rFonts w:ascii="Arial" w:hAnsi="Arial" w:cs="Arial"/>
                <w:i/>
                <w:sz w:val="16"/>
                <w:szCs w:val="16"/>
              </w:rPr>
            </w:pPr>
            <w:r>
              <w:rPr>
                <w:rFonts w:ascii="Arial" w:hAnsi="Arial" w:cs="Arial"/>
                <w:i/>
                <w:iCs/>
                <w:sz w:val="16"/>
                <w:szCs w:val="16"/>
              </w:rPr>
              <w:t>33.3</w:t>
            </w:r>
          </w:p>
        </w:tc>
      </w:tr>
    </w:tbl>
    <w:p w14:paraId="47EAB48B" w14:textId="77777777" w:rsidR="009303CD" w:rsidRPr="00147056" w:rsidRDefault="009303CD" w:rsidP="00814AD1">
      <w:pPr>
        <w:pStyle w:val="TableFigNotesnumbered"/>
        <w:numPr>
          <w:ilvl w:val="0"/>
          <w:numId w:val="18"/>
        </w:numPr>
        <w:spacing w:before="0" w:line="240" w:lineRule="auto"/>
        <w:rPr>
          <w:rFonts w:cs="Arial"/>
        </w:rPr>
      </w:pPr>
      <w:bookmarkStart w:id="394" w:name="_Toc453054856"/>
      <w:bookmarkStart w:id="395" w:name="_Toc452112620"/>
      <w:r w:rsidRPr="00147056">
        <w:rPr>
          <w:rFonts w:cs="Arial"/>
        </w:rPr>
        <w:t>Included autologous cycles, oocyte donation cycles, oocyte/embryo recipient cycles, and surrogacy cycles.</w:t>
      </w:r>
    </w:p>
    <w:p w14:paraId="121D0B12" w14:textId="0AB84D36" w:rsidR="009303CD" w:rsidRDefault="009303CD" w:rsidP="00814AD1">
      <w:pPr>
        <w:pStyle w:val="TableFigNotesnumbered"/>
        <w:numPr>
          <w:ilvl w:val="0"/>
          <w:numId w:val="18"/>
        </w:numPr>
        <w:spacing w:before="0" w:line="240" w:lineRule="auto"/>
        <w:ind w:left="284" w:hanging="284"/>
        <w:rPr>
          <w:rFonts w:cs="Arial"/>
        </w:rPr>
      </w:pPr>
      <w:r w:rsidRPr="00147056">
        <w:rPr>
          <w:rFonts w:cs="Arial"/>
        </w:rPr>
        <w:t xml:space="preserve"> </w:t>
      </w:r>
      <w:r w:rsidR="00034907">
        <w:rPr>
          <w:rFonts w:cs="Arial"/>
        </w:rPr>
        <w:t xml:space="preserve"> </w:t>
      </w:r>
      <w:r w:rsidRPr="00147056">
        <w:rPr>
          <w:rFonts w:cs="Arial"/>
        </w:rPr>
        <w:t>Cycles with OPU included cycles where no oocytes were collected during the procedure.</w:t>
      </w:r>
    </w:p>
    <w:p w14:paraId="5B76B70E" w14:textId="2E12F301" w:rsidR="00C16CAB" w:rsidRPr="00C16CAB" w:rsidRDefault="00C16CAB" w:rsidP="00814AD1">
      <w:pPr>
        <w:pStyle w:val="TableSourcefootnotes"/>
        <w:numPr>
          <w:ilvl w:val="0"/>
          <w:numId w:val="18"/>
        </w:numPr>
        <w:spacing w:before="0" w:after="0" w:line="240" w:lineRule="auto"/>
      </w:pPr>
      <w:r w:rsidRPr="00C16CAB">
        <w:t>Freeze-all cycles are fresh ART treatment cycles where all oocytes or embryos are cryopreserved</w:t>
      </w:r>
      <w:r w:rsidR="00293CF8">
        <w:t>,</w:t>
      </w:r>
      <w:r w:rsidRPr="00C16CAB">
        <w:t xml:space="preserve"> and an embryo transfer does not take place</w:t>
      </w:r>
      <w:r>
        <w:t>.</w:t>
      </w:r>
    </w:p>
    <w:p w14:paraId="7F3E6B75" w14:textId="77777777" w:rsidR="00820709" w:rsidRPr="00617599" w:rsidRDefault="00820709" w:rsidP="00904DBD">
      <w:pPr>
        <w:pStyle w:val="TableFigNotesnumbered"/>
        <w:spacing w:line="240" w:lineRule="auto"/>
        <w:rPr>
          <w:rFonts w:cs="Arial"/>
        </w:rPr>
      </w:pPr>
    </w:p>
    <w:p w14:paraId="1BFACCF1" w14:textId="77777777" w:rsidR="00820709" w:rsidRPr="00617599" w:rsidRDefault="00820709" w:rsidP="00820709">
      <w:pPr>
        <w:pStyle w:val="NPESUbodytext"/>
        <w:rPr>
          <w:rFonts w:cs="Arial"/>
          <w:lang w:eastAsia="en-AU"/>
        </w:rPr>
      </w:pPr>
    </w:p>
    <w:p w14:paraId="7F94E7EE" w14:textId="77777777" w:rsidR="00820709" w:rsidRPr="00617599" w:rsidRDefault="00820709" w:rsidP="00820709">
      <w:pPr>
        <w:pStyle w:val="TableFigNotesnumbered"/>
        <w:rPr>
          <w:rFonts w:cs="Arial"/>
        </w:rPr>
      </w:pPr>
    </w:p>
    <w:p w14:paraId="509E5F32" w14:textId="4B64C7F7" w:rsidR="00FA33C7" w:rsidRPr="00360E75" w:rsidRDefault="00FA33C7" w:rsidP="00814AD1">
      <w:pPr>
        <w:pStyle w:val="Heading1"/>
        <w:numPr>
          <w:ilvl w:val="0"/>
          <w:numId w:val="3"/>
        </w:numPr>
        <w:ind w:left="851" w:hanging="491"/>
        <w:rPr>
          <w:rFonts w:cs="Arial"/>
        </w:rPr>
      </w:pPr>
      <w:bookmarkStart w:id="396" w:name="_Toc159568725"/>
      <w:bookmarkStart w:id="397" w:name="_Toc453054857"/>
      <w:bookmarkStart w:id="398" w:name="_Toc452112621"/>
      <w:bookmarkEnd w:id="394"/>
      <w:bookmarkEnd w:id="395"/>
      <w:r w:rsidRPr="00360E75">
        <w:rPr>
          <w:rFonts w:cs="Arial"/>
        </w:rPr>
        <w:lastRenderedPageBreak/>
        <w:t xml:space="preserve">Cumulative success rates for women undertaking autologous treatment </w:t>
      </w:r>
      <w:r w:rsidR="008418B4">
        <w:rPr>
          <w:rFonts w:cs="Arial"/>
        </w:rPr>
        <w:t>201</w:t>
      </w:r>
      <w:r w:rsidR="008144A6">
        <w:rPr>
          <w:rFonts w:cs="Arial"/>
        </w:rPr>
        <w:t>9</w:t>
      </w:r>
      <w:r w:rsidRPr="00360E75">
        <w:rPr>
          <w:rFonts w:cs="Arial"/>
        </w:rPr>
        <w:t>-</w:t>
      </w:r>
      <w:r w:rsidR="008418B4">
        <w:rPr>
          <w:rFonts w:cs="Arial"/>
        </w:rPr>
        <w:t>202</w:t>
      </w:r>
      <w:r w:rsidR="008144A6">
        <w:rPr>
          <w:rFonts w:cs="Arial"/>
        </w:rPr>
        <w:t>1</w:t>
      </w:r>
      <w:bookmarkEnd w:id="396"/>
    </w:p>
    <w:p w14:paraId="66B6D84E" w14:textId="3F92FEA1" w:rsidR="00FA33C7" w:rsidRPr="004E03FD" w:rsidRDefault="00FA33C7" w:rsidP="00FA33C7">
      <w:pPr>
        <w:pStyle w:val="NPESUbodytext"/>
      </w:pPr>
      <w:r w:rsidRPr="004E03FD">
        <w:t>This section presents information on all women who started their first autologous fresh ART treatment cycle between 1</w:t>
      </w:r>
      <w:r w:rsidRPr="00E217FF">
        <w:rPr>
          <w:vertAlign w:val="superscript"/>
        </w:rPr>
        <w:t>st</w:t>
      </w:r>
      <w:r w:rsidRPr="004E03FD">
        <w:t xml:space="preserve"> January </w:t>
      </w:r>
      <w:r w:rsidR="00F05CBF">
        <w:t>201</w:t>
      </w:r>
      <w:r w:rsidR="000E13C1">
        <w:t>9</w:t>
      </w:r>
      <w:r w:rsidR="00F05CBF" w:rsidRPr="004E03FD">
        <w:t xml:space="preserve"> </w:t>
      </w:r>
      <w:r w:rsidRPr="004E03FD">
        <w:t>and 31</w:t>
      </w:r>
      <w:r w:rsidRPr="00E217FF">
        <w:rPr>
          <w:vertAlign w:val="superscript"/>
        </w:rPr>
        <w:t>st</w:t>
      </w:r>
      <w:r w:rsidRPr="004E03FD">
        <w:t xml:space="preserve"> December </w:t>
      </w:r>
      <w:r w:rsidR="00F05CBF">
        <w:t>201</w:t>
      </w:r>
      <w:r w:rsidR="000E13C1">
        <w:t>9</w:t>
      </w:r>
      <w:r w:rsidRPr="004E03FD">
        <w:t xml:space="preserve">. </w:t>
      </w:r>
      <w:r w:rsidR="00BD6AE6" w:rsidRPr="00BD6AE6">
        <w:t xml:space="preserve">The </w:t>
      </w:r>
      <w:r w:rsidR="00BD6AE6" w:rsidRPr="00ED412B">
        <w:t>f</w:t>
      </w:r>
      <w:r w:rsidR="00BD6AE6" w:rsidRPr="00BD6AE6">
        <w:t>irst cycle</w:t>
      </w:r>
      <w:r w:rsidR="002B47B4">
        <w:t xml:space="preserve"> is</w:t>
      </w:r>
      <w:r w:rsidR="00BD6AE6" w:rsidRPr="00BD6AE6">
        <w:t xml:space="preserve"> i</w:t>
      </w:r>
      <w:r w:rsidR="002B47B4">
        <w:t>dentified</w:t>
      </w:r>
      <w:r w:rsidR="00BD6AE6" w:rsidRPr="00BD6AE6">
        <w:t xml:space="preserve"> </w:t>
      </w:r>
      <w:r w:rsidR="002B47B4">
        <w:t>according to first stimulation</w:t>
      </w:r>
      <w:r w:rsidR="00BD6AE6" w:rsidRPr="00BD6AE6">
        <w:t xml:space="preserve"> data reported </w:t>
      </w:r>
      <w:r w:rsidR="002B47B4">
        <w:t>by</w:t>
      </w:r>
      <w:r w:rsidR="00BD6AE6" w:rsidRPr="00BD6AE6">
        <w:t xml:space="preserve"> clinic</w:t>
      </w:r>
      <w:r w:rsidR="00BD6AE6" w:rsidRPr="00ED412B">
        <w:t>s</w:t>
      </w:r>
      <w:r w:rsidR="00BD6AE6" w:rsidRPr="00BD6AE6">
        <w:t xml:space="preserve"> </w:t>
      </w:r>
      <w:r w:rsidR="002B47B4">
        <w:t>plus</w:t>
      </w:r>
      <w:r w:rsidR="00BD6AE6" w:rsidRPr="00BD6AE6">
        <w:t xml:space="preserve"> the first occurrence of the woman’s autologous</w:t>
      </w:r>
      <w:r w:rsidR="00BD6AE6">
        <w:t xml:space="preserve"> fresh cycle in 20</w:t>
      </w:r>
      <w:r w:rsidR="006B3B13">
        <w:t>1</w:t>
      </w:r>
      <w:r w:rsidR="000E13C1">
        <w:t>9</w:t>
      </w:r>
      <w:r w:rsidR="00BD6AE6">
        <w:t xml:space="preserve">. </w:t>
      </w:r>
      <w:r w:rsidRPr="004E03FD">
        <w:t>Women were followed from the start of their first autologous fresh cycle through subsequent fresh and thaw cycles</w:t>
      </w:r>
      <w:r>
        <w:t xml:space="preserve">, excluding </w:t>
      </w:r>
      <w:r w:rsidRPr="00E217FF">
        <w:rPr>
          <w:iCs/>
        </w:rPr>
        <w:t>freeze-all</w:t>
      </w:r>
      <w:r>
        <w:t xml:space="preserve"> cycles,</w:t>
      </w:r>
      <w:r w:rsidRPr="004E03FD">
        <w:t xml:space="preserve"> until 31</w:t>
      </w:r>
      <w:r w:rsidRPr="00E217FF">
        <w:rPr>
          <w:vertAlign w:val="superscript"/>
        </w:rPr>
        <w:t>st</w:t>
      </w:r>
      <w:r w:rsidRPr="004E03FD">
        <w:t xml:space="preserve"> December </w:t>
      </w:r>
      <w:r w:rsidR="006B3B13">
        <w:t>202</w:t>
      </w:r>
      <w:r w:rsidR="000E13C1">
        <w:t>1</w:t>
      </w:r>
      <w:r w:rsidR="006B3B13" w:rsidRPr="004E03FD">
        <w:t xml:space="preserve"> </w:t>
      </w:r>
      <w:r w:rsidRPr="004E03FD">
        <w:t xml:space="preserve">or until they achieved a live </w:t>
      </w:r>
      <w:r w:rsidR="00EC42AE">
        <w:t>birth</w:t>
      </w:r>
      <w:r w:rsidRPr="004E03FD">
        <w:t xml:space="preserve"> (a </w:t>
      </w:r>
      <w:r w:rsidR="00EC42AE">
        <w:t>birth</w:t>
      </w:r>
      <w:r w:rsidRPr="004E03FD">
        <w:t xml:space="preserve"> of at least one liveborn baby) up to and including </w:t>
      </w:r>
      <w:r w:rsidR="00783BBD">
        <w:t>31</w:t>
      </w:r>
      <w:r w:rsidR="00783BBD" w:rsidRPr="00E217FF">
        <w:rPr>
          <w:vertAlign w:val="superscript"/>
        </w:rPr>
        <w:t>st</w:t>
      </w:r>
      <w:r w:rsidR="00783BBD">
        <w:t xml:space="preserve"> October </w:t>
      </w:r>
      <w:r w:rsidR="006B3B13">
        <w:t>202</w:t>
      </w:r>
      <w:r w:rsidR="000E13C1">
        <w:t>2</w:t>
      </w:r>
      <w:r w:rsidRPr="004E03FD">
        <w:t>. This longitudinal perspective provides a measure of the outcomes of successive ART treatment cycles undertaken by the same woman</w:t>
      </w:r>
      <w:r>
        <w:t xml:space="preserve"> up to her first birth following ART treatment</w:t>
      </w:r>
      <w:r w:rsidRPr="004E03FD">
        <w:t xml:space="preserve">. These women might have had additional treatment cycles after </w:t>
      </w:r>
      <w:r w:rsidR="006B3B13">
        <w:t>202</w:t>
      </w:r>
      <w:r w:rsidR="000E13C1">
        <w:t>1</w:t>
      </w:r>
      <w:r w:rsidR="006B3B13" w:rsidRPr="004E03FD">
        <w:t xml:space="preserve"> </w:t>
      </w:r>
      <w:r w:rsidRPr="004E03FD">
        <w:t>and their treatment information and resulting outcomes will be captured in subsequent annual reports. Therefore, in this dynamic cohort of women undergoing their first autologous fresh ART treatment between 1</w:t>
      </w:r>
      <w:r w:rsidRPr="00E217FF">
        <w:rPr>
          <w:vertAlign w:val="superscript"/>
        </w:rPr>
        <w:t>st</w:t>
      </w:r>
      <w:r w:rsidRPr="004E03FD">
        <w:t xml:space="preserve"> January </w:t>
      </w:r>
      <w:r w:rsidR="006B3B13">
        <w:t>201</w:t>
      </w:r>
      <w:r w:rsidR="000E13C1">
        <w:t>9</w:t>
      </w:r>
      <w:r w:rsidR="006B3B13" w:rsidRPr="004E03FD">
        <w:t xml:space="preserve"> </w:t>
      </w:r>
      <w:r w:rsidRPr="004E03FD">
        <w:t>and 31</w:t>
      </w:r>
      <w:r w:rsidRPr="00E217FF">
        <w:rPr>
          <w:vertAlign w:val="superscript"/>
        </w:rPr>
        <w:t>st</w:t>
      </w:r>
      <w:r w:rsidRPr="004E03FD">
        <w:t xml:space="preserve"> December </w:t>
      </w:r>
      <w:r w:rsidR="006B3B13">
        <w:t>201</w:t>
      </w:r>
      <w:r w:rsidR="000E13C1">
        <w:t>9</w:t>
      </w:r>
      <w:r w:rsidRPr="004E03FD">
        <w:t>, the cumulative success rates may increase over time as women return for treatment at a later date.</w:t>
      </w:r>
    </w:p>
    <w:p w14:paraId="0F950BB2" w14:textId="737D0CB0" w:rsidR="00FA33C7" w:rsidRPr="00C14357" w:rsidRDefault="00FA33C7" w:rsidP="00FA33C7">
      <w:pPr>
        <w:pStyle w:val="NPESUbodytext"/>
      </w:pPr>
      <w:r w:rsidRPr="00C14357">
        <w:t>ART treatment cycles presented in Tables 2</w:t>
      </w:r>
      <w:r w:rsidR="00BD7E00">
        <w:t>9</w:t>
      </w:r>
      <w:r w:rsidRPr="00C14357">
        <w:t xml:space="preserve"> to 3</w:t>
      </w:r>
      <w:r w:rsidR="00BD7E00">
        <w:t>4</w:t>
      </w:r>
      <w:r w:rsidRPr="00C14357">
        <w:t xml:space="preserve"> include all initiated autologous fresh and thaw cycles</w:t>
      </w:r>
      <w:r>
        <w:t xml:space="preserve">, excluding </w:t>
      </w:r>
      <w:r w:rsidRPr="00E217FF">
        <w:rPr>
          <w:iCs/>
        </w:rPr>
        <w:t>freeze-all</w:t>
      </w:r>
      <w:r>
        <w:t xml:space="preserve"> cycles</w:t>
      </w:r>
      <w:r w:rsidRPr="00C14357">
        <w:t xml:space="preserve">. Cycles which were cancelled at any stage and did not proceed to oocyte collection or embryo transfer are included. </w:t>
      </w:r>
      <w:r>
        <w:t>D</w:t>
      </w:r>
      <w:r w:rsidRPr="00C14357">
        <w:t>onor sperm insemination cycles, oocyte/embryo recipient cycles, oocyte/embryo donation cycles, surrogacy arrangement cycles</w:t>
      </w:r>
      <w:r w:rsidR="00AC29AB">
        <w:t>,</w:t>
      </w:r>
      <w:r w:rsidRPr="00C14357">
        <w:t xml:space="preserve"> and gamete intrafallopian transfer </w:t>
      </w:r>
      <w:r>
        <w:t xml:space="preserve">(GIFT) </w:t>
      </w:r>
      <w:r w:rsidRPr="00C14357">
        <w:t>cycles</w:t>
      </w:r>
      <w:r>
        <w:t xml:space="preserve"> are not included</w:t>
      </w:r>
      <w:r w:rsidRPr="00C14357">
        <w:t>. A pregnancy that end</w:t>
      </w:r>
      <w:r>
        <w:t>s</w:t>
      </w:r>
      <w:r w:rsidRPr="00C14357">
        <w:t xml:space="preserve"> before 20 weeks </w:t>
      </w:r>
      <w:r>
        <w:t xml:space="preserve">gestation </w:t>
      </w:r>
      <w:r w:rsidRPr="00C14357">
        <w:t xml:space="preserve">or </w:t>
      </w:r>
      <w:r>
        <w:t xml:space="preserve">a </w:t>
      </w:r>
      <w:r w:rsidRPr="00C14357">
        <w:t xml:space="preserve">stillbirth </w:t>
      </w:r>
      <w:r>
        <w:t>are</w:t>
      </w:r>
      <w:r w:rsidRPr="00C14357">
        <w:t xml:space="preserve"> not counted as a live </w:t>
      </w:r>
      <w:r w:rsidR="00EC42AE">
        <w:t>birth</w:t>
      </w:r>
      <w:r w:rsidRPr="00C14357">
        <w:t>.</w:t>
      </w:r>
    </w:p>
    <w:p w14:paraId="63EE5998" w14:textId="65463730" w:rsidR="00FA33C7" w:rsidRPr="0083290C" w:rsidRDefault="00FA33C7" w:rsidP="00FA33C7">
      <w:pPr>
        <w:pStyle w:val="NPESUbodytext"/>
      </w:pPr>
      <w:r w:rsidRPr="00C14357">
        <w:t>Table 2</w:t>
      </w:r>
      <w:r w:rsidR="00BD7E00">
        <w:t>9</w:t>
      </w:r>
      <w:r w:rsidRPr="00C14357">
        <w:t xml:space="preserve"> presents the number of cycles by women’s age group. Tables </w:t>
      </w:r>
      <w:r w:rsidR="00BD7E00">
        <w:t>30</w:t>
      </w:r>
      <w:r w:rsidRPr="00C14357">
        <w:t xml:space="preserve"> to </w:t>
      </w:r>
      <w:r w:rsidR="00BD7E00">
        <w:t>34</w:t>
      </w:r>
      <w:r w:rsidRPr="00C14357">
        <w:t xml:space="preserve"> present cycle-</w:t>
      </w:r>
      <w:r w:rsidRPr="00127C85">
        <w:t xml:space="preserve">specific live </w:t>
      </w:r>
      <w:r w:rsidR="00EC42AE">
        <w:t>birth</w:t>
      </w:r>
      <w:r w:rsidRPr="00127C85">
        <w:t xml:space="preserve"> rates, non-progression rates</w:t>
      </w:r>
      <w:r w:rsidR="00AC29AB">
        <w:t>,</w:t>
      </w:r>
      <w:r w:rsidRPr="00127C85">
        <w:t xml:space="preserve"> and cumulative li</w:t>
      </w:r>
      <w:r>
        <w:t xml:space="preserve">ve </w:t>
      </w:r>
      <w:r w:rsidR="00EC42AE">
        <w:t>birth</w:t>
      </w:r>
      <w:r>
        <w:t xml:space="preserve"> rates for all age groups </w:t>
      </w:r>
      <w:r w:rsidRPr="00127C85">
        <w:t xml:space="preserve">and women aged </w:t>
      </w:r>
      <w:r w:rsidR="00B30FC0">
        <w:t xml:space="preserve">under </w:t>
      </w:r>
      <w:r w:rsidRPr="00127C85">
        <w:t>30</w:t>
      </w:r>
      <w:r w:rsidR="00B30FC0">
        <w:t xml:space="preserve"> years</w:t>
      </w:r>
      <w:r w:rsidRPr="00127C85">
        <w:t xml:space="preserve">, </w:t>
      </w:r>
      <w:r w:rsidR="00B30FC0">
        <w:t xml:space="preserve">between </w:t>
      </w:r>
      <w:r w:rsidRPr="00127C85">
        <w:t>30-34</w:t>
      </w:r>
      <w:r w:rsidR="00B30FC0">
        <w:t xml:space="preserve"> years</w:t>
      </w:r>
      <w:r w:rsidRPr="00127C85">
        <w:t xml:space="preserve">, </w:t>
      </w:r>
      <w:r w:rsidR="00B30FC0">
        <w:t xml:space="preserve">between </w:t>
      </w:r>
      <w:r w:rsidRPr="00127C85">
        <w:t>35-39</w:t>
      </w:r>
      <w:r w:rsidR="00B30FC0">
        <w:t xml:space="preserve"> years</w:t>
      </w:r>
      <w:r w:rsidRPr="00127C85">
        <w:t xml:space="preserve"> and</w:t>
      </w:r>
      <w:r w:rsidR="00B30FC0">
        <w:t xml:space="preserve"> over </w:t>
      </w:r>
      <w:r w:rsidRPr="00127C85">
        <w:t>40</w:t>
      </w:r>
      <w:r>
        <w:t xml:space="preserve"> years</w:t>
      </w:r>
      <w:r w:rsidRPr="00127C85">
        <w:t>. Only the first five cycles are presented due to the small number of women undertaking six or more treatmen</w:t>
      </w:r>
      <w:r>
        <w:t>t cycles between 1</w:t>
      </w:r>
      <w:r w:rsidRPr="00E217FF">
        <w:rPr>
          <w:vertAlign w:val="superscript"/>
        </w:rPr>
        <w:t>st</w:t>
      </w:r>
      <w:r>
        <w:t xml:space="preserve"> January </w:t>
      </w:r>
      <w:r w:rsidR="006B3B13">
        <w:t>201</w:t>
      </w:r>
      <w:r w:rsidR="00CE77D1">
        <w:t>9</w:t>
      </w:r>
      <w:r w:rsidR="006B3B13" w:rsidRPr="00127C85">
        <w:t xml:space="preserve"> </w:t>
      </w:r>
      <w:r w:rsidRPr="00127C85">
        <w:t>and 31</w:t>
      </w:r>
      <w:r w:rsidRPr="00E217FF">
        <w:rPr>
          <w:vertAlign w:val="superscript"/>
        </w:rPr>
        <w:t>st</w:t>
      </w:r>
      <w:r w:rsidRPr="00127C85">
        <w:t xml:space="preserve"> December </w:t>
      </w:r>
      <w:r w:rsidR="006B3B13">
        <w:t>202</w:t>
      </w:r>
      <w:r w:rsidR="00CE77D1">
        <w:t>1</w:t>
      </w:r>
      <w:r w:rsidRPr="0083290C">
        <w:t>.</w:t>
      </w:r>
    </w:p>
    <w:p w14:paraId="49F00352" w14:textId="626F2687" w:rsidR="00FA33C7" w:rsidRPr="00EF7C6B" w:rsidRDefault="00FA33C7" w:rsidP="00FA33C7">
      <w:pPr>
        <w:pStyle w:val="Heading4"/>
        <w:rPr>
          <w:highlight w:val="yellow"/>
        </w:rPr>
      </w:pPr>
      <w:r w:rsidRPr="0083290C">
        <w:t>Definition</w:t>
      </w:r>
      <w:r w:rsidR="00CB5BE8">
        <w:t>s and calculations</w:t>
      </w:r>
    </w:p>
    <w:p w14:paraId="17BC383C" w14:textId="51C01782" w:rsidR="00FA33C7" w:rsidRDefault="00CB5BE8" w:rsidP="00814AD1">
      <w:pPr>
        <w:pStyle w:val="NPESUbodytext"/>
        <w:numPr>
          <w:ilvl w:val="0"/>
          <w:numId w:val="19"/>
        </w:numPr>
      </w:pPr>
      <w:r>
        <w:t>The c</w:t>
      </w:r>
      <w:r w:rsidR="00FA33C7" w:rsidRPr="007364C5">
        <w:t xml:space="preserve">ycle-specific live </w:t>
      </w:r>
      <w:r w:rsidR="00EC42AE">
        <w:t>birth</w:t>
      </w:r>
      <w:r w:rsidR="00FA33C7" w:rsidRPr="007364C5">
        <w:t xml:space="preserve"> rate for a specific </w:t>
      </w:r>
      <w:r w:rsidR="00B30FC0">
        <w:t xml:space="preserve">number of </w:t>
      </w:r>
      <w:r w:rsidR="00FA33C7" w:rsidRPr="007364C5">
        <w:t>cycl</w:t>
      </w:r>
      <w:r w:rsidR="00B30FC0">
        <w:t>es</w:t>
      </w:r>
      <w:r w:rsidR="00FA33C7" w:rsidRPr="007364C5">
        <w:t xml:space="preserve"> is calculated as the number of live </w:t>
      </w:r>
      <w:r w:rsidR="00C736CE">
        <w:t>births</w:t>
      </w:r>
      <w:r w:rsidR="00FA33C7" w:rsidRPr="007364C5">
        <w:t xml:space="preserve"> resulting from </w:t>
      </w:r>
      <w:r w:rsidR="00B30FC0">
        <w:t xml:space="preserve">the </w:t>
      </w:r>
      <w:r w:rsidR="00FA33C7" w:rsidRPr="007364C5">
        <w:t xml:space="preserve">specific </w:t>
      </w:r>
      <w:r w:rsidR="00B30FC0">
        <w:t xml:space="preserve">number of </w:t>
      </w:r>
      <w:r w:rsidR="00FA33C7" w:rsidRPr="007364C5">
        <w:t>cycle</w:t>
      </w:r>
      <w:r w:rsidR="00B30FC0">
        <w:t>s</w:t>
      </w:r>
      <w:r w:rsidR="00FA33C7" w:rsidRPr="007364C5">
        <w:t xml:space="preserve"> divided by the number of women who undertook that </w:t>
      </w:r>
      <w:r w:rsidR="00641E63">
        <w:t>cycle number</w:t>
      </w:r>
      <w:r w:rsidR="00FA33C7" w:rsidRPr="007364C5">
        <w:t xml:space="preserve">. For </w:t>
      </w:r>
      <w:r w:rsidRPr="007364C5">
        <w:t>instance</w:t>
      </w:r>
      <w:r>
        <w:t xml:space="preserve">, in Table </w:t>
      </w:r>
      <w:r w:rsidR="00BD7E00">
        <w:t>30</w:t>
      </w:r>
      <w:r w:rsidR="00FA33C7" w:rsidRPr="007364C5">
        <w:t>, the cycle</w:t>
      </w:r>
      <w:r>
        <w:t>-</w:t>
      </w:r>
      <w:r w:rsidR="00FA33C7" w:rsidRPr="007364C5">
        <w:t>specific</w:t>
      </w:r>
      <w:r>
        <w:t xml:space="preserve"> live </w:t>
      </w:r>
      <w:r w:rsidR="00EC42AE">
        <w:t>birth</w:t>
      </w:r>
      <w:r w:rsidR="00FA33C7" w:rsidRPr="007364C5">
        <w:t xml:space="preserve"> rate of </w:t>
      </w:r>
      <w:r w:rsidR="00CE77D1">
        <w:t>23.6</w:t>
      </w:r>
      <w:r w:rsidR="00FA33C7" w:rsidRPr="007364C5">
        <w:t xml:space="preserve">% for </w:t>
      </w:r>
      <w:r w:rsidR="00641E63">
        <w:t>cycle number three</w:t>
      </w:r>
      <w:r>
        <w:t xml:space="preserve"> </w:t>
      </w:r>
      <w:r w:rsidR="001F63FA">
        <w:t>represents</w:t>
      </w:r>
      <w:r w:rsidR="00FA33C7" w:rsidRPr="007364C5">
        <w:t xml:space="preserve"> the proportion of women who undertook a third cycle and achieved a live </w:t>
      </w:r>
      <w:r w:rsidR="00EC42AE">
        <w:t>birth</w:t>
      </w:r>
      <w:r w:rsidR="00FA33C7" w:rsidRPr="007364C5">
        <w:t xml:space="preserve"> in that cycle</w:t>
      </w:r>
      <w:r>
        <w:t>.</w:t>
      </w:r>
    </w:p>
    <w:p w14:paraId="2AC6084D" w14:textId="6F780878" w:rsidR="00FA33C7" w:rsidRDefault="00CB5BE8" w:rsidP="00814AD1">
      <w:pPr>
        <w:pStyle w:val="NPESUbodytext"/>
        <w:numPr>
          <w:ilvl w:val="0"/>
          <w:numId w:val="19"/>
        </w:numPr>
      </w:pPr>
      <w:r>
        <w:t>The n</w:t>
      </w:r>
      <w:r w:rsidR="00FA33C7" w:rsidRPr="00A379EC">
        <w:t>on-p</w:t>
      </w:r>
      <w:r w:rsidR="00FA33C7">
        <w:t xml:space="preserve">rogression rate for a specific </w:t>
      </w:r>
      <w:r w:rsidR="00FA33C7" w:rsidRPr="00A379EC">
        <w:t>cycle is calculated as the number of women who did not return for further ART treatment cycles before 31</w:t>
      </w:r>
      <w:r w:rsidR="00FA33C7" w:rsidRPr="00E217FF">
        <w:rPr>
          <w:vertAlign w:val="superscript"/>
        </w:rPr>
        <w:t>st</w:t>
      </w:r>
      <w:r w:rsidR="00FA33C7" w:rsidRPr="00A379EC">
        <w:t xml:space="preserve"> December </w:t>
      </w:r>
      <w:r w:rsidR="00212C03">
        <w:t>202</w:t>
      </w:r>
      <w:r w:rsidR="00CE77D1">
        <w:t>1</w:t>
      </w:r>
      <w:r w:rsidR="00212C03" w:rsidRPr="00A379EC">
        <w:t xml:space="preserve"> </w:t>
      </w:r>
      <w:r w:rsidR="00FA33C7" w:rsidRPr="00A379EC">
        <w:t>divided by the number of women who did no</w:t>
      </w:r>
      <w:r w:rsidR="00FA33C7">
        <w:t xml:space="preserve">t have a live </w:t>
      </w:r>
      <w:r w:rsidR="00EC42AE">
        <w:t>birth</w:t>
      </w:r>
      <w:r w:rsidR="00FA33C7">
        <w:t xml:space="preserve"> in that </w:t>
      </w:r>
      <w:r w:rsidR="00FA33C7" w:rsidRPr="00A379EC">
        <w:t xml:space="preserve">cycle. For example, the non-progression rate of </w:t>
      </w:r>
      <w:r w:rsidR="007D7967">
        <w:t>25.7</w:t>
      </w:r>
      <w:r w:rsidR="00FA33C7" w:rsidRPr="00A379EC">
        <w:t xml:space="preserve">% for </w:t>
      </w:r>
      <w:r w:rsidR="008015D6">
        <w:t>a third</w:t>
      </w:r>
      <w:r>
        <w:t xml:space="preserve"> </w:t>
      </w:r>
      <w:r w:rsidR="00FA33C7" w:rsidRPr="00A379EC">
        <w:t xml:space="preserve">cycle </w:t>
      </w:r>
      <w:r w:rsidR="001F63FA">
        <w:t>represents</w:t>
      </w:r>
      <w:r w:rsidR="00FA33C7" w:rsidRPr="00A379EC">
        <w:t xml:space="preserve"> the proportion of women who did not achieve a live </w:t>
      </w:r>
      <w:r w:rsidR="00EC42AE">
        <w:t>birth</w:t>
      </w:r>
      <w:r w:rsidR="00FA33C7" w:rsidRPr="00A379EC">
        <w:t xml:space="preserve"> in </w:t>
      </w:r>
      <w:r>
        <w:t xml:space="preserve">their third </w:t>
      </w:r>
      <w:r w:rsidR="00FA33C7" w:rsidRPr="00A379EC">
        <w:t xml:space="preserve">cycle and did not progress to a fourth cycle (Table </w:t>
      </w:r>
      <w:r w:rsidR="004E754B">
        <w:t>30</w:t>
      </w:r>
      <w:r w:rsidR="00FA33C7" w:rsidRPr="00A379EC">
        <w:t xml:space="preserve">). </w:t>
      </w:r>
      <w:r>
        <w:t>The r</w:t>
      </w:r>
      <w:r w:rsidR="00FA33C7" w:rsidRPr="00A379EC">
        <w:t xml:space="preserve">easons </w:t>
      </w:r>
      <w:r>
        <w:t>surrounding a woman’s or couple’s choice to not return</w:t>
      </w:r>
      <w:r w:rsidR="00BF79E0">
        <w:t xml:space="preserve"> to</w:t>
      </w:r>
      <w:r>
        <w:t xml:space="preserve"> or progress with further treatment</w:t>
      </w:r>
      <w:r w:rsidR="00FA33C7" w:rsidRPr="00A379EC">
        <w:t xml:space="preserve">, </w:t>
      </w:r>
      <w:r>
        <w:t>include</w:t>
      </w:r>
      <w:r w:rsidR="00FA33C7" w:rsidRPr="00A379EC">
        <w:t xml:space="preserve"> poor prognosis, natural pregnancy, migration, financi</w:t>
      </w:r>
      <w:r>
        <w:t>al</w:t>
      </w:r>
      <w:r w:rsidR="00FA33C7" w:rsidRPr="00A379EC">
        <w:t>, psychological</w:t>
      </w:r>
      <w:r w:rsidR="0078277E">
        <w:t>,</w:t>
      </w:r>
      <w:r w:rsidR="00FA33C7" w:rsidRPr="00A379EC">
        <w:t xml:space="preserve"> and other unrelated reasons</w:t>
      </w:r>
      <w:r>
        <w:t>; these</w:t>
      </w:r>
      <w:r w:rsidR="00FA33C7" w:rsidRPr="00A379EC">
        <w:t xml:space="preserve"> are not collected by ANZARD.</w:t>
      </w:r>
    </w:p>
    <w:p w14:paraId="2446AC89" w14:textId="74C4AC5A" w:rsidR="00133829" w:rsidRDefault="001F63FA" w:rsidP="00E217FF">
      <w:pPr>
        <w:pStyle w:val="NPESUbodytext"/>
        <w:ind w:left="720"/>
      </w:pPr>
      <w:r>
        <w:lastRenderedPageBreak/>
        <w:t>The c</w:t>
      </w:r>
      <w:r w:rsidR="00FA33C7" w:rsidRPr="00A379EC">
        <w:t xml:space="preserve">umulative live </w:t>
      </w:r>
      <w:r w:rsidR="00EC42AE">
        <w:t>birth</w:t>
      </w:r>
      <w:r w:rsidR="00FA33C7" w:rsidRPr="00A379EC">
        <w:t xml:space="preserve"> rate for a specific </w:t>
      </w:r>
      <w:r w:rsidR="00FA33C7">
        <w:t xml:space="preserve">cycle </w:t>
      </w:r>
      <w:r w:rsidR="00FA33C7" w:rsidRPr="00A379EC">
        <w:t xml:space="preserve">is calculated as the total number of </w:t>
      </w:r>
      <w:r w:rsidR="00FA33C7">
        <w:t xml:space="preserve">live </w:t>
      </w:r>
      <w:r w:rsidR="00C736CE">
        <w:t>births</w:t>
      </w:r>
      <w:r w:rsidR="00FA33C7">
        <w:t xml:space="preserve"> following this </w:t>
      </w:r>
      <w:r w:rsidR="00FA33C7" w:rsidRPr="00A379EC">
        <w:t>cycle</w:t>
      </w:r>
      <w:r w:rsidR="00FA33C7">
        <w:t xml:space="preserve"> </w:t>
      </w:r>
      <w:r w:rsidR="00FA33C7" w:rsidRPr="00A379EC">
        <w:t>and all previous cycles divided by the total number of women who started their first autologous fresh ART treatment cycle between 1</w:t>
      </w:r>
      <w:r w:rsidR="00FA33C7" w:rsidRPr="00E217FF">
        <w:rPr>
          <w:vertAlign w:val="superscript"/>
        </w:rPr>
        <w:t>st</w:t>
      </w:r>
      <w:r w:rsidR="00FA33C7" w:rsidRPr="00A379EC">
        <w:t xml:space="preserve"> January </w:t>
      </w:r>
      <w:r w:rsidR="003A372E">
        <w:t>201</w:t>
      </w:r>
      <w:r w:rsidR="007D7967">
        <w:t>9</w:t>
      </w:r>
      <w:r w:rsidR="003A372E">
        <w:t xml:space="preserve"> </w:t>
      </w:r>
      <w:r w:rsidR="00FA33C7" w:rsidRPr="00A379EC">
        <w:t>and 31</w:t>
      </w:r>
      <w:r w:rsidR="00FA33C7" w:rsidRPr="00E217FF">
        <w:rPr>
          <w:vertAlign w:val="superscript"/>
        </w:rPr>
        <w:t>st</w:t>
      </w:r>
      <w:r w:rsidR="00FA33C7" w:rsidRPr="00A379EC">
        <w:t xml:space="preserve"> December </w:t>
      </w:r>
      <w:r w:rsidR="003A372E">
        <w:t>201</w:t>
      </w:r>
      <w:r w:rsidR="007D7967">
        <w:t>9</w:t>
      </w:r>
      <w:r w:rsidR="00FA33C7" w:rsidRPr="00A379EC">
        <w:t xml:space="preserve">. For example, the cumulative live </w:t>
      </w:r>
      <w:r w:rsidR="00EC42AE">
        <w:t>birth</w:t>
      </w:r>
      <w:r w:rsidR="00FA33C7" w:rsidRPr="00A379EC">
        <w:t xml:space="preserve"> rate of </w:t>
      </w:r>
      <w:r w:rsidR="003A372E">
        <w:t>5</w:t>
      </w:r>
      <w:r w:rsidR="007D7967">
        <w:t>3</w:t>
      </w:r>
      <w:r w:rsidR="003A372E">
        <w:t>.1</w:t>
      </w:r>
      <w:r w:rsidR="00FA33C7" w:rsidRPr="00A379EC">
        <w:t xml:space="preserve">% for </w:t>
      </w:r>
      <w:r>
        <w:t xml:space="preserve">the third </w:t>
      </w:r>
      <w:r w:rsidR="00FA33C7" w:rsidRPr="00A379EC">
        <w:t xml:space="preserve">cycle </w:t>
      </w:r>
      <w:r>
        <w:t xml:space="preserve">represents </w:t>
      </w:r>
      <w:r w:rsidR="00FA33C7" w:rsidRPr="00A379EC">
        <w:t xml:space="preserve">the proportion of women who started ART treatment in </w:t>
      </w:r>
      <w:r w:rsidR="003A372E">
        <w:t>201</w:t>
      </w:r>
      <w:r w:rsidR="007D7967">
        <w:t>9</w:t>
      </w:r>
      <w:r w:rsidR="003A372E" w:rsidRPr="00A379EC">
        <w:t xml:space="preserve"> </w:t>
      </w:r>
      <w:r w:rsidR="00FA33C7" w:rsidRPr="00A379EC">
        <w:t xml:space="preserve">and achieved a live </w:t>
      </w:r>
      <w:r w:rsidR="00EC42AE">
        <w:t>birth</w:t>
      </w:r>
      <w:r w:rsidR="00FA33C7" w:rsidRPr="00A379EC">
        <w:t xml:space="preserve"> following their first </w:t>
      </w:r>
      <w:r>
        <w:t>three</w:t>
      </w:r>
      <w:r w:rsidR="00FA33C7" w:rsidRPr="00A379EC">
        <w:t xml:space="preserve"> cycles (Table </w:t>
      </w:r>
      <w:r w:rsidR="003A372E">
        <w:t>30</w:t>
      </w:r>
      <w:r w:rsidR="00FA33C7" w:rsidRPr="00A379EC">
        <w:t>).</w:t>
      </w:r>
      <w:r w:rsidR="006C23D1">
        <w:t xml:space="preserve"> </w:t>
      </w:r>
      <w:r w:rsidR="00FA33C7">
        <w:t>Note</w:t>
      </w:r>
      <w:r w:rsidR="00834F2A">
        <w:t xml:space="preserve"> that </w:t>
      </w:r>
      <w:r w:rsidR="00FA33C7">
        <w:t>only the first birth to a woman is counted in cumulative live birth rates.</w:t>
      </w:r>
    </w:p>
    <w:p w14:paraId="1C7ED25E" w14:textId="60D07805" w:rsidR="00133829" w:rsidRDefault="00133829">
      <w:pPr>
        <w:spacing w:after="160" w:line="259" w:lineRule="auto"/>
        <w:rPr>
          <w:rFonts w:ascii="Arial" w:eastAsia="Times New Roman" w:hAnsi="Arial"/>
          <w:b/>
          <w:bCs/>
          <w:sz w:val="20"/>
          <w:szCs w:val="18"/>
          <w:lang w:eastAsia="en-AU" w:bidi="hi-IN"/>
        </w:rPr>
      </w:pPr>
      <w:bookmarkStart w:id="399" w:name="_Toc106715422"/>
      <w:r>
        <w:rPr>
          <w:rFonts w:eastAsia="Times New Roman"/>
          <w:lang w:eastAsia="en-AU"/>
        </w:rPr>
        <w:br w:type="page"/>
      </w:r>
    </w:p>
    <w:p w14:paraId="4FD12241" w14:textId="18CE1398" w:rsidR="00FA33C7" w:rsidRDefault="00133829" w:rsidP="002F0B22">
      <w:pPr>
        <w:pStyle w:val="Caption"/>
        <w:spacing w:before="60" w:line="260" w:lineRule="atLeast"/>
        <w:ind w:left="-142"/>
        <w:rPr>
          <w:rFonts w:eastAsia="Times New Roman"/>
          <w:lang w:eastAsia="en-AU"/>
        </w:rPr>
      </w:pPr>
      <w:bookmarkStart w:id="400" w:name="_Toc158026578"/>
      <w:r w:rsidRPr="00FC1B7D">
        <w:rPr>
          <w:rFonts w:eastAsia="Times New Roman"/>
          <w:lang w:eastAsia="en-AU"/>
        </w:rPr>
        <w:lastRenderedPageBreak/>
        <w:t>Table 2</w:t>
      </w:r>
      <w:r>
        <w:rPr>
          <w:rFonts w:eastAsia="Times New Roman"/>
          <w:lang w:eastAsia="en-AU"/>
        </w:rPr>
        <w:t>9</w:t>
      </w:r>
      <w:r w:rsidRPr="00FC1B7D">
        <w:rPr>
          <w:rFonts w:eastAsia="Times New Roman"/>
          <w:lang w:eastAsia="en-AU"/>
        </w:rPr>
        <w:t xml:space="preserve">: Number of cycles by women’s age group for all women who started their first autologous fresh cycle </w:t>
      </w:r>
      <w:r>
        <w:rPr>
          <w:rFonts w:eastAsia="Times New Roman"/>
          <w:lang w:eastAsia="en-AU"/>
        </w:rPr>
        <w:t xml:space="preserve">(excluding </w:t>
      </w:r>
      <w:r w:rsidRPr="00E217FF">
        <w:rPr>
          <w:rFonts w:eastAsia="Times New Roman"/>
          <w:iCs/>
          <w:lang w:eastAsia="en-AU"/>
        </w:rPr>
        <w:t>freeze-all</w:t>
      </w:r>
      <w:r w:rsidRPr="00C46BF4">
        <w:rPr>
          <w:rFonts w:eastAsia="Times New Roman"/>
          <w:iCs/>
          <w:lang w:eastAsia="en-AU"/>
        </w:rPr>
        <w:t xml:space="preserve"> </w:t>
      </w:r>
      <w:r>
        <w:rPr>
          <w:rFonts w:eastAsia="Times New Roman"/>
          <w:lang w:eastAsia="en-AU"/>
        </w:rPr>
        <w:t>cycles</w:t>
      </w:r>
      <w:r w:rsidRPr="00B55251">
        <w:rPr>
          <w:rFonts w:eastAsia="Times New Roman" w:cs="Arial"/>
          <w:color w:val="000000"/>
          <w:sz w:val="16"/>
          <w:szCs w:val="16"/>
          <w:vertAlign w:val="superscript"/>
          <w:lang w:eastAsia="en-AU"/>
        </w:rPr>
        <w:t>(a)</w:t>
      </w:r>
      <w:r>
        <w:rPr>
          <w:rFonts w:eastAsia="Times New Roman"/>
          <w:lang w:eastAsia="en-AU"/>
        </w:rPr>
        <w:t xml:space="preserve">) </w:t>
      </w:r>
      <w:r w:rsidRPr="00FC1B7D">
        <w:rPr>
          <w:rFonts w:eastAsia="Times New Roman"/>
          <w:lang w:eastAsia="en-AU"/>
        </w:rPr>
        <w:t>between 1</w:t>
      </w:r>
      <w:r w:rsidRPr="00E217FF">
        <w:rPr>
          <w:rFonts w:eastAsia="Times New Roman"/>
          <w:vertAlign w:val="superscript"/>
          <w:lang w:eastAsia="en-AU"/>
        </w:rPr>
        <w:t>st</w:t>
      </w:r>
      <w:r w:rsidRPr="00FC1B7D">
        <w:rPr>
          <w:rFonts w:eastAsia="Times New Roman"/>
          <w:lang w:eastAsia="en-AU"/>
        </w:rPr>
        <w:t xml:space="preserve"> January </w:t>
      </w:r>
      <w:r>
        <w:rPr>
          <w:rFonts w:eastAsia="Times New Roman"/>
          <w:lang w:eastAsia="en-AU"/>
        </w:rPr>
        <w:t>201</w:t>
      </w:r>
      <w:r w:rsidR="007D7967">
        <w:rPr>
          <w:rFonts w:eastAsia="Times New Roman"/>
          <w:lang w:eastAsia="en-AU"/>
        </w:rPr>
        <w:t>9</w:t>
      </w:r>
      <w:r>
        <w:rPr>
          <w:rFonts w:eastAsia="Times New Roman"/>
          <w:lang w:eastAsia="en-AU"/>
        </w:rPr>
        <w:t xml:space="preserve"> and 31</w:t>
      </w:r>
      <w:r w:rsidRPr="00E217FF">
        <w:rPr>
          <w:rFonts w:eastAsia="Times New Roman"/>
          <w:vertAlign w:val="superscript"/>
          <w:lang w:eastAsia="en-AU"/>
        </w:rPr>
        <w:t>st</w:t>
      </w:r>
      <w:r>
        <w:rPr>
          <w:rFonts w:eastAsia="Times New Roman"/>
          <w:lang w:eastAsia="en-AU"/>
        </w:rPr>
        <w:t xml:space="preserve"> December 201</w:t>
      </w:r>
      <w:r w:rsidR="007D7967">
        <w:rPr>
          <w:rFonts w:eastAsia="Times New Roman"/>
          <w:lang w:eastAsia="en-AU"/>
        </w:rPr>
        <w:t>9</w:t>
      </w:r>
      <w:r w:rsidRPr="00FC1B7D">
        <w:rPr>
          <w:rFonts w:eastAsia="Times New Roman"/>
          <w:lang w:eastAsia="en-AU"/>
        </w:rPr>
        <w:t>, New Zealand</w:t>
      </w:r>
      <w:bookmarkEnd w:id="399"/>
      <w:bookmarkEnd w:id="400"/>
    </w:p>
    <w:tbl>
      <w:tblPr>
        <w:tblW w:w="8931" w:type="dxa"/>
        <w:tblLook w:val="04A0" w:firstRow="1" w:lastRow="0" w:firstColumn="1" w:lastColumn="0" w:noHBand="0" w:noVBand="1"/>
      </w:tblPr>
      <w:tblGrid>
        <w:gridCol w:w="2268"/>
        <w:gridCol w:w="960"/>
        <w:gridCol w:w="1450"/>
        <w:gridCol w:w="1559"/>
        <w:gridCol w:w="1418"/>
        <w:gridCol w:w="1276"/>
      </w:tblGrid>
      <w:tr w:rsidR="00133829" w:rsidRPr="00B55251" w14:paraId="221E5378" w14:textId="77777777" w:rsidTr="001F6C35">
        <w:trPr>
          <w:trHeight w:val="227"/>
        </w:trPr>
        <w:tc>
          <w:tcPr>
            <w:tcW w:w="2268" w:type="dxa"/>
            <w:vMerge w:val="restart"/>
            <w:tcBorders>
              <w:top w:val="single" w:sz="12" w:space="0" w:color="auto"/>
              <w:left w:val="nil"/>
              <w:bottom w:val="single" w:sz="8" w:space="0" w:color="000000"/>
              <w:right w:val="nil"/>
            </w:tcBorders>
            <w:shd w:val="clear" w:color="auto" w:fill="auto"/>
            <w:vAlign w:val="bottom"/>
            <w:hideMark/>
          </w:tcPr>
          <w:p w14:paraId="2DB8A0BC" w14:textId="77777777" w:rsidR="00133829" w:rsidRPr="00B55251" w:rsidRDefault="00133829" w:rsidP="001F6C35">
            <w:pPr>
              <w:spacing w:after="0" w:line="276" w:lineRule="auto"/>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t>Cycle number</w:t>
            </w:r>
            <w:r w:rsidRPr="00B55251">
              <w:rPr>
                <w:rFonts w:ascii="Arial" w:eastAsia="Times New Roman" w:hAnsi="Arial" w:cs="Arial"/>
                <w:b/>
                <w:bCs/>
                <w:color w:val="000000"/>
                <w:sz w:val="16"/>
                <w:szCs w:val="16"/>
                <w:lang w:eastAsia="en-AU"/>
              </w:rPr>
              <w:t xml:space="preserve"> </w:t>
            </w:r>
          </w:p>
        </w:tc>
        <w:tc>
          <w:tcPr>
            <w:tcW w:w="6663" w:type="dxa"/>
            <w:gridSpan w:val="5"/>
            <w:tcBorders>
              <w:top w:val="single" w:sz="12" w:space="0" w:color="auto"/>
              <w:left w:val="nil"/>
              <w:bottom w:val="single" w:sz="4" w:space="0" w:color="auto"/>
              <w:right w:val="nil"/>
            </w:tcBorders>
            <w:shd w:val="clear" w:color="auto" w:fill="auto"/>
            <w:vAlign w:val="center"/>
            <w:hideMark/>
          </w:tcPr>
          <w:p w14:paraId="1EFB19ED" w14:textId="77777777" w:rsidR="00133829" w:rsidRPr="00B55251" w:rsidRDefault="00133829" w:rsidP="001F6C35">
            <w:pPr>
              <w:spacing w:after="0" w:line="276" w:lineRule="auto"/>
              <w:jc w:val="center"/>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Age group (years)</w:t>
            </w:r>
            <w:r w:rsidRPr="00B55251">
              <w:rPr>
                <w:rFonts w:ascii="Arial" w:eastAsia="Times New Roman" w:hAnsi="Arial" w:cs="Arial"/>
                <w:b/>
                <w:bCs/>
                <w:color w:val="000000"/>
                <w:sz w:val="16"/>
                <w:szCs w:val="16"/>
                <w:vertAlign w:val="superscript"/>
                <w:lang w:eastAsia="en-AU"/>
              </w:rPr>
              <w:t>(</w:t>
            </w:r>
            <w:r>
              <w:rPr>
                <w:rFonts w:ascii="Arial" w:eastAsia="Times New Roman" w:hAnsi="Arial" w:cs="Arial"/>
                <w:b/>
                <w:bCs/>
                <w:color w:val="000000"/>
                <w:sz w:val="16"/>
                <w:szCs w:val="16"/>
                <w:vertAlign w:val="superscript"/>
                <w:lang w:eastAsia="en-AU"/>
              </w:rPr>
              <w:t>b</w:t>
            </w:r>
            <w:r w:rsidRPr="00B55251">
              <w:rPr>
                <w:rFonts w:ascii="Arial" w:eastAsia="Times New Roman" w:hAnsi="Arial" w:cs="Arial"/>
                <w:b/>
                <w:bCs/>
                <w:color w:val="000000"/>
                <w:sz w:val="16"/>
                <w:szCs w:val="16"/>
                <w:vertAlign w:val="superscript"/>
                <w:lang w:eastAsia="en-AU"/>
              </w:rPr>
              <w:t>)</w:t>
            </w:r>
          </w:p>
        </w:tc>
      </w:tr>
      <w:tr w:rsidR="00133829" w:rsidRPr="00B55251" w14:paraId="3F954376" w14:textId="77777777" w:rsidTr="001F6C35">
        <w:trPr>
          <w:trHeight w:val="227"/>
        </w:trPr>
        <w:tc>
          <w:tcPr>
            <w:tcW w:w="2268" w:type="dxa"/>
            <w:vMerge/>
            <w:tcBorders>
              <w:top w:val="single" w:sz="8" w:space="0" w:color="auto"/>
              <w:left w:val="nil"/>
              <w:bottom w:val="single" w:sz="4" w:space="0" w:color="auto"/>
              <w:right w:val="nil"/>
            </w:tcBorders>
            <w:vAlign w:val="center"/>
            <w:hideMark/>
          </w:tcPr>
          <w:p w14:paraId="0074E92E" w14:textId="77777777" w:rsidR="00133829" w:rsidRPr="00B55251" w:rsidRDefault="00133829" w:rsidP="001F6C35">
            <w:pPr>
              <w:spacing w:after="0" w:line="276" w:lineRule="auto"/>
              <w:rPr>
                <w:rFonts w:ascii="Arial" w:eastAsia="Times New Roman" w:hAnsi="Arial" w:cs="Arial"/>
                <w:b/>
                <w:bCs/>
                <w:color w:val="000000"/>
                <w:sz w:val="16"/>
                <w:szCs w:val="16"/>
                <w:lang w:eastAsia="en-AU"/>
              </w:rPr>
            </w:pPr>
          </w:p>
        </w:tc>
        <w:tc>
          <w:tcPr>
            <w:tcW w:w="960" w:type="dxa"/>
            <w:tcBorders>
              <w:top w:val="single" w:sz="4" w:space="0" w:color="auto"/>
              <w:left w:val="nil"/>
              <w:bottom w:val="single" w:sz="4" w:space="0" w:color="auto"/>
              <w:right w:val="nil"/>
            </w:tcBorders>
            <w:shd w:val="clear" w:color="auto" w:fill="auto"/>
            <w:vAlign w:val="center"/>
            <w:hideMark/>
          </w:tcPr>
          <w:p w14:paraId="2022413C" w14:textId="77777777" w:rsidR="00133829" w:rsidRPr="00B55251" w:rsidRDefault="00133829"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&lt; 30</w:t>
            </w:r>
          </w:p>
        </w:tc>
        <w:tc>
          <w:tcPr>
            <w:tcW w:w="1450" w:type="dxa"/>
            <w:tcBorders>
              <w:top w:val="single" w:sz="4" w:space="0" w:color="auto"/>
              <w:left w:val="nil"/>
              <w:bottom w:val="single" w:sz="4" w:space="0" w:color="auto"/>
              <w:right w:val="nil"/>
            </w:tcBorders>
            <w:shd w:val="clear" w:color="auto" w:fill="auto"/>
            <w:vAlign w:val="center"/>
            <w:hideMark/>
          </w:tcPr>
          <w:p w14:paraId="5D2D6520" w14:textId="77777777" w:rsidR="00133829" w:rsidRPr="00B55251" w:rsidRDefault="00133829"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30-34</w:t>
            </w:r>
          </w:p>
        </w:tc>
        <w:tc>
          <w:tcPr>
            <w:tcW w:w="1559" w:type="dxa"/>
            <w:tcBorders>
              <w:top w:val="single" w:sz="4" w:space="0" w:color="auto"/>
              <w:left w:val="nil"/>
              <w:bottom w:val="single" w:sz="4" w:space="0" w:color="auto"/>
              <w:right w:val="nil"/>
            </w:tcBorders>
            <w:shd w:val="clear" w:color="auto" w:fill="auto"/>
            <w:vAlign w:val="center"/>
            <w:hideMark/>
          </w:tcPr>
          <w:p w14:paraId="318D6929" w14:textId="77777777" w:rsidR="00133829" w:rsidRPr="00B55251" w:rsidRDefault="00133829"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35-39</w:t>
            </w:r>
          </w:p>
        </w:tc>
        <w:tc>
          <w:tcPr>
            <w:tcW w:w="1418" w:type="dxa"/>
            <w:tcBorders>
              <w:top w:val="single" w:sz="4" w:space="0" w:color="auto"/>
              <w:left w:val="nil"/>
              <w:bottom w:val="single" w:sz="4" w:space="0" w:color="auto"/>
              <w:right w:val="nil"/>
            </w:tcBorders>
            <w:shd w:val="clear" w:color="auto" w:fill="auto"/>
            <w:vAlign w:val="center"/>
            <w:hideMark/>
          </w:tcPr>
          <w:p w14:paraId="190814AD" w14:textId="77777777" w:rsidR="00133829" w:rsidRPr="00B55251" w:rsidRDefault="00133829" w:rsidP="001F6C35">
            <w:pPr>
              <w:spacing w:after="0" w:line="276" w:lineRule="auto"/>
              <w:jc w:val="right"/>
              <w:rPr>
                <w:rFonts w:ascii="Arial" w:eastAsia="Times New Roman" w:hAnsi="Arial" w:cs="Arial"/>
                <w:b/>
                <w:bCs/>
                <w:color w:val="000000"/>
                <w:sz w:val="16"/>
                <w:szCs w:val="16"/>
                <w:lang w:eastAsia="en-AU"/>
              </w:rPr>
            </w:pPr>
            <w:r w:rsidRPr="0074169F">
              <w:rPr>
                <w:rFonts w:ascii="Calibri" w:eastAsia="Times New Roman" w:hAnsi="Calibri" w:cs="Calibri"/>
                <w:b/>
                <w:bCs/>
                <w:color w:val="000000"/>
                <w:sz w:val="16"/>
                <w:szCs w:val="16"/>
                <w:lang w:eastAsia="en-AU"/>
              </w:rPr>
              <w:t>≥</w:t>
            </w:r>
            <w:r>
              <w:rPr>
                <w:rFonts w:ascii="Calibri" w:eastAsia="Times New Roman" w:hAnsi="Calibri" w:cs="Calibri"/>
                <w:b/>
                <w:bCs/>
                <w:color w:val="000000"/>
                <w:sz w:val="16"/>
                <w:szCs w:val="16"/>
                <w:lang w:eastAsia="en-AU"/>
              </w:rPr>
              <w:t xml:space="preserve"> </w:t>
            </w:r>
            <w:r w:rsidRPr="00B55251">
              <w:rPr>
                <w:rFonts w:ascii="Arial" w:eastAsia="Times New Roman" w:hAnsi="Arial" w:cs="Arial"/>
                <w:b/>
                <w:bCs/>
                <w:color w:val="000000"/>
                <w:sz w:val="16"/>
                <w:szCs w:val="16"/>
                <w:lang w:eastAsia="en-AU"/>
              </w:rPr>
              <w:t>40</w:t>
            </w:r>
          </w:p>
        </w:tc>
        <w:tc>
          <w:tcPr>
            <w:tcW w:w="1276" w:type="dxa"/>
            <w:tcBorders>
              <w:top w:val="single" w:sz="4" w:space="0" w:color="auto"/>
              <w:left w:val="nil"/>
              <w:bottom w:val="single" w:sz="4" w:space="0" w:color="auto"/>
              <w:right w:val="nil"/>
            </w:tcBorders>
            <w:shd w:val="clear" w:color="auto" w:fill="auto"/>
            <w:vAlign w:val="center"/>
            <w:hideMark/>
          </w:tcPr>
          <w:p w14:paraId="660DEEF6" w14:textId="77777777" w:rsidR="00133829" w:rsidRPr="00B55251" w:rsidRDefault="00133829"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All</w:t>
            </w:r>
          </w:p>
        </w:tc>
      </w:tr>
      <w:tr w:rsidR="00133829" w:rsidRPr="00B55251" w14:paraId="31A091DC" w14:textId="77777777" w:rsidTr="001F6C35">
        <w:trPr>
          <w:trHeight w:val="227"/>
        </w:trPr>
        <w:tc>
          <w:tcPr>
            <w:tcW w:w="2268" w:type="dxa"/>
            <w:tcBorders>
              <w:top w:val="nil"/>
              <w:left w:val="nil"/>
              <w:bottom w:val="nil"/>
              <w:right w:val="nil"/>
            </w:tcBorders>
            <w:shd w:val="clear" w:color="auto" w:fill="auto"/>
            <w:noWrap/>
            <w:vAlign w:val="bottom"/>
            <w:hideMark/>
          </w:tcPr>
          <w:p w14:paraId="5C49D584" w14:textId="77777777" w:rsidR="00133829" w:rsidRPr="00B55251" w:rsidRDefault="00133829" w:rsidP="001F6C35">
            <w:pPr>
              <w:spacing w:after="0" w:line="276" w:lineRule="auto"/>
              <w:rPr>
                <w:rFonts w:ascii="Arial" w:eastAsia="Times New Roman" w:hAnsi="Arial" w:cs="Arial"/>
                <w:color w:val="000000"/>
                <w:sz w:val="16"/>
                <w:szCs w:val="16"/>
                <w:lang w:eastAsia="en-AU"/>
              </w:rPr>
            </w:pPr>
          </w:p>
        </w:tc>
        <w:tc>
          <w:tcPr>
            <w:tcW w:w="6663" w:type="dxa"/>
            <w:gridSpan w:val="5"/>
            <w:tcBorders>
              <w:top w:val="single" w:sz="4" w:space="0" w:color="auto"/>
              <w:left w:val="nil"/>
              <w:bottom w:val="nil"/>
              <w:right w:val="nil"/>
            </w:tcBorders>
            <w:shd w:val="clear" w:color="auto" w:fill="auto"/>
            <w:noWrap/>
            <w:vAlign w:val="center"/>
            <w:hideMark/>
          </w:tcPr>
          <w:p w14:paraId="17910604" w14:textId="77777777" w:rsidR="00133829" w:rsidRPr="00B55251" w:rsidRDefault="00133829" w:rsidP="001F6C35">
            <w:pPr>
              <w:spacing w:after="0" w:line="276" w:lineRule="auto"/>
              <w:jc w:val="center"/>
              <w:rPr>
                <w:rFonts w:ascii="Arial" w:eastAsia="Times New Roman" w:hAnsi="Arial" w:cs="Arial"/>
                <w:b/>
                <w:color w:val="000000"/>
                <w:sz w:val="16"/>
                <w:szCs w:val="16"/>
                <w:lang w:eastAsia="en-AU"/>
              </w:rPr>
            </w:pPr>
            <w:r>
              <w:rPr>
                <w:rFonts w:ascii="Arial" w:eastAsia="Times New Roman" w:hAnsi="Arial" w:cs="Arial"/>
                <w:b/>
                <w:color w:val="000000"/>
                <w:sz w:val="16"/>
                <w:szCs w:val="16"/>
                <w:lang w:eastAsia="en-AU"/>
              </w:rPr>
              <w:t>n</w:t>
            </w:r>
          </w:p>
        </w:tc>
      </w:tr>
      <w:tr w:rsidR="00DF59CE" w:rsidRPr="003C4E7C" w14:paraId="49B38EF8" w14:textId="77777777" w:rsidTr="001F6C35">
        <w:trPr>
          <w:trHeight w:val="227"/>
        </w:trPr>
        <w:tc>
          <w:tcPr>
            <w:tcW w:w="2268" w:type="dxa"/>
            <w:tcBorders>
              <w:top w:val="nil"/>
              <w:left w:val="nil"/>
              <w:bottom w:val="nil"/>
              <w:right w:val="nil"/>
            </w:tcBorders>
            <w:shd w:val="clear" w:color="auto" w:fill="auto"/>
            <w:vAlign w:val="center"/>
            <w:hideMark/>
          </w:tcPr>
          <w:p w14:paraId="7808668E" w14:textId="77777777" w:rsidR="00DF59CE" w:rsidRPr="00B55251" w:rsidRDefault="00DF59CE" w:rsidP="00DF59CE">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One</w:t>
            </w:r>
          </w:p>
        </w:tc>
        <w:tc>
          <w:tcPr>
            <w:tcW w:w="960" w:type="dxa"/>
            <w:tcBorders>
              <w:top w:val="nil"/>
              <w:left w:val="nil"/>
              <w:bottom w:val="nil"/>
              <w:right w:val="nil"/>
            </w:tcBorders>
            <w:shd w:val="clear" w:color="auto" w:fill="auto"/>
            <w:noWrap/>
            <w:vAlign w:val="bottom"/>
          </w:tcPr>
          <w:p w14:paraId="75535A48" w14:textId="34D27FBE"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128</w:t>
            </w:r>
          </w:p>
        </w:tc>
        <w:tc>
          <w:tcPr>
            <w:tcW w:w="1450" w:type="dxa"/>
            <w:tcBorders>
              <w:top w:val="nil"/>
              <w:left w:val="nil"/>
              <w:bottom w:val="nil"/>
              <w:right w:val="nil"/>
            </w:tcBorders>
            <w:shd w:val="clear" w:color="auto" w:fill="auto"/>
            <w:noWrap/>
            <w:vAlign w:val="bottom"/>
          </w:tcPr>
          <w:p w14:paraId="19BB705F" w14:textId="0A7B677B"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320</w:t>
            </w:r>
          </w:p>
        </w:tc>
        <w:tc>
          <w:tcPr>
            <w:tcW w:w="1559" w:type="dxa"/>
            <w:tcBorders>
              <w:top w:val="nil"/>
              <w:left w:val="nil"/>
              <w:bottom w:val="nil"/>
              <w:right w:val="nil"/>
            </w:tcBorders>
            <w:shd w:val="clear" w:color="auto" w:fill="auto"/>
            <w:noWrap/>
            <w:vAlign w:val="bottom"/>
          </w:tcPr>
          <w:p w14:paraId="46D2BBDC" w14:textId="3B3D89CA"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271</w:t>
            </w:r>
          </w:p>
        </w:tc>
        <w:tc>
          <w:tcPr>
            <w:tcW w:w="1418" w:type="dxa"/>
            <w:tcBorders>
              <w:top w:val="nil"/>
              <w:left w:val="nil"/>
              <w:bottom w:val="nil"/>
              <w:right w:val="nil"/>
            </w:tcBorders>
            <w:shd w:val="clear" w:color="auto" w:fill="auto"/>
            <w:noWrap/>
            <w:vAlign w:val="bottom"/>
          </w:tcPr>
          <w:p w14:paraId="1D7DCE7A" w14:textId="42DBD563"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133</w:t>
            </w:r>
          </w:p>
        </w:tc>
        <w:tc>
          <w:tcPr>
            <w:tcW w:w="1276" w:type="dxa"/>
            <w:tcBorders>
              <w:top w:val="nil"/>
              <w:left w:val="nil"/>
              <w:bottom w:val="nil"/>
              <w:right w:val="nil"/>
            </w:tcBorders>
            <w:shd w:val="clear" w:color="auto" w:fill="auto"/>
            <w:noWrap/>
            <w:vAlign w:val="bottom"/>
          </w:tcPr>
          <w:p w14:paraId="7E66D2D7" w14:textId="069609FD" w:rsidR="00DF59CE" w:rsidRPr="00AA3DEE" w:rsidRDefault="00DF59CE" w:rsidP="00DF59CE">
            <w:pPr>
              <w:spacing w:after="0" w:line="276" w:lineRule="auto"/>
              <w:jc w:val="right"/>
              <w:rPr>
                <w:rFonts w:ascii="Arial" w:hAnsi="Arial" w:cs="Arial"/>
                <w:color w:val="000000"/>
                <w:sz w:val="16"/>
                <w:szCs w:val="16"/>
              </w:rPr>
            </w:pPr>
            <w:r w:rsidRPr="00487E53">
              <w:rPr>
                <w:rFonts w:ascii="Arial" w:hAnsi="Arial" w:cs="Arial"/>
                <w:color w:val="000000"/>
                <w:sz w:val="16"/>
                <w:szCs w:val="16"/>
              </w:rPr>
              <w:t>852</w:t>
            </w:r>
          </w:p>
        </w:tc>
      </w:tr>
      <w:tr w:rsidR="00DF59CE" w:rsidRPr="003C4E7C" w14:paraId="26B966E5" w14:textId="77777777" w:rsidTr="001F6C35">
        <w:trPr>
          <w:trHeight w:val="227"/>
        </w:trPr>
        <w:tc>
          <w:tcPr>
            <w:tcW w:w="2268" w:type="dxa"/>
            <w:tcBorders>
              <w:top w:val="nil"/>
              <w:left w:val="nil"/>
              <w:bottom w:val="nil"/>
              <w:right w:val="nil"/>
            </w:tcBorders>
            <w:shd w:val="clear" w:color="auto" w:fill="auto"/>
            <w:vAlign w:val="center"/>
            <w:hideMark/>
          </w:tcPr>
          <w:p w14:paraId="0880AC85" w14:textId="77777777" w:rsidR="00DF59CE" w:rsidRPr="00B55251" w:rsidRDefault="00DF59CE" w:rsidP="00DF59CE">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Two</w:t>
            </w:r>
          </w:p>
        </w:tc>
        <w:tc>
          <w:tcPr>
            <w:tcW w:w="960" w:type="dxa"/>
            <w:tcBorders>
              <w:top w:val="nil"/>
              <w:left w:val="nil"/>
              <w:bottom w:val="nil"/>
              <w:right w:val="nil"/>
            </w:tcBorders>
            <w:shd w:val="clear" w:color="auto" w:fill="auto"/>
            <w:noWrap/>
            <w:vAlign w:val="bottom"/>
          </w:tcPr>
          <w:p w14:paraId="4B67176C" w14:textId="4509EC47"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61</w:t>
            </w:r>
          </w:p>
        </w:tc>
        <w:tc>
          <w:tcPr>
            <w:tcW w:w="1450" w:type="dxa"/>
            <w:tcBorders>
              <w:top w:val="nil"/>
              <w:left w:val="nil"/>
              <w:bottom w:val="nil"/>
              <w:right w:val="nil"/>
            </w:tcBorders>
            <w:shd w:val="clear" w:color="auto" w:fill="auto"/>
            <w:noWrap/>
            <w:vAlign w:val="bottom"/>
          </w:tcPr>
          <w:p w14:paraId="4CFA7169" w14:textId="28BA3091"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167</w:t>
            </w:r>
          </w:p>
        </w:tc>
        <w:tc>
          <w:tcPr>
            <w:tcW w:w="1559" w:type="dxa"/>
            <w:tcBorders>
              <w:top w:val="nil"/>
              <w:left w:val="nil"/>
              <w:bottom w:val="nil"/>
              <w:right w:val="nil"/>
            </w:tcBorders>
            <w:shd w:val="clear" w:color="auto" w:fill="auto"/>
            <w:noWrap/>
            <w:vAlign w:val="bottom"/>
          </w:tcPr>
          <w:p w14:paraId="3EDDA78E" w14:textId="09E5FD2D"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200</w:t>
            </w:r>
          </w:p>
        </w:tc>
        <w:tc>
          <w:tcPr>
            <w:tcW w:w="1418" w:type="dxa"/>
            <w:tcBorders>
              <w:top w:val="nil"/>
              <w:left w:val="nil"/>
              <w:bottom w:val="nil"/>
              <w:right w:val="nil"/>
            </w:tcBorders>
            <w:shd w:val="clear" w:color="auto" w:fill="auto"/>
            <w:noWrap/>
            <w:vAlign w:val="bottom"/>
          </w:tcPr>
          <w:p w14:paraId="5871C754" w14:textId="572E5A4C"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88</w:t>
            </w:r>
          </w:p>
        </w:tc>
        <w:tc>
          <w:tcPr>
            <w:tcW w:w="1276" w:type="dxa"/>
            <w:tcBorders>
              <w:top w:val="nil"/>
              <w:left w:val="nil"/>
              <w:bottom w:val="nil"/>
              <w:right w:val="nil"/>
            </w:tcBorders>
            <w:shd w:val="clear" w:color="auto" w:fill="auto"/>
            <w:noWrap/>
            <w:vAlign w:val="bottom"/>
          </w:tcPr>
          <w:p w14:paraId="1FF8CC11" w14:textId="284B033B" w:rsidR="00DF59CE" w:rsidRPr="00AA3DEE" w:rsidRDefault="00DF59CE" w:rsidP="00DF59CE">
            <w:pPr>
              <w:spacing w:after="0" w:line="276" w:lineRule="auto"/>
              <w:jc w:val="right"/>
              <w:rPr>
                <w:rFonts w:ascii="Arial" w:hAnsi="Arial" w:cs="Arial"/>
                <w:color w:val="000000"/>
                <w:sz w:val="16"/>
                <w:szCs w:val="16"/>
              </w:rPr>
            </w:pPr>
            <w:r w:rsidRPr="00487E53">
              <w:rPr>
                <w:rFonts w:ascii="Arial" w:hAnsi="Arial" w:cs="Arial"/>
                <w:color w:val="000000"/>
                <w:sz w:val="16"/>
                <w:szCs w:val="16"/>
              </w:rPr>
              <w:t>516</w:t>
            </w:r>
          </w:p>
        </w:tc>
      </w:tr>
      <w:tr w:rsidR="00DF59CE" w:rsidRPr="003C4E7C" w14:paraId="481C8DA5" w14:textId="77777777" w:rsidTr="001F6C35">
        <w:trPr>
          <w:trHeight w:val="227"/>
        </w:trPr>
        <w:tc>
          <w:tcPr>
            <w:tcW w:w="2268" w:type="dxa"/>
            <w:tcBorders>
              <w:top w:val="nil"/>
              <w:left w:val="nil"/>
              <w:bottom w:val="nil"/>
              <w:right w:val="nil"/>
            </w:tcBorders>
            <w:shd w:val="clear" w:color="auto" w:fill="auto"/>
            <w:vAlign w:val="center"/>
            <w:hideMark/>
          </w:tcPr>
          <w:p w14:paraId="31AD13F1" w14:textId="77777777" w:rsidR="00DF59CE" w:rsidRPr="00B55251" w:rsidRDefault="00DF59CE" w:rsidP="00DF59CE">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Three</w:t>
            </w:r>
          </w:p>
        </w:tc>
        <w:tc>
          <w:tcPr>
            <w:tcW w:w="960" w:type="dxa"/>
            <w:tcBorders>
              <w:top w:val="nil"/>
              <w:left w:val="nil"/>
              <w:bottom w:val="nil"/>
              <w:right w:val="nil"/>
            </w:tcBorders>
            <w:shd w:val="clear" w:color="auto" w:fill="auto"/>
            <w:noWrap/>
            <w:vAlign w:val="bottom"/>
          </w:tcPr>
          <w:p w14:paraId="57E2D998" w14:textId="60C7BE4E"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23</w:t>
            </w:r>
          </w:p>
        </w:tc>
        <w:tc>
          <w:tcPr>
            <w:tcW w:w="1450" w:type="dxa"/>
            <w:tcBorders>
              <w:top w:val="nil"/>
              <w:left w:val="nil"/>
              <w:bottom w:val="nil"/>
              <w:right w:val="nil"/>
            </w:tcBorders>
            <w:shd w:val="clear" w:color="auto" w:fill="auto"/>
            <w:noWrap/>
            <w:vAlign w:val="bottom"/>
          </w:tcPr>
          <w:p w14:paraId="34C27C47" w14:textId="69DCA84D"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88</w:t>
            </w:r>
          </w:p>
        </w:tc>
        <w:tc>
          <w:tcPr>
            <w:tcW w:w="1559" w:type="dxa"/>
            <w:tcBorders>
              <w:top w:val="nil"/>
              <w:left w:val="nil"/>
              <w:bottom w:val="nil"/>
              <w:right w:val="nil"/>
            </w:tcBorders>
            <w:shd w:val="clear" w:color="auto" w:fill="auto"/>
            <w:noWrap/>
            <w:vAlign w:val="bottom"/>
          </w:tcPr>
          <w:p w14:paraId="24268464" w14:textId="51317660"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99</w:t>
            </w:r>
          </w:p>
        </w:tc>
        <w:tc>
          <w:tcPr>
            <w:tcW w:w="1418" w:type="dxa"/>
            <w:tcBorders>
              <w:top w:val="nil"/>
              <w:left w:val="nil"/>
              <w:bottom w:val="nil"/>
              <w:right w:val="nil"/>
            </w:tcBorders>
            <w:shd w:val="clear" w:color="auto" w:fill="auto"/>
            <w:noWrap/>
            <w:vAlign w:val="bottom"/>
          </w:tcPr>
          <w:p w14:paraId="74B1A693" w14:textId="719729FF"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45</w:t>
            </w:r>
          </w:p>
        </w:tc>
        <w:tc>
          <w:tcPr>
            <w:tcW w:w="1276" w:type="dxa"/>
            <w:tcBorders>
              <w:top w:val="nil"/>
              <w:left w:val="nil"/>
              <w:bottom w:val="nil"/>
              <w:right w:val="nil"/>
            </w:tcBorders>
            <w:shd w:val="clear" w:color="auto" w:fill="auto"/>
            <w:noWrap/>
            <w:vAlign w:val="bottom"/>
          </w:tcPr>
          <w:p w14:paraId="5E5042B9" w14:textId="4F3315C5" w:rsidR="00DF59CE" w:rsidRPr="00AA3DEE" w:rsidRDefault="00DF59CE" w:rsidP="00DF59CE">
            <w:pPr>
              <w:spacing w:after="0" w:line="276" w:lineRule="auto"/>
              <w:jc w:val="right"/>
              <w:rPr>
                <w:rFonts w:ascii="Arial" w:hAnsi="Arial" w:cs="Arial"/>
                <w:color w:val="000000"/>
                <w:sz w:val="16"/>
                <w:szCs w:val="16"/>
              </w:rPr>
            </w:pPr>
            <w:r w:rsidRPr="00487E53">
              <w:rPr>
                <w:rFonts w:ascii="Arial" w:hAnsi="Arial" w:cs="Arial"/>
                <w:color w:val="000000"/>
                <w:sz w:val="16"/>
                <w:szCs w:val="16"/>
              </w:rPr>
              <w:t>255</w:t>
            </w:r>
          </w:p>
        </w:tc>
      </w:tr>
      <w:tr w:rsidR="00DF59CE" w:rsidRPr="003C4E7C" w14:paraId="4C952489" w14:textId="77777777" w:rsidTr="001F6C35">
        <w:trPr>
          <w:trHeight w:val="227"/>
        </w:trPr>
        <w:tc>
          <w:tcPr>
            <w:tcW w:w="2268" w:type="dxa"/>
            <w:tcBorders>
              <w:top w:val="nil"/>
              <w:left w:val="nil"/>
              <w:bottom w:val="nil"/>
              <w:right w:val="nil"/>
            </w:tcBorders>
            <w:shd w:val="clear" w:color="auto" w:fill="auto"/>
            <w:vAlign w:val="center"/>
            <w:hideMark/>
          </w:tcPr>
          <w:p w14:paraId="0A72D600" w14:textId="77777777" w:rsidR="00DF59CE" w:rsidRPr="00B55251" w:rsidRDefault="00DF59CE" w:rsidP="00DF59CE">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Four</w:t>
            </w:r>
          </w:p>
        </w:tc>
        <w:tc>
          <w:tcPr>
            <w:tcW w:w="960" w:type="dxa"/>
            <w:tcBorders>
              <w:top w:val="nil"/>
              <w:left w:val="nil"/>
              <w:bottom w:val="nil"/>
              <w:right w:val="nil"/>
            </w:tcBorders>
            <w:shd w:val="clear" w:color="auto" w:fill="auto"/>
            <w:noWrap/>
            <w:vAlign w:val="bottom"/>
          </w:tcPr>
          <w:p w14:paraId="7288766B" w14:textId="75D70366"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17</w:t>
            </w:r>
          </w:p>
        </w:tc>
        <w:tc>
          <w:tcPr>
            <w:tcW w:w="1450" w:type="dxa"/>
            <w:tcBorders>
              <w:top w:val="nil"/>
              <w:left w:val="nil"/>
              <w:bottom w:val="nil"/>
              <w:right w:val="nil"/>
            </w:tcBorders>
            <w:shd w:val="clear" w:color="auto" w:fill="auto"/>
            <w:noWrap/>
            <w:vAlign w:val="bottom"/>
          </w:tcPr>
          <w:p w14:paraId="7833DE74" w14:textId="54AA6247"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48</w:t>
            </w:r>
          </w:p>
        </w:tc>
        <w:tc>
          <w:tcPr>
            <w:tcW w:w="1559" w:type="dxa"/>
            <w:tcBorders>
              <w:top w:val="nil"/>
              <w:left w:val="nil"/>
              <w:bottom w:val="nil"/>
              <w:right w:val="nil"/>
            </w:tcBorders>
            <w:shd w:val="clear" w:color="auto" w:fill="auto"/>
            <w:noWrap/>
            <w:vAlign w:val="bottom"/>
          </w:tcPr>
          <w:p w14:paraId="78EA0472" w14:textId="2789324F"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64</w:t>
            </w:r>
          </w:p>
        </w:tc>
        <w:tc>
          <w:tcPr>
            <w:tcW w:w="1418" w:type="dxa"/>
            <w:tcBorders>
              <w:top w:val="nil"/>
              <w:left w:val="nil"/>
              <w:bottom w:val="nil"/>
              <w:right w:val="nil"/>
            </w:tcBorders>
            <w:shd w:val="clear" w:color="auto" w:fill="auto"/>
            <w:noWrap/>
            <w:vAlign w:val="bottom"/>
          </w:tcPr>
          <w:p w14:paraId="44B97071" w14:textId="555BC57B"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19</w:t>
            </w:r>
          </w:p>
        </w:tc>
        <w:tc>
          <w:tcPr>
            <w:tcW w:w="1276" w:type="dxa"/>
            <w:tcBorders>
              <w:top w:val="nil"/>
              <w:left w:val="nil"/>
              <w:bottom w:val="nil"/>
              <w:right w:val="nil"/>
            </w:tcBorders>
            <w:shd w:val="clear" w:color="auto" w:fill="auto"/>
            <w:noWrap/>
            <w:vAlign w:val="bottom"/>
          </w:tcPr>
          <w:p w14:paraId="191B6F9A" w14:textId="3CB3F625" w:rsidR="00DF59CE" w:rsidRPr="00AA3DEE" w:rsidRDefault="00DF59CE" w:rsidP="00DF59CE">
            <w:pPr>
              <w:spacing w:after="0" w:line="276" w:lineRule="auto"/>
              <w:jc w:val="right"/>
              <w:rPr>
                <w:rFonts w:ascii="Arial" w:hAnsi="Arial" w:cs="Arial"/>
                <w:color w:val="000000"/>
                <w:sz w:val="16"/>
                <w:szCs w:val="16"/>
              </w:rPr>
            </w:pPr>
            <w:r w:rsidRPr="00487E53">
              <w:rPr>
                <w:rFonts w:ascii="Arial" w:hAnsi="Arial" w:cs="Arial"/>
                <w:color w:val="000000"/>
                <w:sz w:val="16"/>
                <w:szCs w:val="16"/>
              </w:rPr>
              <w:t>148</w:t>
            </w:r>
          </w:p>
        </w:tc>
      </w:tr>
      <w:tr w:rsidR="00DF59CE" w:rsidRPr="003C4E7C" w14:paraId="3C96DCE2" w14:textId="77777777" w:rsidTr="001F6C35">
        <w:trPr>
          <w:trHeight w:val="227"/>
        </w:trPr>
        <w:tc>
          <w:tcPr>
            <w:tcW w:w="2268" w:type="dxa"/>
            <w:tcBorders>
              <w:top w:val="nil"/>
              <w:left w:val="nil"/>
              <w:bottom w:val="nil"/>
              <w:right w:val="nil"/>
            </w:tcBorders>
            <w:shd w:val="clear" w:color="auto" w:fill="auto"/>
            <w:vAlign w:val="center"/>
            <w:hideMark/>
          </w:tcPr>
          <w:p w14:paraId="10A78173" w14:textId="77777777" w:rsidR="00DF59CE" w:rsidRPr="00B55251" w:rsidRDefault="00DF59CE" w:rsidP="00DF59CE">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Five or more</w:t>
            </w:r>
          </w:p>
        </w:tc>
        <w:tc>
          <w:tcPr>
            <w:tcW w:w="960" w:type="dxa"/>
            <w:tcBorders>
              <w:top w:val="nil"/>
              <w:left w:val="nil"/>
              <w:bottom w:val="nil"/>
              <w:right w:val="nil"/>
            </w:tcBorders>
            <w:shd w:val="clear" w:color="auto" w:fill="auto"/>
            <w:noWrap/>
            <w:vAlign w:val="bottom"/>
          </w:tcPr>
          <w:p w14:paraId="051DDEEA" w14:textId="5EF6C9F3"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19</w:t>
            </w:r>
          </w:p>
        </w:tc>
        <w:tc>
          <w:tcPr>
            <w:tcW w:w="1450" w:type="dxa"/>
            <w:tcBorders>
              <w:top w:val="nil"/>
              <w:left w:val="nil"/>
              <w:bottom w:val="nil"/>
              <w:right w:val="nil"/>
            </w:tcBorders>
            <w:shd w:val="clear" w:color="auto" w:fill="auto"/>
            <w:noWrap/>
            <w:vAlign w:val="bottom"/>
          </w:tcPr>
          <w:p w14:paraId="65FD6B15" w14:textId="3CAE4752"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48</w:t>
            </w:r>
          </w:p>
        </w:tc>
        <w:tc>
          <w:tcPr>
            <w:tcW w:w="1559" w:type="dxa"/>
            <w:tcBorders>
              <w:top w:val="nil"/>
              <w:left w:val="nil"/>
              <w:bottom w:val="nil"/>
              <w:right w:val="nil"/>
            </w:tcBorders>
            <w:shd w:val="clear" w:color="auto" w:fill="auto"/>
            <w:noWrap/>
            <w:vAlign w:val="bottom"/>
          </w:tcPr>
          <w:p w14:paraId="4601E7AF" w14:textId="04F2D8AE"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97</w:t>
            </w:r>
          </w:p>
        </w:tc>
        <w:tc>
          <w:tcPr>
            <w:tcW w:w="1418" w:type="dxa"/>
            <w:tcBorders>
              <w:top w:val="nil"/>
              <w:left w:val="nil"/>
              <w:bottom w:val="nil"/>
              <w:right w:val="nil"/>
            </w:tcBorders>
            <w:shd w:val="clear" w:color="auto" w:fill="auto"/>
            <w:noWrap/>
            <w:vAlign w:val="bottom"/>
          </w:tcPr>
          <w:p w14:paraId="5222035C" w14:textId="736F2E0D" w:rsidR="00DF59CE" w:rsidRPr="00133829" w:rsidRDefault="00DF59CE" w:rsidP="00DF59CE">
            <w:pPr>
              <w:spacing w:after="0" w:line="276" w:lineRule="auto"/>
              <w:jc w:val="right"/>
              <w:rPr>
                <w:rFonts w:ascii="Arial" w:hAnsi="Arial" w:cs="Arial"/>
                <w:color w:val="000000"/>
                <w:sz w:val="16"/>
                <w:szCs w:val="16"/>
              </w:rPr>
            </w:pPr>
            <w:r>
              <w:rPr>
                <w:rFonts w:ascii="Arial" w:hAnsi="Arial" w:cs="Arial"/>
                <w:color w:val="000000"/>
                <w:sz w:val="16"/>
                <w:szCs w:val="16"/>
              </w:rPr>
              <w:t>23</w:t>
            </w:r>
          </w:p>
        </w:tc>
        <w:tc>
          <w:tcPr>
            <w:tcW w:w="1276" w:type="dxa"/>
            <w:tcBorders>
              <w:top w:val="nil"/>
              <w:left w:val="nil"/>
              <w:bottom w:val="nil"/>
              <w:right w:val="nil"/>
            </w:tcBorders>
            <w:shd w:val="clear" w:color="auto" w:fill="auto"/>
            <w:noWrap/>
            <w:vAlign w:val="bottom"/>
          </w:tcPr>
          <w:p w14:paraId="7DE7B1A4" w14:textId="0B469453" w:rsidR="00DF59CE" w:rsidRPr="00AA3DEE" w:rsidRDefault="00DF59CE" w:rsidP="00DF59CE">
            <w:pPr>
              <w:spacing w:after="0" w:line="276" w:lineRule="auto"/>
              <w:jc w:val="right"/>
              <w:rPr>
                <w:rFonts w:ascii="Arial" w:hAnsi="Arial" w:cs="Arial"/>
                <w:color w:val="000000"/>
                <w:sz w:val="16"/>
                <w:szCs w:val="16"/>
              </w:rPr>
            </w:pPr>
            <w:r w:rsidRPr="00487E53">
              <w:rPr>
                <w:rFonts w:ascii="Arial" w:hAnsi="Arial" w:cs="Arial"/>
                <w:color w:val="000000"/>
                <w:sz w:val="16"/>
                <w:szCs w:val="16"/>
              </w:rPr>
              <w:t>187</w:t>
            </w:r>
          </w:p>
        </w:tc>
      </w:tr>
      <w:tr w:rsidR="00DF59CE" w:rsidRPr="00995100" w14:paraId="01362B5A" w14:textId="77777777" w:rsidTr="001F6C35">
        <w:trPr>
          <w:trHeight w:val="227"/>
        </w:trPr>
        <w:tc>
          <w:tcPr>
            <w:tcW w:w="2268" w:type="dxa"/>
            <w:tcBorders>
              <w:top w:val="nil"/>
              <w:left w:val="nil"/>
              <w:bottom w:val="nil"/>
              <w:right w:val="nil"/>
            </w:tcBorders>
            <w:shd w:val="clear" w:color="auto" w:fill="auto"/>
            <w:vAlign w:val="center"/>
            <w:hideMark/>
          </w:tcPr>
          <w:p w14:paraId="02A4B122" w14:textId="77777777" w:rsidR="00DF59CE" w:rsidRPr="00B55251" w:rsidRDefault="00DF59CE" w:rsidP="00DF59CE">
            <w:pPr>
              <w:spacing w:after="0" w:line="276" w:lineRule="auto"/>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Total</w:t>
            </w:r>
          </w:p>
        </w:tc>
        <w:tc>
          <w:tcPr>
            <w:tcW w:w="960" w:type="dxa"/>
            <w:tcBorders>
              <w:top w:val="nil"/>
              <w:left w:val="nil"/>
              <w:bottom w:val="nil"/>
              <w:right w:val="nil"/>
            </w:tcBorders>
            <w:shd w:val="clear" w:color="auto" w:fill="auto"/>
            <w:noWrap/>
            <w:vAlign w:val="bottom"/>
          </w:tcPr>
          <w:p w14:paraId="032C0F77" w14:textId="2DB4E156" w:rsidR="00DF59CE" w:rsidRPr="00133829" w:rsidRDefault="00DF59CE" w:rsidP="00DF59CE">
            <w:pPr>
              <w:spacing w:after="0" w:line="276" w:lineRule="auto"/>
              <w:jc w:val="right"/>
              <w:rPr>
                <w:rFonts w:ascii="Arial" w:hAnsi="Arial" w:cs="Arial"/>
                <w:b/>
                <w:bCs/>
                <w:color w:val="000000"/>
                <w:sz w:val="16"/>
                <w:szCs w:val="16"/>
              </w:rPr>
            </w:pPr>
            <w:r>
              <w:rPr>
                <w:rFonts w:ascii="Arial" w:hAnsi="Arial" w:cs="Arial"/>
                <w:b/>
                <w:bCs/>
                <w:color w:val="000000"/>
                <w:sz w:val="16"/>
                <w:szCs w:val="16"/>
              </w:rPr>
              <w:t>248</w:t>
            </w:r>
          </w:p>
        </w:tc>
        <w:tc>
          <w:tcPr>
            <w:tcW w:w="1450" w:type="dxa"/>
            <w:tcBorders>
              <w:top w:val="nil"/>
              <w:left w:val="nil"/>
              <w:bottom w:val="nil"/>
              <w:right w:val="nil"/>
            </w:tcBorders>
            <w:shd w:val="clear" w:color="auto" w:fill="auto"/>
            <w:noWrap/>
            <w:vAlign w:val="bottom"/>
          </w:tcPr>
          <w:p w14:paraId="4C59FEDB" w14:textId="0F356807" w:rsidR="00DF59CE" w:rsidRPr="00133829" w:rsidRDefault="00DF59CE" w:rsidP="00DF59CE">
            <w:pPr>
              <w:spacing w:after="0" w:line="276" w:lineRule="auto"/>
              <w:jc w:val="right"/>
              <w:rPr>
                <w:rFonts w:ascii="Arial" w:hAnsi="Arial" w:cs="Arial"/>
                <w:b/>
                <w:bCs/>
                <w:color w:val="000000"/>
                <w:sz w:val="16"/>
                <w:szCs w:val="16"/>
              </w:rPr>
            </w:pPr>
            <w:r>
              <w:rPr>
                <w:rFonts w:ascii="Arial" w:hAnsi="Arial" w:cs="Arial"/>
                <w:b/>
                <w:bCs/>
                <w:color w:val="000000"/>
                <w:sz w:val="16"/>
                <w:szCs w:val="16"/>
              </w:rPr>
              <w:t>671</w:t>
            </w:r>
          </w:p>
        </w:tc>
        <w:tc>
          <w:tcPr>
            <w:tcW w:w="1559" w:type="dxa"/>
            <w:tcBorders>
              <w:top w:val="nil"/>
              <w:left w:val="nil"/>
              <w:bottom w:val="nil"/>
              <w:right w:val="nil"/>
            </w:tcBorders>
            <w:shd w:val="clear" w:color="auto" w:fill="auto"/>
            <w:noWrap/>
            <w:vAlign w:val="bottom"/>
          </w:tcPr>
          <w:p w14:paraId="3392F1FE" w14:textId="0EE48879" w:rsidR="00DF59CE" w:rsidRPr="00133829" w:rsidRDefault="00DF59CE" w:rsidP="00DF59CE">
            <w:pPr>
              <w:spacing w:after="0" w:line="276" w:lineRule="auto"/>
              <w:jc w:val="right"/>
              <w:rPr>
                <w:rFonts w:ascii="Arial" w:hAnsi="Arial" w:cs="Arial"/>
                <w:b/>
                <w:bCs/>
                <w:color w:val="000000"/>
                <w:sz w:val="16"/>
                <w:szCs w:val="16"/>
              </w:rPr>
            </w:pPr>
            <w:r>
              <w:rPr>
                <w:rFonts w:ascii="Arial" w:hAnsi="Arial" w:cs="Arial"/>
                <w:b/>
                <w:bCs/>
                <w:color w:val="000000"/>
                <w:sz w:val="16"/>
                <w:szCs w:val="16"/>
              </w:rPr>
              <w:t>731</w:t>
            </w:r>
          </w:p>
        </w:tc>
        <w:tc>
          <w:tcPr>
            <w:tcW w:w="1418" w:type="dxa"/>
            <w:tcBorders>
              <w:top w:val="nil"/>
              <w:left w:val="nil"/>
              <w:bottom w:val="nil"/>
              <w:right w:val="nil"/>
            </w:tcBorders>
            <w:shd w:val="clear" w:color="auto" w:fill="auto"/>
            <w:noWrap/>
            <w:vAlign w:val="bottom"/>
          </w:tcPr>
          <w:p w14:paraId="275A78B0" w14:textId="705438B6" w:rsidR="00DF59CE" w:rsidRPr="00133829" w:rsidRDefault="00DF59CE" w:rsidP="00DF59CE">
            <w:pPr>
              <w:spacing w:after="0" w:line="276" w:lineRule="auto"/>
              <w:jc w:val="right"/>
              <w:rPr>
                <w:rFonts w:ascii="Arial" w:hAnsi="Arial" w:cs="Arial"/>
                <w:b/>
                <w:bCs/>
                <w:color w:val="000000"/>
                <w:sz w:val="16"/>
                <w:szCs w:val="16"/>
              </w:rPr>
            </w:pPr>
            <w:r>
              <w:rPr>
                <w:rFonts w:ascii="Arial" w:hAnsi="Arial" w:cs="Arial"/>
                <w:b/>
                <w:bCs/>
                <w:color w:val="000000"/>
                <w:sz w:val="16"/>
                <w:szCs w:val="16"/>
              </w:rPr>
              <w:t>308</w:t>
            </w:r>
          </w:p>
        </w:tc>
        <w:tc>
          <w:tcPr>
            <w:tcW w:w="1276" w:type="dxa"/>
            <w:tcBorders>
              <w:top w:val="nil"/>
              <w:left w:val="nil"/>
              <w:bottom w:val="nil"/>
              <w:right w:val="nil"/>
            </w:tcBorders>
            <w:shd w:val="clear" w:color="auto" w:fill="auto"/>
            <w:noWrap/>
            <w:vAlign w:val="bottom"/>
          </w:tcPr>
          <w:p w14:paraId="54D4C27D" w14:textId="6A108524" w:rsidR="00DF59CE" w:rsidRPr="00133829" w:rsidRDefault="00DF59CE" w:rsidP="00DF59CE">
            <w:pPr>
              <w:spacing w:after="0" w:line="276" w:lineRule="auto"/>
              <w:jc w:val="right"/>
              <w:rPr>
                <w:rFonts w:ascii="Arial" w:hAnsi="Arial" w:cs="Arial"/>
                <w:b/>
                <w:bCs/>
                <w:color w:val="000000"/>
                <w:sz w:val="16"/>
                <w:szCs w:val="16"/>
              </w:rPr>
            </w:pPr>
            <w:r>
              <w:rPr>
                <w:rFonts w:ascii="Arial" w:hAnsi="Arial" w:cs="Arial"/>
                <w:b/>
                <w:bCs/>
                <w:color w:val="000000"/>
                <w:sz w:val="16"/>
                <w:szCs w:val="16"/>
              </w:rPr>
              <w:t>1,958</w:t>
            </w:r>
          </w:p>
        </w:tc>
      </w:tr>
      <w:tr w:rsidR="00133829" w:rsidRPr="00B55251" w14:paraId="7EAF0F63" w14:textId="77777777" w:rsidTr="001F6C35">
        <w:trPr>
          <w:trHeight w:val="227"/>
        </w:trPr>
        <w:tc>
          <w:tcPr>
            <w:tcW w:w="2268" w:type="dxa"/>
            <w:tcBorders>
              <w:top w:val="nil"/>
              <w:left w:val="nil"/>
              <w:bottom w:val="nil"/>
              <w:right w:val="nil"/>
            </w:tcBorders>
            <w:shd w:val="clear" w:color="auto" w:fill="auto"/>
            <w:noWrap/>
            <w:vAlign w:val="center"/>
            <w:hideMark/>
          </w:tcPr>
          <w:p w14:paraId="1629CB6D" w14:textId="77777777" w:rsidR="00133829" w:rsidRPr="00B55251" w:rsidRDefault="00133829" w:rsidP="001F6C35">
            <w:pPr>
              <w:spacing w:after="0" w:line="276" w:lineRule="auto"/>
              <w:rPr>
                <w:rFonts w:ascii="Arial" w:eastAsia="Times New Roman" w:hAnsi="Arial" w:cs="Arial"/>
                <w:b/>
                <w:bCs/>
                <w:color w:val="000000"/>
                <w:sz w:val="16"/>
                <w:szCs w:val="16"/>
                <w:lang w:eastAsia="en-AU"/>
              </w:rPr>
            </w:pPr>
          </w:p>
        </w:tc>
        <w:tc>
          <w:tcPr>
            <w:tcW w:w="6663" w:type="dxa"/>
            <w:gridSpan w:val="5"/>
            <w:tcBorders>
              <w:top w:val="nil"/>
              <w:left w:val="nil"/>
              <w:bottom w:val="nil"/>
              <w:right w:val="nil"/>
            </w:tcBorders>
            <w:shd w:val="clear" w:color="auto" w:fill="auto"/>
            <w:vAlign w:val="center"/>
          </w:tcPr>
          <w:p w14:paraId="5C6DE31F" w14:textId="77777777" w:rsidR="00133829" w:rsidRPr="00B55251" w:rsidRDefault="00133829" w:rsidP="001F6C35">
            <w:pPr>
              <w:spacing w:after="0" w:line="276" w:lineRule="auto"/>
              <w:jc w:val="center"/>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t>%</w:t>
            </w:r>
          </w:p>
        </w:tc>
      </w:tr>
      <w:tr w:rsidR="00DF59CE" w:rsidRPr="00B55251" w14:paraId="7D566374" w14:textId="77777777" w:rsidTr="001F6C35">
        <w:trPr>
          <w:trHeight w:val="227"/>
        </w:trPr>
        <w:tc>
          <w:tcPr>
            <w:tcW w:w="2268" w:type="dxa"/>
            <w:tcBorders>
              <w:top w:val="nil"/>
              <w:left w:val="nil"/>
              <w:bottom w:val="nil"/>
              <w:right w:val="nil"/>
            </w:tcBorders>
            <w:shd w:val="clear" w:color="auto" w:fill="auto"/>
            <w:vAlign w:val="center"/>
            <w:hideMark/>
          </w:tcPr>
          <w:p w14:paraId="1CEE3982" w14:textId="77777777" w:rsidR="00DF59CE" w:rsidRPr="00B55251" w:rsidRDefault="00DF59CE" w:rsidP="00DF59CE">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One</w:t>
            </w:r>
          </w:p>
        </w:tc>
        <w:tc>
          <w:tcPr>
            <w:tcW w:w="960" w:type="dxa"/>
            <w:tcBorders>
              <w:top w:val="nil"/>
              <w:left w:val="nil"/>
              <w:bottom w:val="nil"/>
              <w:right w:val="nil"/>
            </w:tcBorders>
            <w:shd w:val="clear" w:color="auto" w:fill="auto"/>
            <w:noWrap/>
            <w:vAlign w:val="bottom"/>
          </w:tcPr>
          <w:p w14:paraId="7A210378" w14:textId="16D0ACFE"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51.6</w:t>
            </w:r>
          </w:p>
        </w:tc>
        <w:tc>
          <w:tcPr>
            <w:tcW w:w="1450" w:type="dxa"/>
            <w:tcBorders>
              <w:top w:val="nil"/>
              <w:left w:val="nil"/>
              <w:bottom w:val="nil"/>
              <w:right w:val="nil"/>
            </w:tcBorders>
            <w:shd w:val="clear" w:color="auto" w:fill="auto"/>
            <w:noWrap/>
            <w:vAlign w:val="bottom"/>
          </w:tcPr>
          <w:p w14:paraId="5F8F0B3A" w14:textId="5E8949DD"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47.7</w:t>
            </w:r>
          </w:p>
        </w:tc>
        <w:tc>
          <w:tcPr>
            <w:tcW w:w="1559" w:type="dxa"/>
            <w:tcBorders>
              <w:top w:val="nil"/>
              <w:left w:val="nil"/>
              <w:bottom w:val="nil"/>
              <w:right w:val="nil"/>
            </w:tcBorders>
            <w:shd w:val="clear" w:color="auto" w:fill="auto"/>
            <w:noWrap/>
            <w:vAlign w:val="bottom"/>
          </w:tcPr>
          <w:p w14:paraId="0DAE9AFF" w14:textId="53E388F6"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37.1</w:t>
            </w:r>
          </w:p>
        </w:tc>
        <w:tc>
          <w:tcPr>
            <w:tcW w:w="1418" w:type="dxa"/>
            <w:tcBorders>
              <w:top w:val="nil"/>
              <w:left w:val="nil"/>
              <w:bottom w:val="nil"/>
              <w:right w:val="nil"/>
            </w:tcBorders>
            <w:shd w:val="clear" w:color="auto" w:fill="auto"/>
            <w:noWrap/>
            <w:vAlign w:val="bottom"/>
          </w:tcPr>
          <w:p w14:paraId="7E7CE3D4" w14:textId="5B0A31DD"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43.2</w:t>
            </w:r>
          </w:p>
        </w:tc>
        <w:tc>
          <w:tcPr>
            <w:tcW w:w="1276" w:type="dxa"/>
            <w:tcBorders>
              <w:top w:val="nil"/>
              <w:left w:val="nil"/>
              <w:bottom w:val="nil"/>
              <w:right w:val="nil"/>
            </w:tcBorders>
            <w:shd w:val="clear" w:color="auto" w:fill="auto"/>
            <w:noWrap/>
            <w:vAlign w:val="bottom"/>
          </w:tcPr>
          <w:p w14:paraId="183D28E4" w14:textId="3127C5BA"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43.5</w:t>
            </w:r>
          </w:p>
        </w:tc>
      </w:tr>
      <w:tr w:rsidR="00DF59CE" w:rsidRPr="00B55251" w14:paraId="52E8AFF7" w14:textId="77777777" w:rsidTr="001F6C35">
        <w:trPr>
          <w:trHeight w:val="227"/>
        </w:trPr>
        <w:tc>
          <w:tcPr>
            <w:tcW w:w="2268" w:type="dxa"/>
            <w:tcBorders>
              <w:top w:val="nil"/>
              <w:left w:val="nil"/>
              <w:bottom w:val="nil"/>
              <w:right w:val="nil"/>
            </w:tcBorders>
            <w:shd w:val="clear" w:color="auto" w:fill="auto"/>
            <w:vAlign w:val="center"/>
            <w:hideMark/>
          </w:tcPr>
          <w:p w14:paraId="763254EB" w14:textId="77777777" w:rsidR="00DF59CE" w:rsidRPr="00B55251" w:rsidRDefault="00DF59CE" w:rsidP="00DF59CE">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Two</w:t>
            </w:r>
          </w:p>
        </w:tc>
        <w:tc>
          <w:tcPr>
            <w:tcW w:w="960" w:type="dxa"/>
            <w:tcBorders>
              <w:top w:val="nil"/>
              <w:left w:val="nil"/>
              <w:bottom w:val="nil"/>
              <w:right w:val="nil"/>
            </w:tcBorders>
            <w:shd w:val="clear" w:color="auto" w:fill="auto"/>
            <w:noWrap/>
            <w:vAlign w:val="bottom"/>
          </w:tcPr>
          <w:p w14:paraId="03F0BE46" w14:textId="5DD92D43"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24.6</w:t>
            </w:r>
          </w:p>
        </w:tc>
        <w:tc>
          <w:tcPr>
            <w:tcW w:w="1450" w:type="dxa"/>
            <w:tcBorders>
              <w:top w:val="nil"/>
              <w:left w:val="nil"/>
              <w:bottom w:val="nil"/>
              <w:right w:val="nil"/>
            </w:tcBorders>
            <w:shd w:val="clear" w:color="auto" w:fill="auto"/>
            <w:noWrap/>
            <w:vAlign w:val="bottom"/>
          </w:tcPr>
          <w:p w14:paraId="45C0437E" w14:textId="6FAA421F"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24.9</w:t>
            </w:r>
          </w:p>
        </w:tc>
        <w:tc>
          <w:tcPr>
            <w:tcW w:w="1559" w:type="dxa"/>
            <w:tcBorders>
              <w:top w:val="nil"/>
              <w:left w:val="nil"/>
              <w:bottom w:val="nil"/>
              <w:right w:val="nil"/>
            </w:tcBorders>
            <w:shd w:val="clear" w:color="auto" w:fill="auto"/>
            <w:noWrap/>
            <w:vAlign w:val="bottom"/>
          </w:tcPr>
          <w:p w14:paraId="7BEA1E39" w14:textId="71B796D8"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27.4</w:t>
            </w:r>
          </w:p>
        </w:tc>
        <w:tc>
          <w:tcPr>
            <w:tcW w:w="1418" w:type="dxa"/>
            <w:tcBorders>
              <w:top w:val="nil"/>
              <w:left w:val="nil"/>
              <w:bottom w:val="nil"/>
              <w:right w:val="nil"/>
            </w:tcBorders>
            <w:shd w:val="clear" w:color="auto" w:fill="auto"/>
            <w:noWrap/>
            <w:vAlign w:val="bottom"/>
          </w:tcPr>
          <w:p w14:paraId="5F966EA9" w14:textId="2B22D8C7"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28.6</w:t>
            </w:r>
          </w:p>
        </w:tc>
        <w:tc>
          <w:tcPr>
            <w:tcW w:w="1276" w:type="dxa"/>
            <w:tcBorders>
              <w:top w:val="nil"/>
              <w:left w:val="nil"/>
              <w:bottom w:val="nil"/>
              <w:right w:val="nil"/>
            </w:tcBorders>
            <w:shd w:val="clear" w:color="auto" w:fill="auto"/>
            <w:noWrap/>
            <w:vAlign w:val="bottom"/>
          </w:tcPr>
          <w:p w14:paraId="29203046" w14:textId="72E30AF4"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26.4</w:t>
            </w:r>
          </w:p>
        </w:tc>
      </w:tr>
      <w:tr w:rsidR="00DF59CE" w:rsidRPr="00B55251" w14:paraId="7BFE9DD9" w14:textId="77777777" w:rsidTr="001F6C35">
        <w:trPr>
          <w:trHeight w:val="227"/>
        </w:trPr>
        <w:tc>
          <w:tcPr>
            <w:tcW w:w="2268" w:type="dxa"/>
            <w:tcBorders>
              <w:top w:val="nil"/>
              <w:left w:val="nil"/>
              <w:bottom w:val="nil"/>
              <w:right w:val="nil"/>
            </w:tcBorders>
            <w:shd w:val="clear" w:color="auto" w:fill="auto"/>
            <w:vAlign w:val="center"/>
            <w:hideMark/>
          </w:tcPr>
          <w:p w14:paraId="43B37BF5" w14:textId="77777777" w:rsidR="00DF59CE" w:rsidRPr="00B55251" w:rsidRDefault="00DF59CE" w:rsidP="00DF59CE">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Three</w:t>
            </w:r>
          </w:p>
        </w:tc>
        <w:tc>
          <w:tcPr>
            <w:tcW w:w="960" w:type="dxa"/>
            <w:tcBorders>
              <w:top w:val="nil"/>
              <w:left w:val="nil"/>
              <w:bottom w:val="nil"/>
              <w:right w:val="nil"/>
            </w:tcBorders>
            <w:shd w:val="clear" w:color="auto" w:fill="auto"/>
            <w:noWrap/>
            <w:vAlign w:val="bottom"/>
          </w:tcPr>
          <w:p w14:paraId="57A74F0D" w14:textId="0B28297B"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9.3</w:t>
            </w:r>
          </w:p>
        </w:tc>
        <w:tc>
          <w:tcPr>
            <w:tcW w:w="1450" w:type="dxa"/>
            <w:tcBorders>
              <w:top w:val="nil"/>
              <w:left w:val="nil"/>
              <w:bottom w:val="nil"/>
              <w:right w:val="nil"/>
            </w:tcBorders>
            <w:shd w:val="clear" w:color="auto" w:fill="auto"/>
            <w:noWrap/>
            <w:vAlign w:val="bottom"/>
          </w:tcPr>
          <w:p w14:paraId="489098E3" w14:textId="1ECC0A75"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13.1</w:t>
            </w:r>
          </w:p>
        </w:tc>
        <w:tc>
          <w:tcPr>
            <w:tcW w:w="1559" w:type="dxa"/>
            <w:tcBorders>
              <w:top w:val="nil"/>
              <w:left w:val="nil"/>
              <w:bottom w:val="nil"/>
              <w:right w:val="nil"/>
            </w:tcBorders>
            <w:shd w:val="clear" w:color="auto" w:fill="auto"/>
            <w:noWrap/>
            <w:vAlign w:val="bottom"/>
          </w:tcPr>
          <w:p w14:paraId="6E461D45" w14:textId="14B9FBE1"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13.5</w:t>
            </w:r>
          </w:p>
        </w:tc>
        <w:tc>
          <w:tcPr>
            <w:tcW w:w="1418" w:type="dxa"/>
            <w:tcBorders>
              <w:top w:val="nil"/>
              <w:left w:val="nil"/>
              <w:bottom w:val="nil"/>
              <w:right w:val="nil"/>
            </w:tcBorders>
            <w:shd w:val="clear" w:color="auto" w:fill="auto"/>
            <w:noWrap/>
            <w:vAlign w:val="bottom"/>
          </w:tcPr>
          <w:p w14:paraId="12DDD3FC" w14:textId="3E00A441"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14.6</w:t>
            </w:r>
          </w:p>
        </w:tc>
        <w:tc>
          <w:tcPr>
            <w:tcW w:w="1276" w:type="dxa"/>
            <w:tcBorders>
              <w:top w:val="nil"/>
              <w:left w:val="nil"/>
              <w:bottom w:val="nil"/>
              <w:right w:val="nil"/>
            </w:tcBorders>
            <w:shd w:val="clear" w:color="auto" w:fill="auto"/>
            <w:noWrap/>
            <w:vAlign w:val="bottom"/>
          </w:tcPr>
          <w:p w14:paraId="631A1E05" w14:textId="39AA3053"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13.0</w:t>
            </w:r>
          </w:p>
        </w:tc>
      </w:tr>
      <w:tr w:rsidR="00DF59CE" w:rsidRPr="00B55251" w14:paraId="43E9D079" w14:textId="77777777" w:rsidTr="001F6C35">
        <w:trPr>
          <w:trHeight w:val="227"/>
        </w:trPr>
        <w:tc>
          <w:tcPr>
            <w:tcW w:w="2268" w:type="dxa"/>
            <w:tcBorders>
              <w:top w:val="nil"/>
              <w:left w:val="nil"/>
              <w:bottom w:val="nil"/>
              <w:right w:val="nil"/>
            </w:tcBorders>
            <w:shd w:val="clear" w:color="auto" w:fill="auto"/>
            <w:vAlign w:val="center"/>
            <w:hideMark/>
          </w:tcPr>
          <w:p w14:paraId="71FA8D95" w14:textId="77777777" w:rsidR="00DF59CE" w:rsidRPr="00B55251" w:rsidRDefault="00DF59CE" w:rsidP="00DF59CE">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Four</w:t>
            </w:r>
          </w:p>
        </w:tc>
        <w:tc>
          <w:tcPr>
            <w:tcW w:w="960" w:type="dxa"/>
            <w:tcBorders>
              <w:top w:val="nil"/>
              <w:left w:val="nil"/>
              <w:bottom w:val="nil"/>
              <w:right w:val="nil"/>
            </w:tcBorders>
            <w:shd w:val="clear" w:color="auto" w:fill="auto"/>
            <w:noWrap/>
            <w:vAlign w:val="bottom"/>
          </w:tcPr>
          <w:p w14:paraId="341681CB" w14:textId="510CAA68"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6.9</w:t>
            </w:r>
          </w:p>
        </w:tc>
        <w:tc>
          <w:tcPr>
            <w:tcW w:w="1450" w:type="dxa"/>
            <w:tcBorders>
              <w:top w:val="nil"/>
              <w:left w:val="nil"/>
              <w:bottom w:val="nil"/>
              <w:right w:val="nil"/>
            </w:tcBorders>
            <w:shd w:val="clear" w:color="auto" w:fill="auto"/>
            <w:noWrap/>
            <w:vAlign w:val="bottom"/>
          </w:tcPr>
          <w:p w14:paraId="5E7E1B8A" w14:textId="6DF231D8"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7.2</w:t>
            </w:r>
          </w:p>
        </w:tc>
        <w:tc>
          <w:tcPr>
            <w:tcW w:w="1559" w:type="dxa"/>
            <w:tcBorders>
              <w:top w:val="nil"/>
              <w:left w:val="nil"/>
              <w:bottom w:val="nil"/>
              <w:right w:val="nil"/>
            </w:tcBorders>
            <w:shd w:val="clear" w:color="auto" w:fill="auto"/>
            <w:noWrap/>
            <w:vAlign w:val="bottom"/>
          </w:tcPr>
          <w:p w14:paraId="26F37253" w14:textId="7F6F120B"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8.8</w:t>
            </w:r>
          </w:p>
        </w:tc>
        <w:tc>
          <w:tcPr>
            <w:tcW w:w="1418" w:type="dxa"/>
            <w:tcBorders>
              <w:top w:val="nil"/>
              <w:left w:val="nil"/>
              <w:bottom w:val="nil"/>
              <w:right w:val="nil"/>
            </w:tcBorders>
            <w:shd w:val="clear" w:color="auto" w:fill="auto"/>
            <w:noWrap/>
            <w:vAlign w:val="bottom"/>
          </w:tcPr>
          <w:p w14:paraId="647590EC" w14:textId="63142375"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6.2</w:t>
            </w:r>
          </w:p>
        </w:tc>
        <w:tc>
          <w:tcPr>
            <w:tcW w:w="1276" w:type="dxa"/>
            <w:tcBorders>
              <w:top w:val="nil"/>
              <w:left w:val="nil"/>
              <w:bottom w:val="nil"/>
              <w:right w:val="nil"/>
            </w:tcBorders>
            <w:shd w:val="clear" w:color="auto" w:fill="auto"/>
            <w:noWrap/>
            <w:vAlign w:val="bottom"/>
          </w:tcPr>
          <w:p w14:paraId="0D45A579" w14:textId="16A13C43"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7.6</w:t>
            </w:r>
          </w:p>
        </w:tc>
      </w:tr>
      <w:tr w:rsidR="00DF59CE" w:rsidRPr="00B55251" w14:paraId="5FAF1093" w14:textId="77777777" w:rsidTr="001F6C35">
        <w:trPr>
          <w:trHeight w:val="227"/>
        </w:trPr>
        <w:tc>
          <w:tcPr>
            <w:tcW w:w="2268" w:type="dxa"/>
            <w:tcBorders>
              <w:top w:val="nil"/>
              <w:left w:val="nil"/>
              <w:bottom w:val="nil"/>
              <w:right w:val="nil"/>
            </w:tcBorders>
            <w:shd w:val="clear" w:color="auto" w:fill="auto"/>
            <w:vAlign w:val="center"/>
            <w:hideMark/>
          </w:tcPr>
          <w:p w14:paraId="7BEF90AA" w14:textId="77777777" w:rsidR="00DF59CE" w:rsidRPr="00B55251" w:rsidRDefault="00DF59CE" w:rsidP="00DF59CE">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Five</w:t>
            </w:r>
            <w:r>
              <w:rPr>
                <w:rFonts w:ascii="Arial" w:eastAsia="Times New Roman" w:hAnsi="Arial" w:cs="Arial"/>
                <w:color w:val="000000"/>
                <w:sz w:val="16"/>
                <w:szCs w:val="16"/>
                <w:lang w:eastAsia="en-AU"/>
              </w:rPr>
              <w:t xml:space="preserve"> or more</w:t>
            </w:r>
          </w:p>
        </w:tc>
        <w:tc>
          <w:tcPr>
            <w:tcW w:w="960" w:type="dxa"/>
            <w:tcBorders>
              <w:top w:val="nil"/>
              <w:left w:val="nil"/>
              <w:bottom w:val="nil"/>
              <w:right w:val="nil"/>
            </w:tcBorders>
            <w:shd w:val="clear" w:color="auto" w:fill="auto"/>
            <w:noWrap/>
            <w:vAlign w:val="bottom"/>
          </w:tcPr>
          <w:p w14:paraId="308DBA60" w14:textId="42919A60"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7.7</w:t>
            </w:r>
          </w:p>
        </w:tc>
        <w:tc>
          <w:tcPr>
            <w:tcW w:w="1450" w:type="dxa"/>
            <w:tcBorders>
              <w:top w:val="nil"/>
              <w:left w:val="nil"/>
              <w:bottom w:val="nil"/>
              <w:right w:val="nil"/>
            </w:tcBorders>
            <w:shd w:val="clear" w:color="auto" w:fill="auto"/>
            <w:noWrap/>
            <w:vAlign w:val="bottom"/>
          </w:tcPr>
          <w:p w14:paraId="4833CF03" w14:textId="66DC2C04"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7.2</w:t>
            </w:r>
          </w:p>
        </w:tc>
        <w:tc>
          <w:tcPr>
            <w:tcW w:w="1559" w:type="dxa"/>
            <w:tcBorders>
              <w:top w:val="nil"/>
              <w:left w:val="nil"/>
              <w:bottom w:val="nil"/>
              <w:right w:val="nil"/>
            </w:tcBorders>
            <w:shd w:val="clear" w:color="auto" w:fill="auto"/>
            <w:noWrap/>
            <w:vAlign w:val="bottom"/>
          </w:tcPr>
          <w:p w14:paraId="069993A4" w14:textId="279178CF"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13.3</w:t>
            </w:r>
          </w:p>
        </w:tc>
        <w:tc>
          <w:tcPr>
            <w:tcW w:w="1418" w:type="dxa"/>
            <w:tcBorders>
              <w:top w:val="nil"/>
              <w:left w:val="nil"/>
              <w:bottom w:val="nil"/>
              <w:right w:val="nil"/>
            </w:tcBorders>
            <w:shd w:val="clear" w:color="auto" w:fill="auto"/>
            <w:noWrap/>
            <w:vAlign w:val="bottom"/>
          </w:tcPr>
          <w:p w14:paraId="4CC19D1F" w14:textId="12D4717F"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7.5</w:t>
            </w:r>
          </w:p>
        </w:tc>
        <w:tc>
          <w:tcPr>
            <w:tcW w:w="1276" w:type="dxa"/>
            <w:tcBorders>
              <w:top w:val="nil"/>
              <w:left w:val="nil"/>
              <w:bottom w:val="nil"/>
              <w:right w:val="nil"/>
            </w:tcBorders>
            <w:shd w:val="clear" w:color="auto" w:fill="auto"/>
            <w:noWrap/>
            <w:vAlign w:val="bottom"/>
          </w:tcPr>
          <w:p w14:paraId="3AB57DFC" w14:textId="7B12D5DF" w:rsidR="00DF59CE" w:rsidRPr="00B55251" w:rsidRDefault="00DF59CE" w:rsidP="00DF59CE">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9.6</w:t>
            </w:r>
          </w:p>
        </w:tc>
      </w:tr>
      <w:tr w:rsidR="00DF59CE" w:rsidRPr="00B55251" w14:paraId="231DDDE3" w14:textId="77777777" w:rsidTr="001F6C35">
        <w:trPr>
          <w:trHeight w:val="227"/>
        </w:trPr>
        <w:tc>
          <w:tcPr>
            <w:tcW w:w="2268" w:type="dxa"/>
            <w:tcBorders>
              <w:top w:val="nil"/>
              <w:left w:val="nil"/>
              <w:bottom w:val="single" w:sz="12" w:space="0" w:color="auto"/>
              <w:right w:val="nil"/>
            </w:tcBorders>
            <w:shd w:val="clear" w:color="auto" w:fill="auto"/>
            <w:vAlign w:val="center"/>
            <w:hideMark/>
          </w:tcPr>
          <w:p w14:paraId="5A1BC40C" w14:textId="77777777" w:rsidR="00DF59CE" w:rsidRPr="00B55251" w:rsidRDefault="00DF59CE" w:rsidP="00DF59CE">
            <w:pPr>
              <w:spacing w:after="0" w:line="276" w:lineRule="auto"/>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Total</w:t>
            </w:r>
          </w:p>
        </w:tc>
        <w:tc>
          <w:tcPr>
            <w:tcW w:w="960" w:type="dxa"/>
            <w:tcBorders>
              <w:top w:val="nil"/>
              <w:left w:val="nil"/>
              <w:bottom w:val="single" w:sz="12" w:space="0" w:color="auto"/>
              <w:right w:val="nil"/>
            </w:tcBorders>
            <w:shd w:val="clear" w:color="auto" w:fill="auto"/>
            <w:noWrap/>
            <w:vAlign w:val="bottom"/>
          </w:tcPr>
          <w:p w14:paraId="763CE8BB" w14:textId="1CA3C9D2" w:rsidR="00DF59CE" w:rsidRPr="00B55251" w:rsidRDefault="00DF59CE" w:rsidP="00DF59CE">
            <w:pPr>
              <w:spacing w:after="0" w:line="276" w:lineRule="auto"/>
              <w:jc w:val="right"/>
              <w:rPr>
                <w:rFonts w:ascii="Arial" w:eastAsia="Times New Roman" w:hAnsi="Arial" w:cs="Arial"/>
                <w:b/>
                <w:bCs/>
                <w:color w:val="000000"/>
                <w:sz w:val="16"/>
                <w:szCs w:val="16"/>
                <w:lang w:eastAsia="en-AU"/>
              </w:rPr>
            </w:pPr>
            <w:r>
              <w:rPr>
                <w:rFonts w:ascii="Arial" w:hAnsi="Arial" w:cs="Arial"/>
                <w:b/>
                <w:bCs/>
                <w:sz w:val="16"/>
                <w:szCs w:val="16"/>
              </w:rPr>
              <w:t>100.0</w:t>
            </w:r>
          </w:p>
        </w:tc>
        <w:tc>
          <w:tcPr>
            <w:tcW w:w="1450" w:type="dxa"/>
            <w:tcBorders>
              <w:top w:val="nil"/>
              <w:left w:val="nil"/>
              <w:bottom w:val="single" w:sz="12" w:space="0" w:color="auto"/>
              <w:right w:val="nil"/>
            </w:tcBorders>
            <w:shd w:val="clear" w:color="auto" w:fill="auto"/>
            <w:noWrap/>
            <w:vAlign w:val="bottom"/>
          </w:tcPr>
          <w:p w14:paraId="19B94F1D" w14:textId="52822FDD" w:rsidR="00DF59CE" w:rsidRPr="00B55251" w:rsidRDefault="00DF59CE" w:rsidP="00DF59CE">
            <w:pPr>
              <w:spacing w:after="0" w:line="276" w:lineRule="auto"/>
              <w:jc w:val="right"/>
              <w:rPr>
                <w:rFonts w:ascii="Arial" w:eastAsia="Times New Roman" w:hAnsi="Arial" w:cs="Arial"/>
                <w:b/>
                <w:bCs/>
                <w:color w:val="000000"/>
                <w:sz w:val="16"/>
                <w:szCs w:val="16"/>
                <w:lang w:eastAsia="en-AU"/>
              </w:rPr>
            </w:pPr>
            <w:r>
              <w:rPr>
                <w:rFonts w:ascii="Arial" w:hAnsi="Arial" w:cs="Arial"/>
                <w:b/>
                <w:bCs/>
                <w:sz w:val="16"/>
                <w:szCs w:val="16"/>
              </w:rPr>
              <w:t>100.0</w:t>
            </w:r>
          </w:p>
        </w:tc>
        <w:tc>
          <w:tcPr>
            <w:tcW w:w="1559" w:type="dxa"/>
            <w:tcBorders>
              <w:top w:val="nil"/>
              <w:left w:val="nil"/>
              <w:bottom w:val="single" w:sz="12" w:space="0" w:color="auto"/>
              <w:right w:val="nil"/>
            </w:tcBorders>
            <w:shd w:val="clear" w:color="auto" w:fill="auto"/>
            <w:noWrap/>
            <w:vAlign w:val="bottom"/>
          </w:tcPr>
          <w:p w14:paraId="751CC4B4" w14:textId="6773226D" w:rsidR="00DF59CE" w:rsidRPr="00B55251" w:rsidRDefault="00DF59CE" w:rsidP="00DF59CE">
            <w:pPr>
              <w:spacing w:after="0" w:line="276" w:lineRule="auto"/>
              <w:jc w:val="right"/>
              <w:rPr>
                <w:rFonts w:ascii="Arial" w:eastAsia="Times New Roman" w:hAnsi="Arial" w:cs="Arial"/>
                <w:b/>
                <w:bCs/>
                <w:color w:val="000000"/>
                <w:sz w:val="16"/>
                <w:szCs w:val="16"/>
                <w:lang w:eastAsia="en-AU"/>
              </w:rPr>
            </w:pPr>
            <w:r>
              <w:rPr>
                <w:rFonts w:ascii="Arial" w:hAnsi="Arial" w:cs="Arial"/>
                <w:b/>
                <w:bCs/>
                <w:sz w:val="16"/>
                <w:szCs w:val="16"/>
              </w:rPr>
              <w:t>100.0</w:t>
            </w:r>
          </w:p>
        </w:tc>
        <w:tc>
          <w:tcPr>
            <w:tcW w:w="1418" w:type="dxa"/>
            <w:tcBorders>
              <w:top w:val="nil"/>
              <w:left w:val="nil"/>
              <w:bottom w:val="single" w:sz="12" w:space="0" w:color="auto"/>
              <w:right w:val="nil"/>
            </w:tcBorders>
            <w:shd w:val="clear" w:color="auto" w:fill="auto"/>
            <w:noWrap/>
            <w:vAlign w:val="bottom"/>
          </w:tcPr>
          <w:p w14:paraId="6BB31DEE" w14:textId="46FC9414" w:rsidR="00DF59CE" w:rsidRPr="00B55251" w:rsidRDefault="00DF59CE" w:rsidP="00DF59CE">
            <w:pPr>
              <w:spacing w:after="0" w:line="276" w:lineRule="auto"/>
              <w:jc w:val="right"/>
              <w:rPr>
                <w:rFonts w:ascii="Arial" w:eastAsia="Times New Roman" w:hAnsi="Arial" w:cs="Arial"/>
                <w:b/>
                <w:bCs/>
                <w:color w:val="000000"/>
                <w:sz w:val="16"/>
                <w:szCs w:val="16"/>
                <w:lang w:eastAsia="en-AU"/>
              </w:rPr>
            </w:pPr>
            <w:r>
              <w:rPr>
                <w:rFonts w:ascii="Arial" w:hAnsi="Arial" w:cs="Arial"/>
                <w:b/>
                <w:bCs/>
                <w:sz w:val="16"/>
                <w:szCs w:val="16"/>
              </w:rPr>
              <w:t>100.0</w:t>
            </w:r>
          </w:p>
        </w:tc>
        <w:tc>
          <w:tcPr>
            <w:tcW w:w="1276" w:type="dxa"/>
            <w:tcBorders>
              <w:top w:val="nil"/>
              <w:left w:val="nil"/>
              <w:bottom w:val="single" w:sz="12" w:space="0" w:color="auto"/>
              <w:right w:val="nil"/>
            </w:tcBorders>
            <w:shd w:val="clear" w:color="auto" w:fill="auto"/>
            <w:noWrap/>
            <w:vAlign w:val="bottom"/>
          </w:tcPr>
          <w:p w14:paraId="51902D12" w14:textId="62C98CFE" w:rsidR="00DF59CE" w:rsidRPr="00B55251" w:rsidRDefault="00DF59CE" w:rsidP="00DF59CE">
            <w:pPr>
              <w:spacing w:after="0" w:line="276" w:lineRule="auto"/>
              <w:jc w:val="right"/>
              <w:rPr>
                <w:rFonts w:ascii="Arial" w:eastAsia="Times New Roman" w:hAnsi="Arial" w:cs="Arial"/>
                <w:b/>
                <w:bCs/>
                <w:color w:val="000000"/>
                <w:sz w:val="16"/>
                <w:szCs w:val="16"/>
                <w:lang w:eastAsia="en-AU"/>
              </w:rPr>
            </w:pPr>
            <w:r>
              <w:rPr>
                <w:rFonts w:ascii="Arial" w:hAnsi="Arial" w:cs="Arial"/>
                <w:b/>
                <w:bCs/>
                <w:sz w:val="16"/>
                <w:szCs w:val="16"/>
              </w:rPr>
              <w:t>100.0</w:t>
            </w:r>
          </w:p>
        </w:tc>
      </w:tr>
    </w:tbl>
    <w:p w14:paraId="4400491D" w14:textId="5A1C1AA3" w:rsidR="00FA33C7" w:rsidRDefault="00FA33C7" w:rsidP="00814AD1">
      <w:pPr>
        <w:pStyle w:val="TableSourcefootnotes"/>
        <w:numPr>
          <w:ilvl w:val="0"/>
          <w:numId w:val="20"/>
        </w:numPr>
        <w:spacing w:after="0" w:line="240" w:lineRule="auto"/>
        <w:ind w:left="284" w:hanging="284"/>
      </w:pPr>
      <w:r w:rsidRPr="00E217FF">
        <w:rPr>
          <w:iCs/>
        </w:rPr>
        <w:t>Freeze-all</w:t>
      </w:r>
      <w:r w:rsidRPr="00C46BF4">
        <w:rPr>
          <w:iCs/>
        </w:rPr>
        <w:t xml:space="preserve"> cycles</w:t>
      </w:r>
      <w:r>
        <w:t xml:space="preserve"> are fresh ART treatment cycles where all oocytes or embryos are </w:t>
      </w:r>
      <w:r w:rsidR="00C16CAB">
        <w:t>cryopreserved</w:t>
      </w:r>
      <w:r w:rsidR="00C46BF4">
        <w:t>,</w:t>
      </w:r>
      <w:r>
        <w:t xml:space="preserve"> and an embryo transfer does not take place.</w:t>
      </w:r>
    </w:p>
    <w:p w14:paraId="7B5E4710" w14:textId="6932E249" w:rsidR="005E3A7E" w:rsidRDefault="00FA33C7" w:rsidP="00814AD1">
      <w:pPr>
        <w:pStyle w:val="TableSourcefootnotes"/>
        <w:numPr>
          <w:ilvl w:val="0"/>
          <w:numId w:val="20"/>
        </w:numPr>
        <w:spacing w:before="0" w:after="0" w:line="240" w:lineRule="auto"/>
        <w:ind w:left="284" w:hanging="284"/>
      </w:pPr>
      <w:r w:rsidRPr="007E75C6">
        <w:t>Age at start of first autologous fresh ART treatment cycle</w:t>
      </w:r>
      <w:r>
        <w:t xml:space="preserve"> undertaken in </w:t>
      </w:r>
      <w:r w:rsidR="00881FD0">
        <w:t>201</w:t>
      </w:r>
      <w:r w:rsidR="007B0BDB">
        <w:t>9</w:t>
      </w:r>
      <w:r w:rsidRPr="007E75C6">
        <w:t xml:space="preserve">. </w:t>
      </w:r>
    </w:p>
    <w:p w14:paraId="6AD5BB3B" w14:textId="77777777" w:rsidR="005E3A7E" w:rsidRDefault="005E3A7E" w:rsidP="005E3A7E">
      <w:pPr>
        <w:pStyle w:val="TableSourcefootnotes"/>
        <w:spacing w:before="0" w:after="0" w:line="240" w:lineRule="auto"/>
        <w:rPr>
          <w:i/>
        </w:rPr>
      </w:pPr>
    </w:p>
    <w:p w14:paraId="5CDA40E2" w14:textId="36DA0A1E" w:rsidR="00FA33C7" w:rsidRDefault="00FA33C7" w:rsidP="005E3A7E">
      <w:pPr>
        <w:pStyle w:val="TableSourcefootnotes"/>
        <w:spacing w:before="0" w:after="0" w:line="240" w:lineRule="auto"/>
      </w:pPr>
      <w:r w:rsidRPr="00BD7D19">
        <w:rPr>
          <w:i/>
        </w:rPr>
        <w:t>Note</w:t>
      </w:r>
      <w:r w:rsidRPr="007E75C6">
        <w:t>: Women who started their first autologous fresh ART treatment cycle between 1</w:t>
      </w:r>
      <w:r w:rsidRPr="00E217FF">
        <w:rPr>
          <w:vertAlign w:val="superscript"/>
        </w:rPr>
        <w:t>st</w:t>
      </w:r>
      <w:r w:rsidRPr="007E75C6">
        <w:t xml:space="preserve"> Jan</w:t>
      </w:r>
      <w:r>
        <w:t xml:space="preserve">uary </w:t>
      </w:r>
      <w:r w:rsidR="00881FD0">
        <w:t>201</w:t>
      </w:r>
      <w:r w:rsidR="007B0BDB">
        <w:t>9</w:t>
      </w:r>
      <w:r w:rsidR="00881FD0">
        <w:t xml:space="preserve"> </w:t>
      </w:r>
      <w:r>
        <w:t>and 31</w:t>
      </w:r>
      <w:r w:rsidRPr="00E217FF">
        <w:rPr>
          <w:vertAlign w:val="superscript"/>
        </w:rPr>
        <w:t>st</w:t>
      </w:r>
      <w:r>
        <w:t xml:space="preserve"> December </w:t>
      </w:r>
      <w:r w:rsidR="00881FD0">
        <w:t>201</w:t>
      </w:r>
      <w:r w:rsidR="007B0BDB">
        <w:t>9</w:t>
      </w:r>
      <w:r w:rsidR="00881FD0" w:rsidRPr="007E75C6">
        <w:t xml:space="preserve"> </w:t>
      </w:r>
      <w:r w:rsidRPr="007E75C6">
        <w:t>were followed through subsequent fresh and thaw cycles</w:t>
      </w:r>
      <w:r w:rsidR="00491AB8">
        <w:t xml:space="preserve"> (excluding </w:t>
      </w:r>
      <w:r w:rsidR="00491AB8" w:rsidRPr="00E217FF">
        <w:rPr>
          <w:iCs/>
        </w:rPr>
        <w:t>freeze-all</w:t>
      </w:r>
      <w:r w:rsidR="00491AB8">
        <w:t xml:space="preserve"> cycles)</w:t>
      </w:r>
      <w:r w:rsidRPr="007E75C6">
        <w:t xml:space="preserve"> until 31</w:t>
      </w:r>
      <w:r w:rsidRPr="00E217FF">
        <w:rPr>
          <w:vertAlign w:val="superscript"/>
        </w:rPr>
        <w:t>st</w:t>
      </w:r>
      <w:r w:rsidRPr="007E75C6">
        <w:t xml:space="preserve"> December </w:t>
      </w:r>
      <w:r w:rsidR="00881FD0">
        <w:t>202</w:t>
      </w:r>
      <w:r w:rsidR="007B0BDB">
        <w:t>1</w:t>
      </w:r>
      <w:r w:rsidR="00881FD0" w:rsidRPr="007E75C6">
        <w:t xml:space="preserve"> </w:t>
      </w:r>
      <w:r w:rsidRPr="007E75C6">
        <w:t xml:space="preserve">or </w:t>
      </w:r>
      <w:r w:rsidR="00EC42AE">
        <w:t>birth</w:t>
      </w:r>
      <w:r w:rsidRPr="007E75C6">
        <w:t xml:space="preserve"> of a liveborn baby up to</w:t>
      </w:r>
      <w:r>
        <w:t xml:space="preserve"> and including</w:t>
      </w:r>
      <w:r w:rsidRPr="007E75C6">
        <w:t xml:space="preserve"> </w:t>
      </w:r>
      <w:r w:rsidR="00783BBD">
        <w:t>31</w:t>
      </w:r>
      <w:r w:rsidR="00783BBD" w:rsidRPr="00E217FF">
        <w:rPr>
          <w:vertAlign w:val="superscript"/>
        </w:rPr>
        <w:t>st</w:t>
      </w:r>
      <w:r w:rsidR="00783BBD">
        <w:t xml:space="preserve"> October </w:t>
      </w:r>
      <w:r w:rsidR="00881FD0">
        <w:t>202</w:t>
      </w:r>
      <w:r w:rsidR="007B0BDB">
        <w:t>2</w:t>
      </w:r>
      <w:r w:rsidRPr="007E75C6">
        <w:t>.</w:t>
      </w:r>
      <w:r>
        <w:t xml:space="preserve"> </w:t>
      </w:r>
      <w:r w:rsidRPr="007E75C6">
        <w:t>Totals and subtotals</w:t>
      </w:r>
      <w:r>
        <w:t xml:space="preserve"> may not equal 100.0 due to rounding. Data should be interpreted with caution due to small numbers in certain cells. </w:t>
      </w:r>
    </w:p>
    <w:p w14:paraId="3BF8037B" w14:textId="77777777" w:rsidR="00FA33C7" w:rsidRPr="007008D8" w:rsidRDefault="00FA33C7" w:rsidP="00FA33C7">
      <w:pPr>
        <w:pStyle w:val="TableSourcefootnotes"/>
        <w:spacing w:before="40" w:after="240"/>
      </w:pPr>
      <w:r>
        <w:br w:type="page"/>
      </w:r>
    </w:p>
    <w:p w14:paraId="78F5D6D9" w14:textId="19A858A7" w:rsidR="002F0B22" w:rsidRDefault="002F0B22" w:rsidP="00B54834">
      <w:pPr>
        <w:pStyle w:val="Caption"/>
        <w:rPr>
          <w:lang w:eastAsia="en-AU"/>
        </w:rPr>
      </w:pPr>
      <w:bookmarkStart w:id="401" w:name="_Toc453055866"/>
      <w:bookmarkStart w:id="402" w:name="_Toc453056161"/>
      <w:bookmarkStart w:id="403" w:name="_Toc453057252"/>
      <w:bookmarkStart w:id="404" w:name="_Toc158026579"/>
      <w:r w:rsidRPr="002F0B22">
        <w:rPr>
          <w:lang w:eastAsia="en-AU"/>
        </w:rPr>
        <w:lastRenderedPageBreak/>
        <w:t>Table 30: Cycle-specific and cumulative live birth rates for all women who started their first autologous fresh cycle (excluding freeze-all cycles</w:t>
      </w:r>
      <w:r w:rsidRPr="00690B1B">
        <w:rPr>
          <w:vertAlign w:val="superscript"/>
          <w:lang w:eastAsia="en-AU"/>
        </w:rPr>
        <w:t>(</w:t>
      </w:r>
      <w:r w:rsidR="002B68A7">
        <w:rPr>
          <w:vertAlign w:val="superscript"/>
          <w:lang w:eastAsia="en-AU"/>
        </w:rPr>
        <w:t>a</w:t>
      </w:r>
      <w:r w:rsidRPr="00690B1B">
        <w:rPr>
          <w:vertAlign w:val="superscript"/>
          <w:lang w:eastAsia="en-AU"/>
        </w:rPr>
        <w:t>)</w:t>
      </w:r>
      <w:r w:rsidRPr="002F0B22">
        <w:rPr>
          <w:lang w:eastAsia="en-AU"/>
        </w:rPr>
        <w:t>) between 1st January 201</w:t>
      </w:r>
      <w:r w:rsidR="007B0BDB">
        <w:rPr>
          <w:lang w:eastAsia="en-AU"/>
        </w:rPr>
        <w:t>9</w:t>
      </w:r>
      <w:r w:rsidRPr="002F0B22">
        <w:rPr>
          <w:lang w:eastAsia="en-AU"/>
        </w:rPr>
        <w:t xml:space="preserve"> and 31st December 201</w:t>
      </w:r>
      <w:r w:rsidR="007B0BDB">
        <w:rPr>
          <w:lang w:eastAsia="en-AU"/>
        </w:rPr>
        <w:t>9</w:t>
      </w:r>
      <w:r w:rsidRPr="002F0B22">
        <w:rPr>
          <w:lang w:eastAsia="en-AU"/>
        </w:rPr>
        <w:t>, New Zealand, 201</w:t>
      </w:r>
      <w:r w:rsidR="007B0BDB">
        <w:rPr>
          <w:lang w:eastAsia="en-AU"/>
        </w:rPr>
        <w:t>9</w:t>
      </w:r>
      <w:r w:rsidRPr="002F0B22">
        <w:rPr>
          <w:lang w:eastAsia="en-AU"/>
        </w:rPr>
        <w:t>-</w:t>
      </w:r>
      <w:bookmarkEnd w:id="401"/>
      <w:bookmarkEnd w:id="402"/>
      <w:bookmarkEnd w:id="403"/>
      <w:r w:rsidRPr="002F0B22">
        <w:rPr>
          <w:lang w:eastAsia="en-AU"/>
        </w:rPr>
        <w:t>202</w:t>
      </w:r>
      <w:r w:rsidR="007B0BDB">
        <w:rPr>
          <w:lang w:eastAsia="en-AU"/>
        </w:rPr>
        <w:t>1</w:t>
      </w:r>
      <w:bookmarkEnd w:id="404"/>
    </w:p>
    <w:tbl>
      <w:tblPr>
        <w:tblW w:w="9072" w:type="dxa"/>
        <w:tblLayout w:type="fixed"/>
        <w:tblCellMar>
          <w:top w:w="17" w:type="dxa"/>
          <w:left w:w="17" w:type="dxa"/>
          <w:bottom w:w="17" w:type="dxa"/>
          <w:right w:w="17" w:type="dxa"/>
        </w:tblCellMar>
        <w:tblLook w:val="04A0" w:firstRow="1" w:lastRow="0" w:firstColumn="1" w:lastColumn="0" w:noHBand="0" w:noVBand="1"/>
      </w:tblPr>
      <w:tblGrid>
        <w:gridCol w:w="1296"/>
        <w:gridCol w:w="1296"/>
        <w:gridCol w:w="1296"/>
        <w:gridCol w:w="1296"/>
        <w:gridCol w:w="1296"/>
        <w:gridCol w:w="1296"/>
        <w:gridCol w:w="1296"/>
      </w:tblGrid>
      <w:tr w:rsidR="002F0B22" w:rsidRPr="00B55251" w14:paraId="62620BA6" w14:textId="77777777" w:rsidTr="001F6C35">
        <w:trPr>
          <w:trHeight w:val="227"/>
        </w:trPr>
        <w:tc>
          <w:tcPr>
            <w:tcW w:w="1296" w:type="dxa"/>
            <w:tcBorders>
              <w:top w:val="single" w:sz="12" w:space="0" w:color="auto"/>
              <w:left w:val="nil"/>
              <w:bottom w:val="single" w:sz="4" w:space="0" w:color="auto"/>
              <w:right w:val="nil"/>
            </w:tcBorders>
            <w:shd w:val="clear" w:color="auto" w:fill="auto"/>
            <w:vAlign w:val="bottom"/>
            <w:hideMark/>
          </w:tcPr>
          <w:p w14:paraId="54999B17" w14:textId="4B5C5360" w:rsidR="002F0B22" w:rsidRPr="00B55251" w:rsidRDefault="002F0B22" w:rsidP="001F6C35">
            <w:pPr>
              <w:spacing w:after="0" w:line="276" w:lineRule="auto"/>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t>Cycle Number</w:t>
            </w:r>
            <w:r w:rsidRPr="00B55251">
              <w:rPr>
                <w:rFonts w:ascii="Arial" w:eastAsia="Times New Roman" w:hAnsi="Arial" w:cs="Arial"/>
                <w:b/>
                <w:bCs/>
                <w:color w:val="000000"/>
                <w:sz w:val="16"/>
                <w:szCs w:val="16"/>
                <w:vertAlign w:val="superscript"/>
                <w:lang w:eastAsia="en-AU"/>
              </w:rPr>
              <w:t>(</w:t>
            </w:r>
            <w:r w:rsidR="002B68A7">
              <w:rPr>
                <w:rFonts w:ascii="Arial" w:eastAsia="Times New Roman" w:hAnsi="Arial" w:cs="Arial"/>
                <w:b/>
                <w:bCs/>
                <w:color w:val="000000"/>
                <w:sz w:val="16"/>
                <w:szCs w:val="16"/>
                <w:vertAlign w:val="superscript"/>
                <w:lang w:eastAsia="en-AU"/>
              </w:rPr>
              <w:t>b</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23DF9906" w14:textId="77777777" w:rsidR="002F0B22" w:rsidRPr="00B55251" w:rsidRDefault="002F0B22"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starting cycle</w:t>
            </w:r>
          </w:p>
        </w:tc>
        <w:tc>
          <w:tcPr>
            <w:tcW w:w="1296" w:type="dxa"/>
            <w:tcBorders>
              <w:top w:val="single" w:sz="12" w:space="0" w:color="auto"/>
              <w:left w:val="nil"/>
              <w:bottom w:val="single" w:sz="4" w:space="0" w:color="auto"/>
              <w:right w:val="nil"/>
            </w:tcBorders>
            <w:shd w:val="clear" w:color="auto" w:fill="auto"/>
            <w:vAlign w:val="bottom"/>
            <w:hideMark/>
          </w:tcPr>
          <w:p w14:paraId="53FE4296" w14:textId="0C87724F" w:rsidR="002F0B22" w:rsidRPr="00B55251" w:rsidRDefault="002F0B22"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Number of women who had a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vertAlign w:val="superscript"/>
                <w:lang w:eastAsia="en-AU"/>
              </w:rPr>
              <w:t>(</w:t>
            </w:r>
            <w:r w:rsidR="002B68A7">
              <w:rPr>
                <w:rFonts w:ascii="Arial" w:eastAsia="Times New Roman" w:hAnsi="Arial" w:cs="Arial"/>
                <w:b/>
                <w:bCs/>
                <w:color w:val="000000"/>
                <w:sz w:val="16"/>
                <w:szCs w:val="16"/>
                <w:vertAlign w:val="superscript"/>
                <w:lang w:eastAsia="en-AU"/>
              </w:rPr>
              <w:t>c</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5C4D524D" w14:textId="78DA0C97" w:rsidR="002F0B22" w:rsidRPr="00B55251" w:rsidRDefault="002F0B22"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Cycle-specific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2B68A7">
              <w:rPr>
                <w:rFonts w:ascii="Arial" w:eastAsia="Times New Roman" w:hAnsi="Arial" w:cs="Arial"/>
                <w:b/>
                <w:bCs/>
                <w:color w:val="000000"/>
                <w:sz w:val="16"/>
                <w:szCs w:val="16"/>
                <w:vertAlign w:val="superscript"/>
                <w:lang w:eastAsia="en-AU"/>
              </w:rPr>
              <w:t>d</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1D5B3DB3" w14:textId="77777777" w:rsidR="002F0B22" w:rsidRPr="00B55251" w:rsidRDefault="002F0B22"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who did not progress to next treatment</w:t>
            </w:r>
          </w:p>
        </w:tc>
        <w:tc>
          <w:tcPr>
            <w:tcW w:w="1296" w:type="dxa"/>
            <w:tcBorders>
              <w:top w:val="single" w:sz="12" w:space="0" w:color="auto"/>
              <w:left w:val="nil"/>
              <w:bottom w:val="single" w:sz="4" w:space="0" w:color="auto"/>
              <w:right w:val="nil"/>
            </w:tcBorders>
            <w:shd w:val="clear" w:color="auto" w:fill="auto"/>
            <w:vAlign w:val="bottom"/>
            <w:hideMark/>
          </w:tcPr>
          <w:p w14:paraId="505ABAD1" w14:textId="0F80A208" w:rsidR="002F0B22" w:rsidRPr="00B55251" w:rsidRDefault="002F0B22"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Non-progression rate (%)</w:t>
            </w:r>
            <w:r w:rsidRPr="00B55251">
              <w:rPr>
                <w:rFonts w:ascii="Arial" w:eastAsia="Times New Roman" w:hAnsi="Arial" w:cs="Arial"/>
                <w:b/>
                <w:bCs/>
                <w:color w:val="000000"/>
                <w:sz w:val="16"/>
                <w:szCs w:val="16"/>
                <w:vertAlign w:val="superscript"/>
                <w:lang w:eastAsia="en-AU"/>
              </w:rPr>
              <w:t>(</w:t>
            </w:r>
            <w:r w:rsidR="002B68A7">
              <w:rPr>
                <w:rFonts w:ascii="Arial" w:eastAsia="Times New Roman" w:hAnsi="Arial" w:cs="Arial"/>
                <w:b/>
                <w:bCs/>
                <w:color w:val="000000"/>
                <w:sz w:val="16"/>
                <w:szCs w:val="16"/>
                <w:vertAlign w:val="superscript"/>
                <w:lang w:eastAsia="en-AU"/>
              </w:rPr>
              <w:t>e</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43BDC602" w14:textId="025DD056" w:rsidR="002F0B22" w:rsidRPr="00B55251" w:rsidRDefault="002F0B22"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Cumulative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2B68A7">
              <w:rPr>
                <w:rFonts w:ascii="Arial" w:eastAsia="Times New Roman" w:hAnsi="Arial" w:cs="Arial"/>
                <w:b/>
                <w:bCs/>
                <w:color w:val="000000"/>
                <w:sz w:val="16"/>
                <w:szCs w:val="16"/>
                <w:vertAlign w:val="superscript"/>
                <w:lang w:eastAsia="en-AU"/>
              </w:rPr>
              <w:t>f</w:t>
            </w:r>
            <w:r w:rsidRPr="00B55251">
              <w:rPr>
                <w:rFonts w:ascii="Arial" w:eastAsia="Times New Roman" w:hAnsi="Arial" w:cs="Arial"/>
                <w:b/>
                <w:bCs/>
                <w:color w:val="000000"/>
                <w:sz w:val="16"/>
                <w:szCs w:val="16"/>
                <w:vertAlign w:val="superscript"/>
                <w:lang w:eastAsia="en-AU"/>
              </w:rPr>
              <w:t>)</w:t>
            </w:r>
          </w:p>
        </w:tc>
      </w:tr>
      <w:tr w:rsidR="00DF11AD" w:rsidRPr="00B55251" w14:paraId="714E39BF" w14:textId="77777777" w:rsidTr="00555879">
        <w:trPr>
          <w:trHeight w:val="227"/>
        </w:trPr>
        <w:tc>
          <w:tcPr>
            <w:tcW w:w="1296" w:type="dxa"/>
            <w:tcBorders>
              <w:top w:val="single" w:sz="4" w:space="0" w:color="auto"/>
              <w:left w:val="nil"/>
              <w:bottom w:val="nil"/>
              <w:right w:val="nil"/>
            </w:tcBorders>
            <w:shd w:val="clear" w:color="auto" w:fill="auto"/>
            <w:noWrap/>
            <w:vAlign w:val="center"/>
            <w:hideMark/>
          </w:tcPr>
          <w:p w14:paraId="6665BFBC" w14:textId="77777777" w:rsidR="00DF11AD" w:rsidRPr="00B55251" w:rsidRDefault="00DF11AD" w:rsidP="00DF11AD">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One</w:t>
            </w:r>
          </w:p>
        </w:tc>
        <w:tc>
          <w:tcPr>
            <w:tcW w:w="1296" w:type="dxa"/>
            <w:tcBorders>
              <w:top w:val="single" w:sz="4" w:space="0" w:color="auto"/>
              <w:left w:val="nil"/>
              <w:bottom w:val="nil"/>
              <w:right w:val="nil"/>
            </w:tcBorders>
            <w:shd w:val="clear" w:color="auto" w:fill="auto"/>
            <w:noWrap/>
            <w:vAlign w:val="bottom"/>
          </w:tcPr>
          <w:p w14:paraId="687986BB" w14:textId="6A5DB297"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1,958</w:t>
            </w:r>
          </w:p>
        </w:tc>
        <w:tc>
          <w:tcPr>
            <w:tcW w:w="1296" w:type="dxa"/>
            <w:tcBorders>
              <w:top w:val="single" w:sz="4" w:space="0" w:color="auto"/>
              <w:left w:val="nil"/>
              <w:bottom w:val="nil"/>
              <w:right w:val="nil"/>
            </w:tcBorders>
            <w:shd w:val="clear" w:color="auto" w:fill="auto"/>
            <w:noWrap/>
            <w:vAlign w:val="bottom"/>
          </w:tcPr>
          <w:p w14:paraId="1932A24E" w14:textId="27994657"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595</w:t>
            </w:r>
          </w:p>
        </w:tc>
        <w:tc>
          <w:tcPr>
            <w:tcW w:w="1296" w:type="dxa"/>
            <w:tcBorders>
              <w:top w:val="single" w:sz="4" w:space="0" w:color="auto"/>
              <w:left w:val="nil"/>
              <w:bottom w:val="nil"/>
              <w:right w:val="nil"/>
            </w:tcBorders>
            <w:shd w:val="clear" w:color="auto" w:fill="auto"/>
            <w:noWrap/>
            <w:vAlign w:val="center"/>
          </w:tcPr>
          <w:p w14:paraId="4689532B" w14:textId="3E2C3845"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30.4</w:t>
            </w:r>
          </w:p>
        </w:tc>
        <w:tc>
          <w:tcPr>
            <w:tcW w:w="1296" w:type="dxa"/>
            <w:tcBorders>
              <w:top w:val="single" w:sz="4" w:space="0" w:color="auto"/>
              <w:left w:val="nil"/>
              <w:bottom w:val="nil"/>
              <w:right w:val="nil"/>
            </w:tcBorders>
            <w:shd w:val="clear" w:color="auto" w:fill="auto"/>
            <w:noWrap/>
            <w:vAlign w:val="center"/>
          </w:tcPr>
          <w:p w14:paraId="1D486161" w14:textId="41777F8A"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257</w:t>
            </w:r>
          </w:p>
        </w:tc>
        <w:tc>
          <w:tcPr>
            <w:tcW w:w="1296" w:type="dxa"/>
            <w:tcBorders>
              <w:top w:val="single" w:sz="4" w:space="0" w:color="auto"/>
              <w:left w:val="nil"/>
              <w:bottom w:val="nil"/>
              <w:right w:val="nil"/>
            </w:tcBorders>
            <w:shd w:val="clear" w:color="auto" w:fill="auto"/>
            <w:noWrap/>
            <w:vAlign w:val="center"/>
          </w:tcPr>
          <w:p w14:paraId="7CCC8806" w14:textId="2064AE1F"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18.9</w:t>
            </w:r>
          </w:p>
        </w:tc>
        <w:tc>
          <w:tcPr>
            <w:tcW w:w="1296" w:type="dxa"/>
            <w:tcBorders>
              <w:top w:val="single" w:sz="4" w:space="0" w:color="auto"/>
              <w:left w:val="nil"/>
              <w:bottom w:val="nil"/>
              <w:right w:val="nil"/>
            </w:tcBorders>
            <w:shd w:val="clear" w:color="auto" w:fill="auto"/>
            <w:noWrap/>
            <w:vAlign w:val="center"/>
          </w:tcPr>
          <w:p w14:paraId="4D8B3A73" w14:textId="51789EB2"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30.4</w:t>
            </w:r>
          </w:p>
        </w:tc>
      </w:tr>
      <w:tr w:rsidR="00DF11AD" w:rsidRPr="00B55251" w14:paraId="115E39DF" w14:textId="77777777" w:rsidTr="00555879">
        <w:trPr>
          <w:trHeight w:val="227"/>
        </w:trPr>
        <w:tc>
          <w:tcPr>
            <w:tcW w:w="1296" w:type="dxa"/>
            <w:tcBorders>
              <w:top w:val="nil"/>
              <w:left w:val="nil"/>
              <w:bottom w:val="nil"/>
              <w:right w:val="nil"/>
            </w:tcBorders>
            <w:shd w:val="clear" w:color="auto" w:fill="auto"/>
            <w:noWrap/>
            <w:vAlign w:val="center"/>
            <w:hideMark/>
          </w:tcPr>
          <w:p w14:paraId="610A4AC6" w14:textId="77777777" w:rsidR="00DF11AD" w:rsidRPr="00B55251" w:rsidRDefault="00DF11AD" w:rsidP="00DF11AD">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Two</w:t>
            </w:r>
          </w:p>
        </w:tc>
        <w:tc>
          <w:tcPr>
            <w:tcW w:w="1296" w:type="dxa"/>
            <w:tcBorders>
              <w:top w:val="nil"/>
              <w:left w:val="nil"/>
              <w:bottom w:val="nil"/>
              <w:right w:val="nil"/>
            </w:tcBorders>
            <w:shd w:val="clear" w:color="auto" w:fill="auto"/>
            <w:noWrap/>
            <w:vAlign w:val="bottom"/>
          </w:tcPr>
          <w:p w14:paraId="62E36778" w14:textId="1B6CFECA"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1,106</w:t>
            </w:r>
          </w:p>
        </w:tc>
        <w:tc>
          <w:tcPr>
            <w:tcW w:w="1296" w:type="dxa"/>
            <w:tcBorders>
              <w:top w:val="nil"/>
              <w:left w:val="nil"/>
              <w:bottom w:val="nil"/>
              <w:right w:val="nil"/>
            </w:tcBorders>
            <w:shd w:val="clear" w:color="auto" w:fill="auto"/>
            <w:noWrap/>
            <w:vAlign w:val="bottom"/>
          </w:tcPr>
          <w:p w14:paraId="490542C1" w14:textId="3F7742FB"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305</w:t>
            </w:r>
          </w:p>
        </w:tc>
        <w:tc>
          <w:tcPr>
            <w:tcW w:w="1296" w:type="dxa"/>
            <w:tcBorders>
              <w:top w:val="nil"/>
              <w:left w:val="nil"/>
              <w:bottom w:val="nil"/>
              <w:right w:val="nil"/>
            </w:tcBorders>
            <w:shd w:val="clear" w:color="auto" w:fill="auto"/>
            <w:noWrap/>
            <w:vAlign w:val="center"/>
          </w:tcPr>
          <w:p w14:paraId="69DECFFC" w14:textId="5D51687B"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27.6</w:t>
            </w:r>
          </w:p>
        </w:tc>
        <w:tc>
          <w:tcPr>
            <w:tcW w:w="1296" w:type="dxa"/>
            <w:tcBorders>
              <w:top w:val="nil"/>
              <w:left w:val="nil"/>
              <w:bottom w:val="nil"/>
              <w:right w:val="nil"/>
            </w:tcBorders>
            <w:shd w:val="clear" w:color="auto" w:fill="auto"/>
            <w:noWrap/>
            <w:vAlign w:val="center"/>
          </w:tcPr>
          <w:p w14:paraId="23DDE9A4" w14:textId="17221399"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211</w:t>
            </w:r>
          </w:p>
        </w:tc>
        <w:tc>
          <w:tcPr>
            <w:tcW w:w="1296" w:type="dxa"/>
            <w:tcBorders>
              <w:top w:val="nil"/>
              <w:left w:val="nil"/>
              <w:bottom w:val="nil"/>
              <w:right w:val="nil"/>
            </w:tcBorders>
            <w:shd w:val="clear" w:color="auto" w:fill="auto"/>
            <w:noWrap/>
            <w:vAlign w:val="center"/>
          </w:tcPr>
          <w:p w14:paraId="1358EC0F" w14:textId="1156910D"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26.3</w:t>
            </w:r>
          </w:p>
        </w:tc>
        <w:tc>
          <w:tcPr>
            <w:tcW w:w="1296" w:type="dxa"/>
            <w:tcBorders>
              <w:top w:val="nil"/>
              <w:left w:val="nil"/>
              <w:bottom w:val="nil"/>
              <w:right w:val="nil"/>
            </w:tcBorders>
            <w:shd w:val="clear" w:color="auto" w:fill="auto"/>
            <w:noWrap/>
            <w:vAlign w:val="center"/>
          </w:tcPr>
          <w:p w14:paraId="5564A6C2" w14:textId="4107699A"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46.0</w:t>
            </w:r>
          </w:p>
        </w:tc>
      </w:tr>
      <w:tr w:rsidR="00DF11AD" w:rsidRPr="00B55251" w14:paraId="5E7D6694" w14:textId="77777777" w:rsidTr="00555879">
        <w:trPr>
          <w:trHeight w:val="227"/>
        </w:trPr>
        <w:tc>
          <w:tcPr>
            <w:tcW w:w="1296" w:type="dxa"/>
            <w:tcBorders>
              <w:top w:val="nil"/>
              <w:left w:val="nil"/>
              <w:bottom w:val="nil"/>
              <w:right w:val="nil"/>
            </w:tcBorders>
            <w:shd w:val="clear" w:color="auto" w:fill="auto"/>
            <w:noWrap/>
            <w:vAlign w:val="center"/>
            <w:hideMark/>
          </w:tcPr>
          <w:p w14:paraId="66DEC7DF" w14:textId="77777777" w:rsidR="00DF11AD" w:rsidRPr="00B55251" w:rsidRDefault="00DF11AD" w:rsidP="00DF11AD">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Three</w:t>
            </w:r>
          </w:p>
        </w:tc>
        <w:tc>
          <w:tcPr>
            <w:tcW w:w="1296" w:type="dxa"/>
            <w:tcBorders>
              <w:top w:val="nil"/>
              <w:left w:val="nil"/>
              <w:bottom w:val="nil"/>
              <w:right w:val="nil"/>
            </w:tcBorders>
            <w:shd w:val="clear" w:color="auto" w:fill="auto"/>
            <w:noWrap/>
            <w:vAlign w:val="bottom"/>
          </w:tcPr>
          <w:p w14:paraId="0BA6A822" w14:textId="546B1688"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590</w:t>
            </w:r>
          </w:p>
        </w:tc>
        <w:tc>
          <w:tcPr>
            <w:tcW w:w="1296" w:type="dxa"/>
            <w:tcBorders>
              <w:top w:val="nil"/>
              <w:left w:val="nil"/>
              <w:bottom w:val="nil"/>
              <w:right w:val="nil"/>
            </w:tcBorders>
            <w:shd w:val="clear" w:color="auto" w:fill="auto"/>
            <w:noWrap/>
            <w:vAlign w:val="bottom"/>
          </w:tcPr>
          <w:p w14:paraId="138CC5F8" w14:textId="2B4C343A"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139</w:t>
            </w:r>
          </w:p>
        </w:tc>
        <w:tc>
          <w:tcPr>
            <w:tcW w:w="1296" w:type="dxa"/>
            <w:tcBorders>
              <w:top w:val="nil"/>
              <w:left w:val="nil"/>
              <w:bottom w:val="nil"/>
              <w:right w:val="nil"/>
            </w:tcBorders>
            <w:shd w:val="clear" w:color="auto" w:fill="auto"/>
            <w:noWrap/>
            <w:vAlign w:val="center"/>
          </w:tcPr>
          <w:p w14:paraId="1A93759E" w14:textId="257C603A"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23.6</w:t>
            </w:r>
          </w:p>
        </w:tc>
        <w:tc>
          <w:tcPr>
            <w:tcW w:w="1296" w:type="dxa"/>
            <w:tcBorders>
              <w:top w:val="nil"/>
              <w:left w:val="nil"/>
              <w:bottom w:val="nil"/>
              <w:right w:val="nil"/>
            </w:tcBorders>
            <w:shd w:val="clear" w:color="auto" w:fill="auto"/>
            <w:noWrap/>
            <w:vAlign w:val="center"/>
          </w:tcPr>
          <w:p w14:paraId="2613DC8E" w14:textId="2F844BAA"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116</w:t>
            </w:r>
          </w:p>
        </w:tc>
        <w:tc>
          <w:tcPr>
            <w:tcW w:w="1296" w:type="dxa"/>
            <w:tcBorders>
              <w:top w:val="nil"/>
              <w:left w:val="nil"/>
              <w:bottom w:val="nil"/>
              <w:right w:val="nil"/>
            </w:tcBorders>
            <w:shd w:val="clear" w:color="auto" w:fill="auto"/>
            <w:noWrap/>
            <w:vAlign w:val="center"/>
          </w:tcPr>
          <w:p w14:paraId="6301093A" w14:textId="01579440"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25.7</w:t>
            </w:r>
          </w:p>
        </w:tc>
        <w:tc>
          <w:tcPr>
            <w:tcW w:w="1296" w:type="dxa"/>
            <w:tcBorders>
              <w:top w:val="nil"/>
              <w:left w:val="nil"/>
              <w:bottom w:val="nil"/>
              <w:right w:val="nil"/>
            </w:tcBorders>
            <w:shd w:val="clear" w:color="auto" w:fill="auto"/>
            <w:noWrap/>
            <w:vAlign w:val="center"/>
          </w:tcPr>
          <w:p w14:paraId="39CBE783" w14:textId="17DF0669"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53.1</w:t>
            </w:r>
          </w:p>
        </w:tc>
      </w:tr>
      <w:tr w:rsidR="00DF11AD" w:rsidRPr="00B55251" w14:paraId="484CCB33" w14:textId="77777777" w:rsidTr="00555879">
        <w:trPr>
          <w:trHeight w:val="227"/>
        </w:trPr>
        <w:tc>
          <w:tcPr>
            <w:tcW w:w="1296" w:type="dxa"/>
            <w:tcBorders>
              <w:top w:val="nil"/>
              <w:left w:val="nil"/>
              <w:bottom w:val="nil"/>
              <w:right w:val="nil"/>
            </w:tcBorders>
            <w:shd w:val="clear" w:color="auto" w:fill="auto"/>
            <w:noWrap/>
            <w:vAlign w:val="center"/>
            <w:hideMark/>
          </w:tcPr>
          <w:p w14:paraId="0BD51B61" w14:textId="77777777" w:rsidR="00DF11AD" w:rsidRPr="00B55251" w:rsidRDefault="00DF11AD" w:rsidP="00DF11AD">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Four</w:t>
            </w:r>
          </w:p>
        </w:tc>
        <w:tc>
          <w:tcPr>
            <w:tcW w:w="1296" w:type="dxa"/>
            <w:tcBorders>
              <w:top w:val="nil"/>
              <w:left w:val="nil"/>
              <w:bottom w:val="nil"/>
              <w:right w:val="nil"/>
            </w:tcBorders>
            <w:shd w:val="clear" w:color="auto" w:fill="auto"/>
            <w:noWrap/>
            <w:vAlign w:val="bottom"/>
          </w:tcPr>
          <w:p w14:paraId="09880307" w14:textId="6205B599"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335</w:t>
            </w:r>
          </w:p>
        </w:tc>
        <w:tc>
          <w:tcPr>
            <w:tcW w:w="1296" w:type="dxa"/>
            <w:tcBorders>
              <w:top w:val="nil"/>
              <w:left w:val="nil"/>
              <w:bottom w:val="nil"/>
              <w:right w:val="nil"/>
            </w:tcBorders>
            <w:shd w:val="clear" w:color="auto" w:fill="auto"/>
            <w:noWrap/>
            <w:vAlign w:val="bottom"/>
          </w:tcPr>
          <w:p w14:paraId="41E8CC28" w14:textId="1014908E"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75</w:t>
            </w:r>
          </w:p>
        </w:tc>
        <w:tc>
          <w:tcPr>
            <w:tcW w:w="1296" w:type="dxa"/>
            <w:tcBorders>
              <w:top w:val="nil"/>
              <w:left w:val="nil"/>
              <w:bottom w:val="nil"/>
              <w:right w:val="nil"/>
            </w:tcBorders>
            <w:shd w:val="clear" w:color="auto" w:fill="auto"/>
            <w:noWrap/>
            <w:vAlign w:val="center"/>
          </w:tcPr>
          <w:p w14:paraId="1AECDF3E" w14:textId="7FFA4AD5"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22.4</w:t>
            </w:r>
          </w:p>
        </w:tc>
        <w:tc>
          <w:tcPr>
            <w:tcW w:w="1296" w:type="dxa"/>
            <w:tcBorders>
              <w:top w:val="nil"/>
              <w:left w:val="nil"/>
              <w:bottom w:val="nil"/>
              <w:right w:val="nil"/>
            </w:tcBorders>
            <w:shd w:val="clear" w:color="auto" w:fill="auto"/>
            <w:noWrap/>
            <w:vAlign w:val="center"/>
          </w:tcPr>
          <w:p w14:paraId="0C3D16A8" w14:textId="4015D6DF"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73</w:t>
            </w:r>
          </w:p>
        </w:tc>
        <w:tc>
          <w:tcPr>
            <w:tcW w:w="1296" w:type="dxa"/>
            <w:tcBorders>
              <w:top w:val="nil"/>
              <w:left w:val="nil"/>
              <w:bottom w:val="nil"/>
              <w:right w:val="nil"/>
            </w:tcBorders>
            <w:shd w:val="clear" w:color="auto" w:fill="auto"/>
            <w:noWrap/>
            <w:vAlign w:val="center"/>
          </w:tcPr>
          <w:p w14:paraId="1E9AE94D" w14:textId="20E10ED7"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28.1</w:t>
            </w:r>
          </w:p>
        </w:tc>
        <w:tc>
          <w:tcPr>
            <w:tcW w:w="1296" w:type="dxa"/>
            <w:tcBorders>
              <w:top w:val="nil"/>
              <w:left w:val="nil"/>
              <w:bottom w:val="nil"/>
              <w:right w:val="nil"/>
            </w:tcBorders>
            <w:shd w:val="clear" w:color="auto" w:fill="auto"/>
            <w:noWrap/>
            <w:vAlign w:val="center"/>
          </w:tcPr>
          <w:p w14:paraId="37F4E047" w14:textId="7503222C"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56.9</w:t>
            </w:r>
          </w:p>
        </w:tc>
      </w:tr>
      <w:tr w:rsidR="00DF11AD" w:rsidRPr="00B55251" w14:paraId="0372E4EA" w14:textId="77777777" w:rsidTr="00555879">
        <w:trPr>
          <w:trHeight w:val="227"/>
        </w:trPr>
        <w:tc>
          <w:tcPr>
            <w:tcW w:w="1296" w:type="dxa"/>
            <w:tcBorders>
              <w:top w:val="nil"/>
              <w:left w:val="nil"/>
              <w:bottom w:val="single" w:sz="12" w:space="0" w:color="auto"/>
              <w:right w:val="nil"/>
            </w:tcBorders>
            <w:shd w:val="clear" w:color="auto" w:fill="auto"/>
            <w:noWrap/>
            <w:vAlign w:val="center"/>
            <w:hideMark/>
          </w:tcPr>
          <w:p w14:paraId="451C4156" w14:textId="77777777" w:rsidR="00DF11AD" w:rsidRPr="00B55251" w:rsidRDefault="00DF11AD" w:rsidP="00DF11AD">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Five</w:t>
            </w:r>
          </w:p>
        </w:tc>
        <w:tc>
          <w:tcPr>
            <w:tcW w:w="1296" w:type="dxa"/>
            <w:tcBorders>
              <w:top w:val="nil"/>
              <w:left w:val="nil"/>
              <w:bottom w:val="single" w:sz="12" w:space="0" w:color="auto"/>
              <w:right w:val="nil"/>
            </w:tcBorders>
            <w:shd w:val="clear" w:color="auto" w:fill="auto"/>
            <w:noWrap/>
            <w:vAlign w:val="bottom"/>
          </w:tcPr>
          <w:p w14:paraId="680369F7" w14:textId="1442EA8C"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187</w:t>
            </w:r>
          </w:p>
        </w:tc>
        <w:tc>
          <w:tcPr>
            <w:tcW w:w="1296" w:type="dxa"/>
            <w:tcBorders>
              <w:top w:val="nil"/>
              <w:left w:val="nil"/>
              <w:bottom w:val="single" w:sz="12" w:space="0" w:color="auto"/>
              <w:right w:val="nil"/>
            </w:tcBorders>
            <w:shd w:val="clear" w:color="auto" w:fill="auto"/>
            <w:noWrap/>
            <w:vAlign w:val="bottom"/>
          </w:tcPr>
          <w:p w14:paraId="66050DE2" w14:textId="662CBA60"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50</w:t>
            </w:r>
          </w:p>
        </w:tc>
        <w:tc>
          <w:tcPr>
            <w:tcW w:w="1296" w:type="dxa"/>
            <w:tcBorders>
              <w:top w:val="nil"/>
              <w:left w:val="nil"/>
              <w:bottom w:val="single" w:sz="12" w:space="0" w:color="auto"/>
              <w:right w:val="nil"/>
            </w:tcBorders>
            <w:shd w:val="clear" w:color="auto" w:fill="auto"/>
            <w:noWrap/>
            <w:vAlign w:val="center"/>
          </w:tcPr>
          <w:p w14:paraId="6AF2792E" w14:textId="5CF6D395"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26.7</w:t>
            </w:r>
          </w:p>
        </w:tc>
        <w:tc>
          <w:tcPr>
            <w:tcW w:w="1296" w:type="dxa"/>
            <w:tcBorders>
              <w:top w:val="nil"/>
              <w:left w:val="nil"/>
              <w:bottom w:val="single" w:sz="12" w:space="0" w:color="auto"/>
              <w:right w:val="nil"/>
            </w:tcBorders>
            <w:shd w:val="clear" w:color="auto" w:fill="auto"/>
            <w:noWrap/>
            <w:vAlign w:val="center"/>
          </w:tcPr>
          <w:p w14:paraId="731FD0FE" w14:textId="041FEBC0"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41</w:t>
            </w:r>
          </w:p>
        </w:tc>
        <w:tc>
          <w:tcPr>
            <w:tcW w:w="1296" w:type="dxa"/>
            <w:tcBorders>
              <w:top w:val="nil"/>
              <w:left w:val="nil"/>
              <w:bottom w:val="single" w:sz="12" w:space="0" w:color="auto"/>
              <w:right w:val="nil"/>
            </w:tcBorders>
            <w:shd w:val="clear" w:color="auto" w:fill="auto"/>
            <w:noWrap/>
            <w:vAlign w:val="center"/>
          </w:tcPr>
          <w:p w14:paraId="26A1A712" w14:textId="57A3D873"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29.9</w:t>
            </w:r>
          </w:p>
        </w:tc>
        <w:tc>
          <w:tcPr>
            <w:tcW w:w="1296" w:type="dxa"/>
            <w:tcBorders>
              <w:top w:val="nil"/>
              <w:left w:val="nil"/>
              <w:bottom w:val="single" w:sz="12" w:space="0" w:color="auto"/>
              <w:right w:val="nil"/>
            </w:tcBorders>
            <w:shd w:val="clear" w:color="auto" w:fill="auto"/>
            <w:noWrap/>
            <w:vAlign w:val="center"/>
          </w:tcPr>
          <w:p w14:paraId="22932EB0" w14:textId="43B39A5B" w:rsidR="00DF11AD" w:rsidRPr="00B55251" w:rsidRDefault="00DF11AD" w:rsidP="00DF11AD">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59.4</w:t>
            </w:r>
          </w:p>
        </w:tc>
      </w:tr>
    </w:tbl>
    <w:p w14:paraId="69D18E2E" w14:textId="77777777" w:rsidR="002F0B22" w:rsidRDefault="002F0B22" w:rsidP="002F0B22">
      <w:pPr>
        <w:pStyle w:val="TableSourcefootnotes"/>
        <w:tabs>
          <w:tab w:val="clear" w:pos="397"/>
          <w:tab w:val="left" w:pos="284"/>
        </w:tabs>
        <w:spacing w:before="0" w:after="0" w:line="240" w:lineRule="auto"/>
        <w:ind w:left="284"/>
      </w:pPr>
    </w:p>
    <w:p w14:paraId="0D749815" w14:textId="0F603D32" w:rsidR="002B68A7" w:rsidRDefault="002B68A7" w:rsidP="00814AD1">
      <w:pPr>
        <w:pStyle w:val="TableSourcefootnotes"/>
        <w:numPr>
          <w:ilvl w:val="0"/>
          <w:numId w:val="22"/>
        </w:numPr>
        <w:tabs>
          <w:tab w:val="clear" w:pos="397"/>
          <w:tab w:val="left" w:pos="284"/>
        </w:tabs>
        <w:spacing w:before="0" w:after="0" w:line="240" w:lineRule="auto"/>
        <w:ind w:left="284" w:hanging="284"/>
      </w:pPr>
      <w:r>
        <w:t>Freeze-all cycles are fresh ART treatment cycles where all oocytes or embryos are cryopreserved, and an embryo transfer does not take place.</w:t>
      </w:r>
    </w:p>
    <w:p w14:paraId="21B4441D" w14:textId="5D74836B" w:rsidR="00FA33C7" w:rsidRPr="00A379EC" w:rsidRDefault="00FA33C7" w:rsidP="00814AD1">
      <w:pPr>
        <w:pStyle w:val="TableSourcefootnotes"/>
        <w:numPr>
          <w:ilvl w:val="0"/>
          <w:numId w:val="22"/>
        </w:numPr>
        <w:tabs>
          <w:tab w:val="clear" w:pos="397"/>
          <w:tab w:val="left" w:pos="284"/>
        </w:tabs>
        <w:spacing w:before="0" w:after="0" w:line="240" w:lineRule="auto"/>
        <w:ind w:left="284" w:hanging="284"/>
      </w:pPr>
      <w:r>
        <w:t>Cycle one represents a woman’s first autologous (</w:t>
      </w:r>
      <w:r w:rsidR="00971360">
        <w:t>excluding</w:t>
      </w:r>
      <w:r>
        <w:t xml:space="preserve"> </w:t>
      </w:r>
      <w:r w:rsidRPr="00E217FF">
        <w:rPr>
          <w:iCs/>
        </w:rPr>
        <w:t>freeze-all</w:t>
      </w:r>
      <w:r>
        <w:t>)</w:t>
      </w:r>
      <w:r w:rsidRPr="00A379EC">
        <w:t xml:space="preserve"> fresh ART treatment cycle between 1</w:t>
      </w:r>
      <w:r w:rsidRPr="00E217FF">
        <w:rPr>
          <w:vertAlign w:val="superscript"/>
        </w:rPr>
        <w:t>st</w:t>
      </w:r>
      <w:r w:rsidRPr="00A379EC">
        <w:t xml:space="preserve"> January </w:t>
      </w:r>
      <w:r w:rsidR="00881FD0">
        <w:t>201</w:t>
      </w:r>
      <w:r w:rsidR="007B0BDB">
        <w:t>9</w:t>
      </w:r>
      <w:r w:rsidR="00881FD0">
        <w:t xml:space="preserve"> </w:t>
      </w:r>
      <w:r w:rsidRPr="00A379EC">
        <w:t>and 31</w:t>
      </w:r>
      <w:r w:rsidRPr="00E217FF">
        <w:rPr>
          <w:vertAlign w:val="superscript"/>
        </w:rPr>
        <w:t>st</w:t>
      </w:r>
      <w:r w:rsidRPr="00A379EC">
        <w:t xml:space="preserve"> December </w:t>
      </w:r>
      <w:r w:rsidR="00881FD0">
        <w:t>201</w:t>
      </w:r>
      <w:r w:rsidR="007B0BDB">
        <w:t>9</w:t>
      </w:r>
      <w:r>
        <w:t>. Cycles two to five could be either a fresh or thaw cycle (</w:t>
      </w:r>
      <w:r w:rsidRPr="00901B5A">
        <w:t xml:space="preserve">excluding </w:t>
      </w:r>
      <w:r w:rsidRPr="00E217FF">
        <w:t>freeze-all</w:t>
      </w:r>
      <w:r>
        <w:t xml:space="preserve"> cycles)</w:t>
      </w:r>
      <w:r w:rsidRPr="00A379EC">
        <w:t xml:space="preserve"> </w:t>
      </w:r>
      <w:r>
        <w:t>undertaken by a woman</w:t>
      </w:r>
      <w:r w:rsidRPr="00A379EC">
        <w:t xml:space="preserve"> until 31</w:t>
      </w:r>
      <w:r w:rsidRPr="00E217FF">
        <w:rPr>
          <w:vertAlign w:val="superscript"/>
        </w:rPr>
        <w:t>st</w:t>
      </w:r>
      <w:r w:rsidRPr="00A379EC">
        <w:t xml:space="preserve"> December </w:t>
      </w:r>
      <w:r w:rsidR="00881FD0">
        <w:t>202</w:t>
      </w:r>
      <w:r w:rsidR="007B0BDB">
        <w:t>1</w:t>
      </w:r>
      <w:r w:rsidR="00881FD0" w:rsidRPr="00A379EC">
        <w:t xml:space="preserve"> </w:t>
      </w:r>
      <w:r w:rsidRPr="00A379EC">
        <w:t xml:space="preserve">or </w:t>
      </w:r>
      <w:r w:rsidR="00EC42AE">
        <w:t>birth</w:t>
      </w:r>
      <w:r w:rsidRPr="00A379EC">
        <w:t xml:space="preserve"> of a liveborn baby up to </w:t>
      </w:r>
      <w:r>
        <w:t xml:space="preserve">and including </w:t>
      </w:r>
      <w:r w:rsidR="00783BBD">
        <w:t>31</w:t>
      </w:r>
      <w:r w:rsidR="00783BBD" w:rsidRPr="00E217FF">
        <w:rPr>
          <w:vertAlign w:val="superscript"/>
        </w:rPr>
        <w:t>st</w:t>
      </w:r>
      <w:r w:rsidR="00783BBD">
        <w:t xml:space="preserve"> October </w:t>
      </w:r>
      <w:r w:rsidR="00881FD0">
        <w:t>202</w:t>
      </w:r>
      <w:r w:rsidR="007B0BDB">
        <w:t>2</w:t>
      </w:r>
      <w:r w:rsidRPr="00A379EC">
        <w:t xml:space="preserve">. </w:t>
      </w:r>
    </w:p>
    <w:p w14:paraId="1BA5D9A4" w14:textId="4D4016BA" w:rsidR="00FA33C7" w:rsidRPr="00A379EC" w:rsidRDefault="00FA33C7" w:rsidP="00814AD1">
      <w:pPr>
        <w:pStyle w:val="TableSourcefootnotes"/>
        <w:numPr>
          <w:ilvl w:val="0"/>
          <w:numId w:val="22"/>
        </w:numPr>
        <w:spacing w:before="0" w:after="0" w:line="240" w:lineRule="auto"/>
        <w:ind w:left="284" w:hanging="284"/>
      </w:pPr>
      <w:r w:rsidRPr="00A379EC">
        <w:t xml:space="preserve">A live </w:t>
      </w:r>
      <w:r w:rsidR="00EC42AE">
        <w:t>birth</w:t>
      </w:r>
      <w:r w:rsidRPr="00A379EC">
        <w:t xml:space="preserve"> is the </w:t>
      </w:r>
      <w:r w:rsidR="00EC42AE">
        <w:t>birth</w:t>
      </w:r>
      <w:r w:rsidRPr="00A379EC">
        <w:t xml:space="preserve"> of one or more liveborn infants, with the birth of twins or higher order multiple</w:t>
      </w:r>
      <w:r>
        <w:t xml:space="preserve">s counted as one live </w:t>
      </w:r>
      <w:r w:rsidR="00EC42AE">
        <w:t>birth</w:t>
      </w:r>
      <w:r>
        <w:t>.</w:t>
      </w:r>
    </w:p>
    <w:p w14:paraId="449B1888" w14:textId="42DCA1B4" w:rsidR="00FA33C7" w:rsidRPr="00A379EC" w:rsidRDefault="00FA33C7" w:rsidP="00814AD1">
      <w:pPr>
        <w:pStyle w:val="TableSourcefootnotes"/>
        <w:numPr>
          <w:ilvl w:val="0"/>
          <w:numId w:val="22"/>
        </w:numPr>
        <w:tabs>
          <w:tab w:val="clear" w:pos="397"/>
          <w:tab w:val="left" w:pos="284"/>
        </w:tabs>
        <w:spacing w:before="0" w:after="0" w:line="240" w:lineRule="auto"/>
        <w:ind w:left="284" w:hanging="284"/>
      </w:pPr>
      <w:r w:rsidRPr="00A379EC">
        <w:t xml:space="preserve">The cycle-specific live </w:t>
      </w:r>
      <w:r w:rsidR="00EC42AE">
        <w:t>birth</w:t>
      </w:r>
      <w:r w:rsidRPr="00A379EC">
        <w:t xml:space="preserve"> rate is calculated as the number of live </w:t>
      </w:r>
      <w:r w:rsidR="00C736CE">
        <w:t>births</w:t>
      </w:r>
      <w:r w:rsidRPr="00A379EC">
        <w:t xml:space="preserve"> resulting from a specific ‘cycle number’ divided by the number of women who undertook that same ‘cycle number’. </w:t>
      </w:r>
    </w:p>
    <w:p w14:paraId="0D08FCD7" w14:textId="59E2865F" w:rsidR="00FA33C7" w:rsidRPr="00A379EC" w:rsidRDefault="00FA33C7" w:rsidP="00814AD1">
      <w:pPr>
        <w:pStyle w:val="TableSourcefootnotes"/>
        <w:numPr>
          <w:ilvl w:val="0"/>
          <w:numId w:val="22"/>
        </w:numPr>
        <w:tabs>
          <w:tab w:val="clear" w:pos="397"/>
          <w:tab w:val="left" w:pos="284"/>
        </w:tabs>
        <w:spacing w:before="0" w:after="0" w:line="240" w:lineRule="auto"/>
        <w:ind w:left="284" w:hanging="284"/>
      </w:pPr>
      <w:r w:rsidRPr="00A379EC">
        <w:t>The non-progression rate for a specific ‘cycle number’ is calculated as the number of women who did not return for further ART treatment cycles before 31</w:t>
      </w:r>
      <w:r w:rsidRPr="00E217FF">
        <w:rPr>
          <w:vertAlign w:val="superscript"/>
        </w:rPr>
        <w:t>st</w:t>
      </w:r>
      <w:r w:rsidRPr="00A379EC">
        <w:t xml:space="preserve"> December </w:t>
      </w:r>
      <w:r w:rsidR="00881FD0">
        <w:t>202</w:t>
      </w:r>
      <w:r w:rsidR="007B0BDB">
        <w:t>1</w:t>
      </w:r>
      <w:r w:rsidR="00881FD0" w:rsidRPr="00A379EC">
        <w:t xml:space="preserve"> </w:t>
      </w:r>
      <w:r w:rsidRPr="00A379EC">
        <w:t xml:space="preserve">divided by the number of women who did not have a live </w:t>
      </w:r>
      <w:r w:rsidR="00EC42AE">
        <w:t>birth</w:t>
      </w:r>
      <w:r w:rsidRPr="00A379EC">
        <w:t xml:space="preserve"> in that ‘cycle number’. </w:t>
      </w:r>
    </w:p>
    <w:p w14:paraId="75AB39CC" w14:textId="45C7624B" w:rsidR="00C16CAB" w:rsidRDefault="00FA33C7" w:rsidP="00814AD1">
      <w:pPr>
        <w:pStyle w:val="TableSourcefootnotes"/>
        <w:numPr>
          <w:ilvl w:val="0"/>
          <w:numId w:val="22"/>
        </w:numPr>
        <w:spacing w:before="0" w:after="0" w:line="240" w:lineRule="auto"/>
        <w:ind w:left="284" w:hanging="284"/>
      </w:pPr>
      <w:r w:rsidRPr="00A379EC">
        <w:t xml:space="preserve">The cumulative live </w:t>
      </w:r>
      <w:r w:rsidR="00EC42AE">
        <w:t>birth</w:t>
      </w:r>
      <w:r w:rsidRPr="00A379EC">
        <w:t xml:space="preserve"> rate for a specific ‘cycle number’ is calculated as the total number of live </w:t>
      </w:r>
      <w:r w:rsidR="00C736CE">
        <w:t>births</w:t>
      </w:r>
      <w:r w:rsidRPr="00A379EC">
        <w:t xml:space="preserve"> following this ‘cycle number’ and all previous cycles divided by the total number of women who started their first autologous fresh ART treatme</w:t>
      </w:r>
      <w:r>
        <w:t>nt cycle between 1</w:t>
      </w:r>
      <w:r w:rsidRPr="00E217FF">
        <w:rPr>
          <w:vertAlign w:val="superscript"/>
        </w:rPr>
        <w:t>st</w:t>
      </w:r>
      <w:r>
        <w:t xml:space="preserve"> January </w:t>
      </w:r>
      <w:r w:rsidR="00881FD0">
        <w:t>201</w:t>
      </w:r>
      <w:r w:rsidR="007B0BDB">
        <w:t>9</w:t>
      </w:r>
      <w:r w:rsidR="00881FD0" w:rsidRPr="00A379EC">
        <w:t xml:space="preserve"> </w:t>
      </w:r>
      <w:r w:rsidRPr="00A379EC">
        <w:t>and 31</w:t>
      </w:r>
      <w:r w:rsidRPr="00E217FF">
        <w:rPr>
          <w:vertAlign w:val="superscript"/>
        </w:rPr>
        <w:t>st</w:t>
      </w:r>
      <w:r w:rsidRPr="00A379EC">
        <w:t xml:space="preserve"> December </w:t>
      </w:r>
      <w:r w:rsidR="00881FD0">
        <w:t>201</w:t>
      </w:r>
      <w:r w:rsidR="007B0BDB">
        <w:t>9</w:t>
      </w:r>
      <w:r w:rsidRPr="00A379EC">
        <w:t xml:space="preserve">. </w:t>
      </w:r>
    </w:p>
    <w:p w14:paraId="64CE40E1" w14:textId="77777777" w:rsidR="005E3A7E" w:rsidRPr="005E3A7E" w:rsidRDefault="005E3A7E" w:rsidP="005E3A7E">
      <w:pPr>
        <w:pStyle w:val="NPESUbodytext"/>
        <w:spacing w:before="0" w:after="0" w:line="240" w:lineRule="auto"/>
      </w:pPr>
    </w:p>
    <w:p w14:paraId="07A6FE59" w14:textId="39BF9B0A" w:rsidR="00FA33C7" w:rsidRDefault="00FA33C7" w:rsidP="005E3A7E">
      <w:pPr>
        <w:pStyle w:val="TableSourcefootnotes"/>
        <w:tabs>
          <w:tab w:val="clear" w:pos="397"/>
          <w:tab w:val="left" w:pos="142"/>
        </w:tabs>
        <w:spacing w:before="0" w:after="0" w:line="240" w:lineRule="auto"/>
      </w:pPr>
      <w:r w:rsidRPr="00A379EC">
        <w:rPr>
          <w:i/>
          <w:iCs/>
        </w:rPr>
        <w:t>Note</w:t>
      </w:r>
      <w:r w:rsidRPr="00A379EC">
        <w:t>:</w:t>
      </w:r>
      <w:r w:rsidR="005E3A7E">
        <w:t xml:space="preserve"> </w:t>
      </w:r>
      <w:r w:rsidRPr="00A379EC">
        <w:t>Further treatment cycles after the</w:t>
      </w:r>
      <w:r w:rsidR="00B67777">
        <w:t xml:space="preserve"> fifth </w:t>
      </w:r>
      <w:r w:rsidRPr="00A379EC">
        <w:t xml:space="preserve">cycle and resulting live </w:t>
      </w:r>
      <w:r w:rsidR="00C736CE">
        <w:t>births</w:t>
      </w:r>
      <w:r w:rsidRPr="00A379EC">
        <w:t xml:space="preserve"> are not presented in this table due to small numbers. Data should be interpreted with caution due to small numbers in certain </w:t>
      </w:r>
      <w:r w:rsidRPr="00BD7D19">
        <w:t>cells and measure</w:t>
      </w:r>
      <w:r>
        <w:t>s</w:t>
      </w:r>
      <w:r w:rsidRPr="00BD7D19">
        <w:t xml:space="preserve"> of statistical variance are not supplied.</w:t>
      </w:r>
    </w:p>
    <w:p w14:paraId="71743721" w14:textId="77777777" w:rsidR="002F0B22" w:rsidRDefault="002F0B22" w:rsidP="00FA33C7">
      <w:pPr>
        <w:pStyle w:val="TableSourcefootnotes"/>
        <w:tabs>
          <w:tab w:val="clear" w:pos="397"/>
          <w:tab w:val="left" w:pos="426"/>
        </w:tabs>
        <w:spacing w:before="40" w:after="240"/>
        <w:ind w:left="426" w:hanging="426"/>
        <w:rPr>
          <w:rFonts w:asciiTheme="minorHAnsi" w:eastAsiaTheme="minorHAnsi" w:hAnsiTheme="minorHAnsi"/>
          <w:b/>
          <w:bCs/>
          <w:sz w:val="21"/>
          <w:szCs w:val="22"/>
        </w:rPr>
      </w:pPr>
    </w:p>
    <w:p w14:paraId="4F651A09" w14:textId="77777777" w:rsidR="002F0B22" w:rsidRDefault="002F0B22" w:rsidP="00FA33C7">
      <w:pPr>
        <w:pStyle w:val="TableSourcefootnotes"/>
        <w:tabs>
          <w:tab w:val="clear" w:pos="397"/>
          <w:tab w:val="left" w:pos="426"/>
        </w:tabs>
        <w:spacing w:before="40" w:after="240"/>
        <w:ind w:left="426" w:hanging="426"/>
        <w:rPr>
          <w:rFonts w:asciiTheme="minorHAnsi" w:eastAsiaTheme="minorHAnsi" w:hAnsiTheme="minorHAnsi"/>
          <w:b/>
          <w:bCs/>
          <w:sz w:val="21"/>
          <w:szCs w:val="22"/>
        </w:rPr>
      </w:pPr>
    </w:p>
    <w:p w14:paraId="2C784DC9" w14:textId="3563C40E" w:rsidR="00FA33C7" w:rsidRDefault="00FA33C7" w:rsidP="00FA33C7">
      <w:pPr>
        <w:pStyle w:val="TableSourcefootnotes"/>
        <w:tabs>
          <w:tab w:val="clear" w:pos="397"/>
          <w:tab w:val="left" w:pos="426"/>
        </w:tabs>
        <w:spacing w:before="40" w:after="240"/>
        <w:ind w:left="426" w:hanging="426"/>
      </w:pPr>
      <w:r>
        <w:rPr>
          <w:rFonts w:asciiTheme="minorHAnsi" w:eastAsiaTheme="minorHAnsi" w:hAnsiTheme="minorHAnsi"/>
          <w:b/>
          <w:bCs/>
          <w:sz w:val="21"/>
          <w:szCs w:val="22"/>
        </w:rPr>
        <w:br w:type="page"/>
      </w:r>
    </w:p>
    <w:p w14:paraId="2C68F95E" w14:textId="7A15A51E" w:rsidR="002F0B22" w:rsidRPr="002F0B22" w:rsidRDefault="002F0B22" w:rsidP="00B54834">
      <w:pPr>
        <w:pStyle w:val="Caption"/>
        <w:rPr>
          <w:lang w:eastAsia="en-AU"/>
        </w:rPr>
      </w:pPr>
      <w:bookmarkStart w:id="405" w:name="_Toc158026580"/>
      <w:r w:rsidRPr="002F0B22">
        <w:rPr>
          <w:lang w:eastAsia="en-AU"/>
        </w:rPr>
        <w:lastRenderedPageBreak/>
        <w:t>Table 31: Cycle-specific and cumulative live birth rates for women aged less than 30 years who started their first autologous fresh cycle (excluding freeze-all cycles</w:t>
      </w:r>
      <w:r w:rsidRPr="00690B1B">
        <w:rPr>
          <w:vertAlign w:val="superscript"/>
          <w:lang w:eastAsia="en-AU"/>
        </w:rPr>
        <w:t>(</w:t>
      </w:r>
      <w:r w:rsidR="002B68A7">
        <w:rPr>
          <w:vertAlign w:val="superscript"/>
          <w:lang w:eastAsia="en-AU"/>
        </w:rPr>
        <w:t>a</w:t>
      </w:r>
      <w:r w:rsidRPr="00690B1B">
        <w:rPr>
          <w:vertAlign w:val="superscript"/>
          <w:lang w:eastAsia="en-AU"/>
        </w:rPr>
        <w:t>)</w:t>
      </w:r>
      <w:r w:rsidRPr="002F0B22">
        <w:rPr>
          <w:lang w:eastAsia="en-AU"/>
        </w:rPr>
        <w:t>) between 1st January 201</w:t>
      </w:r>
      <w:r w:rsidR="0077387F">
        <w:rPr>
          <w:lang w:eastAsia="en-AU"/>
        </w:rPr>
        <w:t>9</w:t>
      </w:r>
      <w:r w:rsidRPr="002F0B22">
        <w:rPr>
          <w:lang w:eastAsia="en-AU"/>
        </w:rPr>
        <w:t xml:space="preserve"> and 31st December 201</w:t>
      </w:r>
      <w:r w:rsidR="0077387F">
        <w:rPr>
          <w:lang w:eastAsia="en-AU"/>
        </w:rPr>
        <w:t>9</w:t>
      </w:r>
      <w:r w:rsidRPr="002F0B22">
        <w:rPr>
          <w:lang w:eastAsia="en-AU"/>
        </w:rPr>
        <w:t>, New Zealand, 201</w:t>
      </w:r>
      <w:r w:rsidR="0077387F">
        <w:rPr>
          <w:lang w:eastAsia="en-AU"/>
        </w:rPr>
        <w:t>9</w:t>
      </w:r>
      <w:r w:rsidRPr="002F0B22">
        <w:rPr>
          <w:lang w:eastAsia="en-AU"/>
        </w:rPr>
        <w:t>-202</w:t>
      </w:r>
      <w:r w:rsidR="0077387F">
        <w:rPr>
          <w:lang w:eastAsia="en-AU"/>
        </w:rPr>
        <w:t>1</w:t>
      </w:r>
      <w:bookmarkEnd w:id="405"/>
    </w:p>
    <w:tbl>
      <w:tblPr>
        <w:tblW w:w="9072" w:type="dxa"/>
        <w:tblLayout w:type="fixed"/>
        <w:tblCellMar>
          <w:top w:w="17" w:type="dxa"/>
          <w:left w:w="17" w:type="dxa"/>
          <w:bottom w:w="17" w:type="dxa"/>
          <w:right w:w="17" w:type="dxa"/>
        </w:tblCellMar>
        <w:tblLook w:val="04A0" w:firstRow="1" w:lastRow="0" w:firstColumn="1" w:lastColumn="0" w:noHBand="0" w:noVBand="1"/>
      </w:tblPr>
      <w:tblGrid>
        <w:gridCol w:w="1296"/>
        <w:gridCol w:w="1296"/>
        <w:gridCol w:w="1296"/>
        <w:gridCol w:w="1296"/>
        <w:gridCol w:w="1296"/>
        <w:gridCol w:w="1296"/>
        <w:gridCol w:w="1296"/>
      </w:tblGrid>
      <w:tr w:rsidR="002F0B22" w:rsidRPr="00B55251" w14:paraId="11CFE507" w14:textId="77777777" w:rsidTr="001F6C35">
        <w:trPr>
          <w:trHeight w:val="227"/>
        </w:trPr>
        <w:tc>
          <w:tcPr>
            <w:tcW w:w="1296" w:type="dxa"/>
            <w:tcBorders>
              <w:top w:val="single" w:sz="12" w:space="0" w:color="auto"/>
              <w:left w:val="nil"/>
              <w:bottom w:val="single" w:sz="4" w:space="0" w:color="auto"/>
              <w:right w:val="nil"/>
            </w:tcBorders>
            <w:shd w:val="clear" w:color="auto" w:fill="auto"/>
            <w:vAlign w:val="bottom"/>
            <w:hideMark/>
          </w:tcPr>
          <w:p w14:paraId="10BBF6F4" w14:textId="18A28092" w:rsidR="002F0B22" w:rsidRPr="00B55251" w:rsidRDefault="002F0B22" w:rsidP="001F6C35">
            <w:pPr>
              <w:spacing w:after="0" w:line="276" w:lineRule="auto"/>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Cycle number</w:t>
            </w:r>
            <w:r w:rsidRPr="00B55251">
              <w:rPr>
                <w:rFonts w:ascii="Arial" w:eastAsia="Times New Roman" w:hAnsi="Arial" w:cs="Arial"/>
                <w:b/>
                <w:bCs/>
                <w:color w:val="000000"/>
                <w:sz w:val="16"/>
                <w:szCs w:val="16"/>
                <w:vertAlign w:val="superscript"/>
                <w:lang w:eastAsia="en-AU"/>
              </w:rPr>
              <w:t>(</w:t>
            </w:r>
            <w:r w:rsidR="00EC3BB1">
              <w:rPr>
                <w:rFonts w:ascii="Arial" w:eastAsia="Times New Roman" w:hAnsi="Arial" w:cs="Arial"/>
                <w:b/>
                <w:bCs/>
                <w:color w:val="000000"/>
                <w:sz w:val="16"/>
                <w:szCs w:val="16"/>
                <w:vertAlign w:val="superscript"/>
                <w:lang w:eastAsia="en-AU"/>
              </w:rPr>
              <w:t>b</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15FDB573" w14:textId="77777777" w:rsidR="002F0B22" w:rsidRPr="00B55251" w:rsidRDefault="002F0B22"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starting cycle</w:t>
            </w:r>
          </w:p>
        </w:tc>
        <w:tc>
          <w:tcPr>
            <w:tcW w:w="1296" w:type="dxa"/>
            <w:tcBorders>
              <w:top w:val="single" w:sz="12" w:space="0" w:color="auto"/>
              <w:left w:val="nil"/>
              <w:bottom w:val="single" w:sz="4" w:space="0" w:color="auto"/>
              <w:right w:val="nil"/>
            </w:tcBorders>
            <w:shd w:val="clear" w:color="auto" w:fill="auto"/>
            <w:vAlign w:val="bottom"/>
            <w:hideMark/>
          </w:tcPr>
          <w:p w14:paraId="4126C934" w14:textId="684BE2CC" w:rsidR="002F0B22" w:rsidRPr="00B55251" w:rsidRDefault="002F0B22"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Number of women who had a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vertAlign w:val="superscript"/>
                <w:lang w:eastAsia="en-AU"/>
              </w:rPr>
              <w:t>(</w:t>
            </w:r>
            <w:r w:rsidR="00EC3BB1">
              <w:rPr>
                <w:rFonts w:ascii="Arial" w:eastAsia="Times New Roman" w:hAnsi="Arial" w:cs="Arial"/>
                <w:b/>
                <w:bCs/>
                <w:color w:val="000000"/>
                <w:sz w:val="16"/>
                <w:szCs w:val="16"/>
                <w:vertAlign w:val="superscript"/>
                <w:lang w:eastAsia="en-AU"/>
              </w:rPr>
              <w:t>c</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0801B439" w14:textId="74EB3A11" w:rsidR="002F0B22" w:rsidRPr="00B55251" w:rsidRDefault="002F0B22"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Cycle-specific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EC3BB1">
              <w:rPr>
                <w:rFonts w:ascii="Arial" w:eastAsia="Times New Roman" w:hAnsi="Arial" w:cs="Arial"/>
                <w:b/>
                <w:bCs/>
                <w:color w:val="000000"/>
                <w:sz w:val="16"/>
                <w:szCs w:val="16"/>
                <w:vertAlign w:val="superscript"/>
                <w:lang w:eastAsia="en-AU"/>
              </w:rPr>
              <w:t>d</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446BAA80" w14:textId="77777777" w:rsidR="002F0B22" w:rsidRPr="00B55251" w:rsidRDefault="002F0B22"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who did not progress to next treatment</w:t>
            </w:r>
          </w:p>
        </w:tc>
        <w:tc>
          <w:tcPr>
            <w:tcW w:w="1296" w:type="dxa"/>
            <w:tcBorders>
              <w:top w:val="single" w:sz="12" w:space="0" w:color="auto"/>
              <w:left w:val="nil"/>
              <w:bottom w:val="single" w:sz="4" w:space="0" w:color="auto"/>
              <w:right w:val="nil"/>
            </w:tcBorders>
            <w:shd w:val="clear" w:color="auto" w:fill="auto"/>
            <w:vAlign w:val="bottom"/>
            <w:hideMark/>
          </w:tcPr>
          <w:p w14:paraId="7178C863" w14:textId="770C6F06" w:rsidR="002F0B22" w:rsidRPr="00B55251" w:rsidRDefault="002F0B22"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Non-progression rate (%)</w:t>
            </w:r>
            <w:r w:rsidRPr="00B55251">
              <w:rPr>
                <w:rFonts w:ascii="Arial" w:eastAsia="Times New Roman" w:hAnsi="Arial" w:cs="Arial"/>
                <w:b/>
                <w:bCs/>
                <w:color w:val="000000"/>
                <w:sz w:val="16"/>
                <w:szCs w:val="16"/>
                <w:vertAlign w:val="superscript"/>
                <w:lang w:eastAsia="en-AU"/>
              </w:rPr>
              <w:t>(</w:t>
            </w:r>
            <w:r w:rsidR="00EC3BB1">
              <w:rPr>
                <w:rFonts w:ascii="Arial" w:eastAsia="Times New Roman" w:hAnsi="Arial" w:cs="Arial"/>
                <w:b/>
                <w:bCs/>
                <w:color w:val="000000"/>
                <w:sz w:val="16"/>
                <w:szCs w:val="16"/>
                <w:vertAlign w:val="superscript"/>
                <w:lang w:eastAsia="en-AU"/>
              </w:rPr>
              <w:t>e</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41AC80A4" w14:textId="73A3DD25" w:rsidR="002F0B22" w:rsidRPr="00B55251" w:rsidRDefault="002F0B22"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Cumulative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EC3BB1">
              <w:rPr>
                <w:rFonts w:ascii="Arial" w:eastAsia="Times New Roman" w:hAnsi="Arial" w:cs="Arial"/>
                <w:b/>
                <w:bCs/>
                <w:color w:val="000000"/>
                <w:sz w:val="16"/>
                <w:szCs w:val="16"/>
                <w:vertAlign w:val="superscript"/>
                <w:lang w:eastAsia="en-AU"/>
              </w:rPr>
              <w:t>f</w:t>
            </w:r>
            <w:r w:rsidRPr="00B55251">
              <w:rPr>
                <w:rFonts w:ascii="Arial" w:eastAsia="Times New Roman" w:hAnsi="Arial" w:cs="Arial"/>
                <w:b/>
                <w:bCs/>
                <w:color w:val="000000"/>
                <w:sz w:val="16"/>
                <w:szCs w:val="16"/>
                <w:vertAlign w:val="superscript"/>
                <w:lang w:eastAsia="en-AU"/>
              </w:rPr>
              <w:t>)</w:t>
            </w:r>
          </w:p>
        </w:tc>
      </w:tr>
      <w:tr w:rsidR="00DF11AD" w14:paraId="31161645" w14:textId="77777777" w:rsidTr="00555879">
        <w:trPr>
          <w:trHeight w:val="227"/>
        </w:trPr>
        <w:tc>
          <w:tcPr>
            <w:tcW w:w="1296" w:type="dxa"/>
            <w:tcBorders>
              <w:top w:val="single" w:sz="4" w:space="0" w:color="auto"/>
              <w:left w:val="nil"/>
              <w:bottom w:val="nil"/>
              <w:right w:val="nil"/>
            </w:tcBorders>
            <w:shd w:val="clear" w:color="auto" w:fill="auto"/>
            <w:noWrap/>
            <w:vAlign w:val="center"/>
            <w:hideMark/>
          </w:tcPr>
          <w:p w14:paraId="6F920206"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One</w:t>
            </w:r>
          </w:p>
        </w:tc>
        <w:tc>
          <w:tcPr>
            <w:tcW w:w="1296" w:type="dxa"/>
            <w:tcBorders>
              <w:top w:val="single" w:sz="4" w:space="0" w:color="auto"/>
              <w:left w:val="nil"/>
              <w:bottom w:val="nil"/>
              <w:right w:val="nil"/>
            </w:tcBorders>
            <w:shd w:val="clear" w:color="auto" w:fill="auto"/>
            <w:noWrap/>
            <w:vAlign w:val="bottom"/>
          </w:tcPr>
          <w:p w14:paraId="4F64A121" w14:textId="2B6C7B57"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248</w:t>
            </w:r>
          </w:p>
        </w:tc>
        <w:tc>
          <w:tcPr>
            <w:tcW w:w="1296" w:type="dxa"/>
            <w:tcBorders>
              <w:top w:val="single" w:sz="4" w:space="0" w:color="auto"/>
              <w:left w:val="nil"/>
              <w:bottom w:val="nil"/>
              <w:right w:val="nil"/>
            </w:tcBorders>
            <w:shd w:val="clear" w:color="auto" w:fill="auto"/>
            <w:noWrap/>
            <w:vAlign w:val="bottom"/>
          </w:tcPr>
          <w:p w14:paraId="6286600E" w14:textId="7BC493CA"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111</w:t>
            </w:r>
          </w:p>
        </w:tc>
        <w:tc>
          <w:tcPr>
            <w:tcW w:w="1296" w:type="dxa"/>
            <w:tcBorders>
              <w:top w:val="single" w:sz="4" w:space="0" w:color="auto"/>
              <w:left w:val="nil"/>
              <w:bottom w:val="nil"/>
              <w:right w:val="nil"/>
            </w:tcBorders>
            <w:shd w:val="clear" w:color="auto" w:fill="auto"/>
            <w:noWrap/>
            <w:vAlign w:val="center"/>
          </w:tcPr>
          <w:p w14:paraId="581FD698" w14:textId="3F66AEC2"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44.8</w:t>
            </w:r>
          </w:p>
        </w:tc>
        <w:tc>
          <w:tcPr>
            <w:tcW w:w="1296" w:type="dxa"/>
            <w:tcBorders>
              <w:top w:val="single" w:sz="4" w:space="0" w:color="auto"/>
              <w:left w:val="nil"/>
              <w:bottom w:val="nil"/>
              <w:right w:val="nil"/>
            </w:tcBorders>
            <w:shd w:val="clear" w:color="auto" w:fill="auto"/>
            <w:noWrap/>
            <w:vAlign w:val="center"/>
          </w:tcPr>
          <w:p w14:paraId="5878796E" w14:textId="614B2469"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17</w:t>
            </w:r>
          </w:p>
        </w:tc>
        <w:tc>
          <w:tcPr>
            <w:tcW w:w="1296" w:type="dxa"/>
            <w:tcBorders>
              <w:top w:val="single" w:sz="4" w:space="0" w:color="auto"/>
              <w:left w:val="nil"/>
              <w:bottom w:val="nil"/>
              <w:right w:val="nil"/>
            </w:tcBorders>
            <w:shd w:val="clear" w:color="auto" w:fill="auto"/>
            <w:noWrap/>
            <w:vAlign w:val="center"/>
          </w:tcPr>
          <w:p w14:paraId="20D7669A" w14:textId="1AC0CB7B"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12.4</w:t>
            </w:r>
          </w:p>
        </w:tc>
        <w:tc>
          <w:tcPr>
            <w:tcW w:w="1296" w:type="dxa"/>
            <w:tcBorders>
              <w:top w:val="single" w:sz="4" w:space="0" w:color="auto"/>
              <w:left w:val="nil"/>
              <w:bottom w:val="nil"/>
              <w:right w:val="nil"/>
            </w:tcBorders>
            <w:shd w:val="clear" w:color="auto" w:fill="auto"/>
            <w:noWrap/>
            <w:vAlign w:val="center"/>
          </w:tcPr>
          <w:p w14:paraId="0287DC2B" w14:textId="714AE068"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44.8</w:t>
            </w:r>
          </w:p>
        </w:tc>
      </w:tr>
      <w:tr w:rsidR="00DF11AD" w14:paraId="0EF8DC7D" w14:textId="77777777" w:rsidTr="00555879">
        <w:trPr>
          <w:trHeight w:val="227"/>
        </w:trPr>
        <w:tc>
          <w:tcPr>
            <w:tcW w:w="1296" w:type="dxa"/>
            <w:tcBorders>
              <w:top w:val="nil"/>
              <w:left w:val="nil"/>
              <w:bottom w:val="nil"/>
              <w:right w:val="nil"/>
            </w:tcBorders>
            <w:shd w:val="clear" w:color="auto" w:fill="auto"/>
            <w:noWrap/>
            <w:vAlign w:val="center"/>
            <w:hideMark/>
          </w:tcPr>
          <w:p w14:paraId="376114D5"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Two</w:t>
            </w:r>
          </w:p>
        </w:tc>
        <w:tc>
          <w:tcPr>
            <w:tcW w:w="1296" w:type="dxa"/>
            <w:tcBorders>
              <w:top w:val="nil"/>
              <w:left w:val="nil"/>
              <w:bottom w:val="nil"/>
              <w:right w:val="nil"/>
            </w:tcBorders>
            <w:shd w:val="clear" w:color="auto" w:fill="auto"/>
            <w:noWrap/>
            <w:vAlign w:val="bottom"/>
          </w:tcPr>
          <w:p w14:paraId="22690FF7" w14:textId="608FF4DC"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120</w:t>
            </w:r>
          </w:p>
        </w:tc>
        <w:tc>
          <w:tcPr>
            <w:tcW w:w="1296" w:type="dxa"/>
            <w:tcBorders>
              <w:top w:val="nil"/>
              <w:left w:val="nil"/>
              <w:bottom w:val="nil"/>
              <w:right w:val="nil"/>
            </w:tcBorders>
            <w:shd w:val="clear" w:color="auto" w:fill="auto"/>
            <w:noWrap/>
            <w:vAlign w:val="bottom"/>
          </w:tcPr>
          <w:p w14:paraId="33962F61" w14:textId="0DB17829"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43</w:t>
            </w:r>
          </w:p>
        </w:tc>
        <w:tc>
          <w:tcPr>
            <w:tcW w:w="1296" w:type="dxa"/>
            <w:tcBorders>
              <w:top w:val="nil"/>
              <w:left w:val="nil"/>
              <w:bottom w:val="nil"/>
              <w:right w:val="nil"/>
            </w:tcBorders>
            <w:shd w:val="clear" w:color="auto" w:fill="auto"/>
            <w:noWrap/>
            <w:vAlign w:val="center"/>
          </w:tcPr>
          <w:p w14:paraId="23A45C01" w14:textId="6C5B875F"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35.8</w:t>
            </w:r>
          </w:p>
        </w:tc>
        <w:tc>
          <w:tcPr>
            <w:tcW w:w="1296" w:type="dxa"/>
            <w:tcBorders>
              <w:top w:val="nil"/>
              <w:left w:val="nil"/>
              <w:bottom w:val="nil"/>
              <w:right w:val="nil"/>
            </w:tcBorders>
            <w:shd w:val="clear" w:color="auto" w:fill="auto"/>
            <w:noWrap/>
            <w:vAlign w:val="center"/>
          </w:tcPr>
          <w:p w14:paraId="736A5BF1" w14:textId="0E65367C"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18</w:t>
            </w:r>
          </w:p>
        </w:tc>
        <w:tc>
          <w:tcPr>
            <w:tcW w:w="1296" w:type="dxa"/>
            <w:tcBorders>
              <w:top w:val="nil"/>
              <w:left w:val="nil"/>
              <w:bottom w:val="nil"/>
              <w:right w:val="nil"/>
            </w:tcBorders>
            <w:shd w:val="clear" w:color="auto" w:fill="auto"/>
            <w:noWrap/>
            <w:vAlign w:val="center"/>
          </w:tcPr>
          <w:p w14:paraId="525614A0" w14:textId="5BE7E6F9"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23.4</w:t>
            </w:r>
          </w:p>
        </w:tc>
        <w:tc>
          <w:tcPr>
            <w:tcW w:w="1296" w:type="dxa"/>
            <w:tcBorders>
              <w:top w:val="nil"/>
              <w:left w:val="nil"/>
              <w:bottom w:val="nil"/>
              <w:right w:val="nil"/>
            </w:tcBorders>
            <w:shd w:val="clear" w:color="auto" w:fill="auto"/>
            <w:noWrap/>
            <w:vAlign w:val="center"/>
          </w:tcPr>
          <w:p w14:paraId="4B622381" w14:textId="6A94B393"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62.1</w:t>
            </w:r>
          </w:p>
        </w:tc>
      </w:tr>
      <w:tr w:rsidR="00DF11AD" w14:paraId="5E21374E" w14:textId="77777777" w:rsidTr="00555879">
        <w:trPr>
          <w:trHeight w:val="227"/>
        </w:trPr>
        <w:tc>
          <w:tcPr>
            <w:tcW w:w="1296" w:type="dxa"/>
            <w:tcBorders>
              <w:top w:val="nil"/>
              <w:left w:val="nil"/>
              <w:bottom w:val="nil"/>
              <w:right w:val="nil"/>
            </w:tcBorders>
            <w:shd w:val="clear" w:color="auto" w:fill="auto"/>
            <w:noWrap/>
            <w:vAlign w:val="center"/>
            <w:hideMark/>
          </w:tcPr>
          <w:p w14:paraId="7C2F6BF7"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Three</w:t>
            </w:r>
          </w:p>
        </w:tc>
        <w:tc>
          <w:tcPr>
            <w:tcW w:w="1296" w:type="dxa"/>
            <w:tcBorders>
              <w:top w:val="nil"/>
              <w:left w:val="nil"/>
              <w:bottom w:val="nil"/>
              <w:right w:val="nil"/>
            </w:tcBorders>
            <w:shd w:val="clear" w:color="auto" w:fill="auto"/>
            <w:noWrap/>
            <w:vAlign w:val="bottom"/>
          </w:tcPr>
          <w:p w14:paraId="424DEAA7" w14:textId="65B9F56D"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59</w:t>
            </w:r>
          </w:p>
        </w:tc>
        <w:tc>
          <w:tcPr>
            <w:tcW w:w="1296" w:type="dxa"/>
            <w:tcBorders>
              <w:top w:val="nil"/>
              <w:left w:val="nil"/>
              <w:bottom w:val="nil"/>
              <w:right w:val="nil"/>
            </w:tcBorders>
            <w:shd w:val="clear" w:color="auto" w:fill="auto"/>
            <w:noWrap/>
            <w:vAlign w:val="bottom"/>
          </w:tcPr>
          <w:p w14:paraId="422FCF53" w14:textId="2A094D70"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14</w:t>
            </w:r>
          </w:p>
        </w:tc>
        <w:tc>
          <w:tcPr>
            <w:tcW w:w="1296" w:type="dxa"/>
            <w:tcBorders>
              <w:top w:val="nil"/>
              <w:left w:val="nil"/>
              <w:bottom w:val="nil"/>
              <w:right w:val="nil"/>
            </w:tcBorders>
            <w:shd w:val="clear" w:color="auto" w:fill="auto"/>
            <w:noWrap/>
            <w:vAlign w:val="center"/>
          </w:tcPr>
          <w:p w14:paraId="3F318802" w14:textId="41EC784F"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23.7</w:t>
            </w:r>
          </w:p>
        </w:tc>
        <w:tc>
          <w:tcPr>
            <w:tcW w:w="1296" w:type="dxa"/>
            <w:tcBorders>
              <w:top w:val="nil"/>
              <w:left w:val="nil"/>
              <w:bottom w:val="nil"/>
              <w:right w:val="nil"/>
            </w:tcBorders>
            <w:shd w:val="clear" w:color="auto" w:fill="auto"/>
            <w:noWrap/>
            <w:vAlign w:val="center"/>
          </w:tcPr>
          <w:p w14:paraId="6A3B7AEF" w14:textId="27D05880"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9</w:t>
            </w:r>
          </w:p>
        </w:tc>
        <w:tc>
          <w:tcPr>
            <w:tcW w:w="1296" w:type="dxa"/>
            <w:tcBorders>
              <w:top w:val="nil"/>
              <w:left w:val="nil"/>
              <w:bottom w:val="nil"/>
              <w:right w:val="nil"/>
            </w:tcBorders>
            <w:shd w:val="clear" w:color="auto" w:fill="auto"/>
            <w:noWrap/>
            <w:vAlign w:val="center"/>
          </w:tcPr>
          <w:p w14:paraId="06E8043C" w14:textId="7EDFEC41"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20.0</w:t>
            </w:r>
          </w:p>
        </w:tc>
        <w:tc>
          <w:tcPr>
            <w:tcW w:w="1296" w:type="dxa"/>
            <w:tcBorders>
              <w:top w:val="nil"/>
              <w:left w:val="nil"/>
              <w:bottom w:val="nil"/>
              <w:right w:val="nil"/>
            </w:tcBorders>
            <w:shd w:val="clear" w:color="auto" w:fill="auto"/>
            <w:noWrap/>
            <w:vAlign w:val="center"/>
          </w:tcPr>
          <w:p w14:paraId="0DF72A5F" w14:textId="6F777DEF"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67.7</w:t>
            </w:r>
          </w:p>
        </w:tc>
      </w:tr>
      <w:tr w:rsidR="00DF11AD" w14:paraId="68D1682E" w14:textId="77777777" w:rsidTr="00555879">
        <w:trPr>
          <w:trHeight w:val="227"/>
        </w:trPr>
        <w:tc>
          <w:tcPr>
            <w:tcW w:w="1296" w:type="dxa"/>
            <w:tcBorders>
              <w:top w:val="nil"/>
              <w:left w:val="nil"/>
              <w:bottom w:val="nil"/>
              <w:right w:val="nil"/>
            </w:tcBorders>
            <w:shd w:val="clear" w:color="auto" w:fill="auto"/>
            <w:noWrap/>
            <w:vAlign w:val="center"/>
            <w:hideMark/>
          </w:tcPr>
          <w:p w14:paraId="3B539F67"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Four</w:t>
            </w:r>
          </w:p>
        </w:tc>
        <w:tc>
          <w:tcPr>
            <w:tcW w:w="1296" w:type="dxa"/>
            <w:tcBorders>
              <w:top w:val="nil"/>
              <w:left w:val="nil"/>
              <w:bottom w:val="nil"/>
              <w:right w:val="nil"/>
            </w:tcBorders>
            <w:shd w:val="clear" w:color="auto" w:fill="auto"/>
            <w:noWrap/>
            <w:vAlign w:val="bottom"/>
          </w:tcPr>
          <w:p w14:paraId="1216F3C2" w14:textId="562731A2"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36</w:t>
            </w:r>
          </w:p>
        </w:tc>
        <w:tc>
          <w:tcPr>
            <w:tcW w:w="1296" w:type="dxa"/>
            <w:tcBorders>
              <w:top w:val="nil"/>
              <w:left w:val="nil"/>
              <w:bottom w:val="nil"/>
              <w:right w:val="nil"/>
            </w:tcBorders>
            <w:shd w:val="clear" w:color="auto" w:fill="auto"/>
            <w:noWrap/>
            <w:vAlign w:val="bottom"/>
          </w:tcPr>
          <w:p w14:paraId="15921BF1" w14:textId="38A7FEC6"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8</w:t>
            </w:r>
          </w:p>
        </w:tc>
        <w:tc>
          <w:tcPr>
            <w:tcW w:w="1296" w:type="dxa"/>
            <w:tcBorders>
              <w:top w:val="nil"/>
              <w:left w:val="nil"/>
              <w:bottom w:val="nil"/>
              <w:right w:val="nil"/>
            </w:tcBorders>
            <w:shd w:val="clear" w:color="auto" w:fill="auto"/>
            <w:noWrap/>
            <w:vAlign w:val="center"/>
          </w:tcPr>
          <w:p w14:paraId="2146A473" w14:textId="1FE5D37D"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22.2</w:t>
            </w:r>
          </w:p>
        </w:tc>
        <w:tc>
          <w:tcPr>
            <w:tcW w:w="1296" w:type="dxa"/>
            <w:tcBorders>
              <w:top w:val="nil"/>
              <w:left w:val="nil"/>
              <w:bottom w:val="nil"/>
              <w:right w:val="nil"/>
            </w:tcBorders>
            <w:shd w:val="clear" w:color="auto" w:fill="auto"/>
            <w:noWrap/>
            <w:vAlign w:val="center"/>
          </w:tcPr>
          <w:p w14:paraId="2E1F9696" w14:textId="4EEF28EB"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9</w:t>
            </w:r>
          </w:p>
        </w:tc>
        <w:tc>
          <w:tcPr>
            <w:tcW w:w="1296" w:type="dxa"/>
            <w:tcBorders>
              <w:top w:val="nil"/>
              <w:left w:val="nil"/>
              <w:bottom w:val="nil"/>
              <w:right w:val="nil"/>
            </w:tcBorders>
            <w:shd w:val="clear" w:color="auto" w:fill="auto"/>
            <w:noWrap/>
            <w:vAlign w:val="center"/>
          </w:tcPr>
          <w:p w14:paraId="0CE0C4EC" w14:textId="4801964A"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32.1</w:t>
            </w:r>
          </w:p>
        </w:tc>
        <w:tc>
          <w:tcPr>
            <w:tcW w:w="1296" w:type="dxa"/>
            <w:tcBorders>
              <w:top w:val="nil"/>
              <w:left w:val="nil"/>
              <w:bottom w:val="nil"/>
              <w:right w:val="nil"/>
            </w:tcBorders>
            <w:shd w:val="clear" w:color="auto" w:fill="auto"/>
            <w:noWrap/>
            <w:vAlign w:val="center"/>
          </w:tcPr>
          <w:p w14:paraId="25EF4FB4" w14:textId="7FEF6354"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71.0</w:t>
            </w:r>
          </w:p>
        </w:tc>
      </w:tr>
      <w:tr w:rsidR="00DF11AD" w14:paraId="4911029A" w14:textId="77777777" w:rsidTr="00555879">
        <w:trPr>
          <w:trHeight w:val="227"/>
        </w:trPr>
        <w:tc>
          <w:tcPr>
            <w:tcW w:w="1296" w:type="dxa"/>
            <w:tcBorders>
              <w:top w:val="nil"/>
              <w:left w:val="nil"/>
              <w:bottom w:val="single" w:sz="12" w:space="0" w:color="auto"/>
              <w:right w:val="nil"/>
            </w:tcBorders>
            <w:shd w:val="clear" w:color="auto" w:fill="auto"/>
            <w:noWrap/>
            <w:vAlign w:val="center"/>
            <w:hideMark/>
          </w:tcPr>
          <w:p w14:paraId="4496AAF7"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Five</w:t>
            </w:r>
          </w:p>
        </w:tc>
        <w:tc>
          <w:tcPr>
            <w:tcW w:w="1296" w:type="dxa"/>
            <w:tcBorders>
              <w:top w:val="nil"/>
              <w:left w:val="nil"/>
              <w:bottom w:val="single" w:sz="12" w:space="0" w:color="auto"/>
              <w:right w:val="nil"/>
            </w:tcBorders>
            <w:shd w:val="clear" w:color="auto" w:fill="auto"/>
            <w:noWrap/>
            <w:vAlign w:val="bottom"/>
          </w:tcPr>
          <w:p w14:paraId="6329A20A" w14:textId="1DC2948A"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19</w:t>
            </w:r>
          </w:p>
        </w:tc>
        <w:tc>
          <w:tcPr>
            <w:tcW w:w="1296" w:type="dxa"/>
            <w:tcBorders>
              <w:top w:val="nil"/>
              <w:left w:val="nil"/>
              <w:bottom w:val="single" w:sz="12" w:space="0" w:color="auto"/>
              <w:right w:val="nil"/>
            </w:tcBorders>
            <w:shd w:val="clear" w:color="auto" w:fill="auto"/>
            <w:noWrap/>
            <w:vAlign w:val="bottom"/>
          </w:tcPr>
          <w:p w14:paraId="4F3A5171" w14:textId="4CC931E5"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8</w:t>
            </w:r>
          </w:p>
        </w:tc>
        <w:tc>
          <w:tcPr>
            <w:tcW w:w="1296" w:type="dxa"/>
            <w:tcBorders>
              <w:top w:val="nil"/>
              <w:left w:val="nil"/>
              <w:bottom w:val="single" w:sz="12" w:space="0" w:color="auto"/>
              <w:right w:val="nil"/>
            </w:tcBorders>
            <w:shd w:val="clear" w:color="auto" w:fill="auto"/>
            <w:noWrap/>
            <w:vAlign w:val="center"/>
          </w:tcPr>
          <w:p w14:paraId="0B5346E7" w14:textId="5D8C0E22"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42.1</w:t>
            </w:r>
          </w:p>
        </w:tc>
        <w:tc>
          <w:tcPr>
            <w:tcW w:w="1296" w:type="dxa"/>
            <w:tcBorders>
              <w:top w:val="nil"/>
              <w:left w:val="nil"/>
              <w:bottom w:val="single" w:sz="12" w:space="0" w:color="auto"/>
              <w:right w:val="nil"/>
            </w:tcBorders>
            <w:shd w:val="clear" w:color="auto" w:fill="auto"/>
            <w:noWrap/>
            <w:vAlign w:val="center"/>
          </w:tcPr>
          <w:p w14:paraId="14D3C025" w14:textId="6107166D"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4</w:t>
            </w:r>
          </w:p>
        </w:tc>
        <w:tc>
          <w:tcPr>
            <w:tcW w:w="1296" w:type="dxa"/>
            <w:tcBorders>
              <w:top w:val="nil"/>
              <w:left w:val="nil"/>
              <w:bottom w:val="single" w:sz="12" w:space="0" w:color="auto"/>
              <w:right w:val="nil"/>
            </w:tcBorders>
            <w:shd w:val="clear" w:color="auto" w:fill="auto"/>
            <w:noWrap/>
            <w:vAlign w:val="center"/>
          </w:tcPr>
          <w:p w14:paraId="1A7F1613" w14:textId="67F438E6"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36.4</w:t>
            </w:r>
          </w:p>
        </w:tc>
        <w:tc>
          <w:tcPr>
            <w:tcW w:w="1296" w:type="dxa"/>
            <w:tcBorders>
              <w:top w:val="nil"/>
              <w:left w:val="nil"/>
              <w:bottom w:val="single" w:sz="12" w:space="0" w:color="auto"/>
              <w:right w:val="nil"/>
            </w:tcBorders>
            <w:shd w:val="clear" w:color="auto" w:fill="auto"/>
            <w:noWrap/>
            <w:vAlign w:val="center"/>
          </w:tcPr>
          <w:p w14:paraId="187E8715" w14:textId="1F37BF93"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74.2</w:t>
            </w:r>
          </w:p>
        </w:tc>
      </w:tr>
    </w:tbl>
    <w:p w14:paraId="557F7363" w14:textId="29CAAA89" w:rsidR="00CD4FE5" w:rsidRDefault="00CD4FE5" w:rsidP="00814AD1">
      <w:pPr>
        <w:pStyle w:val="TableSourcefootnotes"/>
        <w:numPr>
          <w:ilvl w:val="0"/>
          <w:numId w:val="23"/>
        </w:numPr>
        <w:tabs>
          <w:tab w:val="clear" w:pos="397"/>
          <w:tab w:val="left" w:pos="284"/>
        </w:tabs>
        <w:spacing w:after="0" w:line="240" w:lineRule="auto"/>
        <w:ind w:left="284" w:hanging="284"/>
      </w:pPr>
      <w:r>
        <w:rPr>
          <w:iCs/>
        </w:rPr>
        <w:t>F</w:t>
      </w:r>
      <w:r w:rsidRPr="00E217FF">
        <w:rPr>
          <w:iCs/>
        </w:rPr>
        <w:t>reeze-all</w:t>
      </w:r>
      <w:r w:rsidRPr="0027719A">
        <w:rPr>
          <w:iCs/>
        </w:rPr>
        <w:t xml:space="preserve"> c</w:t>
      </w:r>
      <w:r>
        <w:t>ycles are fresh ART treatment cycles where all oocytes or embryos are cryopreserved, and an embryo transfer does not take place.</w:t>
      </w:r>
    </w:p>
    <w:p w14:paraId="2B0CD498" w14:textId="03064262" w:rsidR="00FA33C7" w:rsidRPr="00A379EC" w:rsidRDefault="00FA33C7" w:rsidP="00814AD1">
      <w:pPr>
        <w:pStyle w:val="TableSourcefootnotes"/>
        <w:numPr>
          <w:ilvl w:val="0"/>
          <w:numId w:val="23"/>
        </w:numPr>
        <w:tabs>
          <w:tab w:val="clear" w:pos="397"/>
          <w:tab w:val="left" w:pos="284"/>
        </w:tabs>
        <w:spacing w:after="0" w:line="240" w:lineRule="auto"/>
        <w:ind w:left="284" w:hanging="284"/>
      </w:pPr>
      <w:r>
        <w:t>Cycle one represents a woman’s first autologous (</w:t>
      </w:r>
      <w:r w:rsidR="00971360">
        <w:t>excluding</w:t>
      </w:r>
      <w:r>
        <w:t xml:space="preserve"> </w:t>
      </w:r>
      <w:r w:rsidRPr="00E217FF">
        <w:rPr>
          <w:iCs/>
        </w:rPr>
        <w:t>freeze-all</w:t>
      </w:r>
      <w:r>
        <w:t>)</w:t>
      </w:r>
      <w:r w:rsidRPr="00A379EC">
        <w:t xml:space="preserve"> fresh ART treatment cycle between 1</w:t>
      </w:r>
      <w:r w:rsidRPr="00E217FF">
        <w:rPr>
          <w:vertAlign w:val="superscript"/>
        </w:rPr>
        <w:t>st</w:t>
      </w:r>
      <w:r w:rsidRPr="00A379EC">
        <w:t xml:space="preserve"> January </w:t>
      </w:r>
      <w:r w:rsidR="00881FD0">
        <w:t>201</w:t>
      </w:r>
      <w:r w:rsidR="0077387F">
        <w:t>9</w:t>
      </w:r>
      <w:r w:rsidR="00881FD0">
        <w:t xml:space="preserve"> </w:t>
      </w:r>
      <w:r w:rsidRPr="00A379EC">
        <w:t>and 31</w:t>
      </w:r>
      <w:r w:rsidRPr="00E217FF">
        <w:rPr>
          <w:vertAlign w:val="superscript"/>
        </w:rPr>
        <w:t>st</w:t>
      </w:r>
      <w:r w:rsidRPr="00A379EC">
        <w:t xml:space="preserve"> December </w:t>
      </w:r>
      <w:r w:rsidR="00881FD0">
        <w:t>201</w:t>
      </w:r>
      <w:r w:rsidR="0077387F">
        <w:t>9</w:t>
      </w:r>
      <w:r>
        <w:t>. Cycles two to five could be either a fresh or thaw cycle (</w:t>
      </w:r>
      <w:r w:rsidRPr="00737CD0">
        <w:t xml:space="preserve">excluding </w:t>
      </w:r>
      <w:r w:rsidRPr="00E217FF">
        <w:t>freeze-all</w:t>
      </w:r>
      <w:r w:rsidRPr="00737CD0">
        <w:t xml:space="preserve"> cycles</w:t>
      </w:r>
      <w:r>
        <w:t>)</w:t>
      </w:r>
      <w:r w:rsidRPr="00A379EC">
        <w:t xml:space="preserve"> </w:t>
      </w:r>
      <w:r>
        <w:t>undertaken by a woman</w:t>
      </w:r>
      <w:r w:rsidRPr="00A379EC">
        <w:t xml:space="preserve"> until 31</w:t>
      </w:r>
      <w:r w:rsidRPr="00E217FF">
        <w:rPr>
          <w:vertAlign w:val="superscript"/>
        </w:rPr>
        <w:t>st</w:t>
      </w:r>
      <w:r w:rsidRPr="00A379EC">
        <w:t xml:space="preserve"> December </w:t>
      </w:r>
      <w:r w:rsidR="00881FD0">
        <w:t>202</w:t>
      </w:r>
      <w:r w:rsidR="0077387F">
        <w:t>1</w:t>
      </w:r>
      <w:r w:rsidR="00881FD0" w:rsidRPr="00A379EC">
        <w:t xml:space="preserve"> </w:t>
      </w:r>
      <w:r w:rsidRPr="00A379EC">
        <w:t xml:space="preserve">or </w:t>
      </w:r>
      <w:r w:rsidR="00EC42AE">
        <w:t>birth</w:t>
      </w:r>
      <w:r w:rsidRPr="00A379EC">
        <w:t xml:space="preserve"> of a liveborn baby up to </w:t>
      </w:r>
      <w:r>
        <w:t xml:space="preserve">and including </w:t>
      </w:r>
      <w:r w:rsidR="00783BBD">
        <w:t>31</w:t>
      </w:r>
      <w:r w:rsidR="00783BBD" w:rsidRPr="00E217FF">
        <w:rPr>
          <w:vertAlign w:val="superscript"/>
        </w:rPr>
        <w:t>st</w:t>
      </w:r>
      <w:r w:rsidR="00783BBD">
        <w:t xml:space="preserve"> October </w:t>
      </w:r>
      <w:r w:rsidR="00881FD0">
        <w:t>202</w:t>
      </w:r>
      <w:r w:rsidR="0077387F">
        <w:t>2</w:t>
      </w:r>
      <w:r w:rsidRPr="00A379EC">
        <w:t xml:space="preserve">. </w:t>
      </w:r>
    </w:p>
    <w:p w14:paraId="2644A18A" w14:textId="5D1B662E" w:rsidR="00FA33C7" w:rsidRPr="00A379EC" w:rsidRDefault="00FA33C7" w:rsidP="00814AD1">
      <w:pPr>
        <w:pStyle w:val="TableSourcefootnotes"/>
        <w:numPr>
          <w:ilvl w:val="0"/>
          <w:numId w:val="23"/>
        </w:numPr>
        <w:tabs>
          <w:tab w:val="clear" w:pos="397"/>
          <w:tab w:val="left" w:pos="284"/>
        </w:tabs>
        <w:spacing w:before="0" w:after="0" w:line="240" w:lineRule="auto"/>
        <w:ind w:left="284" w:hanging="284"/>
      </w:pPr>
      <w:r w:rsidRPr="00A379EC">
        <w:t xml:space="preserve">A live </w:t>
      </w:r>
      <w:r w:rsidR="00EC42AE">
        <w:t>birth</w:t>
      </w:r>
      <w:r w:rsidRPr="00A379EC">
        <w:t xml:space="preserve"> is the </w:t>
      </w:r>
      <w:r w:rsidR="00EC42AE">
        <w:t>birth</w:t>
      </w:r>
      <w:r w:rsidRPr="00A379EC">
        <w:t xml:space="preserve"> of one or more liveborn infants, with the birth of twins or higher order multiple</w:t>
      </w:r>
      <w:r>
        <w:t xml:space="preserve">s counted as one live </w:t>
      </w:r>
      <w:r w:rsidR="00EC42AE">
        <w:t>birth</w:t>
      </w:r>
      <w:r>
        <w:t>.</w:t>
      </w:r>
    </w:p>
    <w:p w14:paraId="31F5E833" w14:textId="0131A9BB" w:rsidR="00FA33C7" w:rsidRPr="00A379EC" w:rsidRDefault="00FA33C7" w:rsidP="00814AD1">
      <w:pPr>
        <w:pStyle w:val="TableSourcefootnotes"/>
        <w:numPr>
          <w:ilvl w:val="0"/>
          <w:numId w:val="23"/>
        </w:numPr>
        <w:tabs>
          <w:tab w:val="clear" w:pos="397"/>
          <w:tab w:val="left" w:pos="284"/>
        </w:tabs>
        <w:spacing w:before="0" w:after="0" w:line="240" w:lineRule="auto"/>
        <w:ind w:left="284" w:hanging="284"/>
      </w:pPr>
      <w:r w:rsidRPr="00A379EC">
        <w:t xml:space="preserve">The cycle-specific live </w:t>
      </w:r>
      <w:r w:rsidR="00EC42AE">
        <w:t>birth</w:t>
      </w:r>
      <w:r w:rsidRPr="00A379EC">
        <w:t xml:space="preserve"> rate is calculated as the number of live </w:t>
      </w:r>
      <w:r w:rsidR="00C736CE">
        <w:t>births</w:t>
      </w:r>
      <w:r w:rsidRPr="00A379EC">
        <w:t xml:space="preserve"> resulting from a specific ‘cycle number’ divided by the number of women who undertook that same ‘cycle number’. </w:t>
      </w:r>
    </w:p>
    <w:p w14:paraId="41D9C7CA" w14:textId="222D4FD1" w:rsidR="00FA33C7" w:rsidRPr="00A379EC" w:rsidRDefault="00FA33C7" w:rsidP="00814AD1">
      <w:pPr>
        <w:pStyle w:val="TableSourcefootnotes"/>
        <w:numPr>
          <w:ilvl w:val="0"/>
          <w:numId w:val="23"/>
        </w:numPr>
        <w:tabs>
          <w:tab w:val="clear" w:pos="397"/>
          <w:tab w:val="left" w:pos="284"/>
        </w:tabs>
        <w:spacing w:before="0" w:after="0" w:line="240" w:lineRule="auto"/>
        <w:ind w:left="284" w:hanging="284"/>
      </w:pPr>
      <w:r w:rsidRPr="00A379EC">
        <w:t>The non-progression rate for a specific ‘cycle number’ is calculated as the number of women who did not return for further ART treatment cycles before 31</w:t>
      </w:r>
      <w:r w:rsidRPr="00E217FF">
        <w:rPr>
          <w:vertAlign w:val="superscript"/>
        </w:rPr>
        <w:t>st</w:t>
      </w:r>
      <w:r w:rsidRPr="00A379EC">
        <w:t xml:space="preserve"> December </w:t>
      </w:r>
      <w:r w:rsidR="00881FD0">
        <w:t>202</w:t>
      </w:r>
      <w:r w:rsidR="0077387F">
        <w:t>1</w:t>
      </w:r>
      <w:r w:rsidR="00881FD0" w:rsidRPr="00A379EC">
        <w:t xml:space="preserve"> </w:t>
      </w:r>
      <w:r w:rsidRPr="00A379EC">
        <w:t xml:space="preserve">divided by the number of women who did not have a live </w:t>
      </w:r>
      <w:r w:rsidR="00EC42AE">
        <w:t>birth</w:t>
      </w:r>
      <w:r w:rsidRPr="00A379EC">
        <w:t xml:space="preserve"> in that ‘cycle number’. </w:t>
      </w:r>
    </w:p>
    <w:p w14:paraId="6BB7132D" w14:textId="406745EF" w:rsidR="00C16CAB" w:rsidRDefault="00FA33C7" w:rsidP="00814AD1">
      <w:pPr>
        <w:pStyle w:val="TableSourcefootnotes"/>
        <w:numPr>
          <w:ilvl w:val="0"/>
          <w:numId w:val="23"/>
        </w:numPr>
        <w:tabs>
          <w:tab w:val="clear" w:pos="397"/>
          <w:tab w:val="left" w:pos="284"/>
        </w:tabs>
        <w:spacing w:before="0" w:after="0" w:line="240" w:lineRule="auto"/>
        <w:ind w:left="284" w:hanging="284"/>
      </w:pPr>
      <w:r w:rsidRPr="00A379EC">
        <w:t xml:space="preserve">The cumulative live </w:t>
      </w:r>
      <w:r w:rsidR="00EC42AE">
        <w:t>birth</w:t>
      </w:r>
      <w:r w:rsidRPr="00A379EC">
        <w:t xml:space="preserve"> rate for a specific ‘cycle number’ is calculated as the total number of live </w:t>
      </w:r>
      <w:r w:rsidR="00C736CE">
        <w:t>births</w:t>
      </w:r>
      <w:r w:rsidRPr="00A379EC">
        <w:t xml:space="preserve"> following this ‘cycle number’ and all previous cycles divided by the total number of women who started their first autologous fresh ART treatme</w:t>
      </w:r>
      <w:r>
        <w:t>nt cycle between 1</w:t>
      </w:r>
      <w:r w:rsidRPr="00E217FF">
        <w:rPr>
          <w:vertAlign w:val="superscript"/>
        </w:rPr>
        <w:t>st</w:t>
      </w:r>
      <w:r>
        <w:t xml:space="preserve"> January </w:t>
      </w:r>
      <w:r w:rsidR="00881FD0">
        <w:t>201</w:t>
      </w:r>
      <w:r w:rsidR="0077387F">
        <w:t>9</w:t>
      </w:r>
      <w:r w:rsidR="00881FD0" w:rsidRPr="00A379EC">
        <w:t xml:space="preserve"> </w:t>
      </w:r>
      <w:r w:rsidRPr="00A379EC">
        <w:t>and 31</w:t>
      </w:r>
      <w:r w:rsidRPr="00E217FF">
        <w:rPr>
          <w:vertAlign w:val="superscript"/>
        </w:rPr>
        <w:t>st</w:t>
      </w:r>
      <w:r w:rsidRPr="00A379EC">
        <w:t xml:space="preserve"> December </w:t>
      </w:r>
      <w:r w:rsidR="00881FD0">
        <w:t>201</w:t>
      </w:r>
      <w:r w:rsidR="0077387F">
        <w:t>9</w:t>
      </w:r>
      <w:r w:rsidRPr="00A379EC">
        <w:t xml:space="preserve">. </w:t>
      </w:r>
    </w:p>
    <w:p w14:paraId="48515B8D" w14:textId="77777777" w:rsidR="005E3A7E" w:rsidRDefault="005E3A7E" w:rsidP="005E3A7E">
      <w:pPr>
        <w:pStyle w:val="TableSourcefootnotes"/>
        <w:tabs>
          <w:tab w:val="clear" w:pos="397"/>
          <w:tab w:val="left" w:pos="284"/>
        </w:tabs>
        <w:spacing w:before="0" w:after="0" w:line="240" w:lineRule="auto"/>
        <w:rPr>
          <w:i/>
        </w:rPr>
      </w:pPr>
    </w:p>
    <w:p w14:paraId="56A08E9A" w14:textId="036B1870" w:rsidR="00FA33C7" w:rsidRPr="005E3A7E" w:rsidRDefault="00FA33C7" w:rsidP="005E3A7E">
      <w:pPr>
        <w:pStyle w:val="TableSourcefootnotes"/>
        <w:tabs>
          <w:tab w:val="clear" w:pos="397"/>
          <w:tab w:val="left" w:pos="284"/>
        </w:tabs>
        <w:spacing w:before="0" w:after="0" w:line="240" w:lineRule="auto"/>
        <w:rPr>
          <w:i/>
        </w:rPr>
      </w:pPr>
      <w:r w:rsidRPr="005E3A7E">
        <w:rPr>
          <w:i/>
        </w:rPr>
        <w:t xml:space="preserve">Note: </w:t>
      </w:r>
      <w:r w:rsidRPr="00E217FF">
        <w:rPr>
          <w:iCs/>
        </w:rPr>
        <w:t xml:space="preserve">Further treatment cycles after the </w:t>
      </w:r>
      <w:r w:rsidR="009F7EEC" w:rsidRPr="00E217FF">
        <w:rPr>
          <w:iCs/>
        </w:rPr>
        <w:t xml:space="preserve">fifth </w:t>
      </w:r>
      <w:r w:rsidRPr="00E217FF">
        <w:rPr>
          <w:iCs/>
        </w:rPr>
        <w:t xml:space="preserve">cycle and resulting live </w:t>
      </w:r>
      <w:r w:rsidR="00C736CE" w:rsidRPr="00E217FF">
        <w:rPr>
          <w:iCs/>
        </w:rPr>
        <w:t>births</w:t>
      </w:r>
      <w:r w:rsidRPr="00E217FF">
        <w:rPr>
          <w:iCs/>
        </w:rPr>
        <w:t xml:space="preserve"> are not presented in this table due to small numbers. Data should be interpreted with caution due to small numbers in certain cells and measures of statistical variance are not supplied.</w:t>
      </w:r>
    </w:p>
    <w:p w14:paraId="50D0F83B" w14:textId="6FB3075F" w:rsidR="002F0B22" w:rsidRDefault="002F0B22" w:rsidP="005E3A7E">
      <w:pPr>
        <w:spacing w:after="0" w:line="240" w:lineRule="auto"/>
        <w:rPr>
          <w:b/>
          <w:bCs/>
        </w:rPr>
      </w:pPr>
    </w:p>
    <w:p w14:paraId="688B7F49" w14:textId="56CEA65C" w:rsidR="00FA33C7" w:rsidRDefault="00FA33C7" w:rsidP="005E3A7E">
      <w:pPr>
        <w:spacing w:after="0" w:line="240" w:lineRule="auto"/>
      </w:pPr>
      <w:r>
        <w:rPr>
          <w:b/>
          <w:bCs/>
        </w:rPr>
        <w:br w:type="page"/>
      </w:r>
    </w:p>
    <w:p w14:paraId="7B02622E" w14:textId="02CECA25" w:rsidR="00EC6EB4" w:rsidRPr="00EC6EB4" w:rsidRDefault="00EC6EB4" w:rsidP="00B54834">
      <w:pPr>
        <w:pStyle w:val="Caption"/>
        <w:rPr>
          <w:rFonts w:eastAsia="Times New Roman"/>
          <w:lang w:eastAsia="en-AU"/>
        </w:rPr>
      </w:pPr>
      <w:bookmarkStart w:id="406" w:name="_Toc158026581"/>
      <w:r w:rsidRPr="00EC6EB4">
        <w:rPr>
          <w:rFonts w:eastAsia="Times New Roman"/>
          <w:lang w:eastAsia="en-AU"/>
        </w:rPr>
        <w:lastRenderedPageBreak/>
        <w:t>Table 32: Cycle-specific and cumulative live birth rates for women aged 30-34 years who started their first autologous fresh cycle (excluding freeze-all cycles</w:t>
      </w:r>
      <w:r w:rsidRPr="002576D9">
        <w:rPr>
          <w:rFonts w:eastAsia="Times New Roman"/>
          <w:vertAlign w:val="superscript"/>
          <w:lang w:eastAsia="en-AU"/>
        </w:rPr>
        <w:t>(</w:t>
      </w:r>
      <w:r w:rsidR="002B68A7">
        <w:rPr>
          <w:rFonts w:eastAsia="Times New Roman"/>
          <w:vertAlign w:val="superscript"/>
          <w:lang w:eastAsia="en-AU"/>
        </w:rPr>
        <w:t>a</w:t>
      </w:r>
      <w:r w:rsidRPr="002576D9">
        <w:rPr>
          <w:rFonts w:eastAsia="Times New Roman"/>
          <w:vertAlign w:val="superscript"/>
          <w:lang w:eastAsia="en-AU"/>
        </w:rPr>
        <w:t>)</w:t>
      </w:r>
      <w:r w:rsidRPr="00EC6EB4">
        <w:rPr>
          <w:rFonts w:eastAsia="Times New Roman"/>
          <w:lang w:eastAsia="en-AU"/>
        </w:rPr>
        <w:t>) between 1st January 201</w:t>
      </w:r>
      <w:r w:rsidR="00BC587C">
        <w:rPr>
          <w:rFonts w:eastAsia="Times New Roman"/>
          <w:lang w:eastAsia="en-AU"/>
        </w:rPr>
        <w:t>9</w:t>
      </w:r>
      <w:r w:rsidRPr="00EC6EB4">
        <w:rPr>
          <w:rFonts w:eastAsia="Times New Roman"/>
          <w:lang w:eastAsia="en-AU"/>
        </w:rPr>
        <w:t xml:space="preserve"> and 31st December 201</w:t>
      </w:r>
      <w:r w:rsidR="00614E18">
        <w:rPr>
          <w:rFonts w:eastAsia="Times New Roman"/>
          <w:lang w:eastAsia="en-AU"/>
        </w:rPr>
        <w:t>9</w:t>
      </w:r>
      <w:r w:rsidRPr="00EC6EB4">
        <w:rPr>
          <w:rFonts w:eastAsia="Times New Roman"/>
          <w:lang w:eastAsia="en-AU"/>
        </w:rPr>
        <w:t>, New Zealand, 201</w:t>
      </w:r>
      <w:r w:rsidR="00614E18">
        <w:rPr>
          <w:rFonts w:eastAsia="Times New Roman"/>
          <w:lang w:eastAsia="en-AU"/>
        </w:rPr>
        <w:t>9</w:t>
      </w:r>
      <w:r w:rsidRPr="00EC6EB4">
        <w:rPr>
          <w:rFonts w:eastAsia="Times New Roman"/>
          <w:lang w:eastAsia="en-AU"/>
        </w:rPr>
        <w:t>-202</w:t>
      </w:r>
      <w:r w:rsidR="00614E18">
        <w:rPr>
          <w:rFonts w:eastAsia="Times New Roman"/>
          <w:lang w:eastAsia="en-AU"/>
        </w:rPr>
        <w:t>1</w:t>
      </w:r>
      <w:bookmarkEnd w:id="406"/>
    </w:p>
    <w:tbl>
      <w:tblPr>
        <w:tblW w:w="9072" w:type="dxa"/>
        <w:tblLayout w:type="fixed"/>
        <w:tblCellMar>
          <w:top w:w="17" w:type="dxa"/>
          <w:left w:w="17" w:type="dxa"/>
          <w:bottom w:w="17" w:type="dxa"/>
          <w:right w:w="17" w:type="dxa"/>
        </w:tblCellMar>
        <w:tblLook w:val="04A0" w:firstRow="1" w:lastRow="0" w:firstColumn="1" w:lastColumn="0" w:noHBand="0" w:noVBand="1"/>
      </w:tblPr>
      <w:tblGrid>
        <w:gridCol w:w="1296"/>
        <w:gridCol w:w="1296"/>
        <w:gridCol w:w="1296"/>
        <w:gridCol w:w="1296"/>
        <w:gridCol w:w="1296"/>
        <w:gridCol w:w="1296"/>
        <w:gridCol w:w="1296"/>
      </w:tblGrid>
      <w:tr w:rsidR="00EC6EB4" w:rsidRPr="00B55251" w14:paraId="5026CD36" w14:textId="77777777" w:rsidTr="001F6C35">
        <w:trPr>
          <w:trHeight w:val="227"/>
        </w:trPr>
        <w:tc>
          <w:tcPr>
            <w:tcW w:w="1296" w:type="dxa"/>
            <w:tcBorders>
              <w:top w:val="single" w:sz="12" w:space="0" w:color="auto"/>
              <w:left w:val="nil"/>
              <w:bottom w:val="single" w:sz="4" w:space="0" w:color="auto"/>
              <w:right w:val="nil"/>
            </w:tcBorders>
            <w:shd w:val="clear" w:color="auto" w:fill="auto"/>
            <w:vAlign w:val="bottom"/>
            <w:hideMark/>
          </w:tcPr>
          <w:p w14:paraId="257D739A" w14:textId="56DD57B9" w:rsidR="00EC6EB4" w:rsidRPr="00B55251" w:rsidRDefault="00EC6EB4" w:rsidP="001F6C35">
            <w:pPr>
              <w:spacing w:after="0" w:line="276" w:lineRule="auto"/>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Cycle number</w:t>
            </w:r>
            <w:r w:rsidRPr="00B55251">
              <w:rPr>
                <w:rFonts w:ascii="Arial" w:eastAsia="Times New Roman" w:hAnsi="Arial" w:cs="Arial"/>
                <w:b/>
                <w:bCs/>
                <w:color w:val="000000"/>
                <w:sz w:val="16"/>
                <w:szCs w:val="16"/>
                <w:vertAlign w:val="superscript"/>
                <w:lang w:eastAsia="en-AU"/>
              </w:rPr>
              <w:t>(</w:t>
            </w:r>
            <w:r w:rsidR="00EC3BB1">
              <w:rPr>
                <w:rFonts w:ascii="Arial" w:eastAsia="Times New Roman" w:hAnsi="Arial" w:cs="Arial"/>
                <w:b/>
                <w:bCs/>
                <w:color w:val="000000"/>
                <w:sz w:val="16"/>
                <w:szCs w:val="16"/>
                <w:vertAlign w:val="superscript"/>
                <w:lang w:eastAsia="en-AU"/>
              </w:rPr>
              <w:t>b</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58C89C35" w14:textId="77777777" w:rsidR="00EC6EB4" w:rsidRPr="00B55251" w:rsidRDefault="00EC6EB4"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starting cycle</w:t>
            </w:r>
          </w:p>
        </w:tc>
        <w:tc>
          <w:tcPr>
            <w:tcW w:w="1296" w:type="dxa"/>
            <w:tcBorders>
              <w:top w:val="single" w:sz="12" w:space="0" w:color="auto"/>
              <w:left w:val="nil"/>
              <w:bottom w:val="single" w:sz="4" w:space="0" w:color="auto"/>
              <w:right w:val="nil"/>
            </w:tcBorders>
            <w:shd w:val="clear" w:color="auto" w:fill="auto"/>
            <w:vAlign w:val="bottom"/>
            <w:hideMark/>
          </w:tcPr>
          <w:p w14:paraId="231D7F1D" w14:textId="07C72FD3" w:rsidR="00EC6EB4" w:rsidRPr="00B55251" w:rsidRDefault="00EC6EB4"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Number of women who had a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vertAlign w:val="superscript"/>
                <w:lang w:eastAsia="en-AU"/>
              </w:rPr>
              <w:t>(</w:t>
            </w:r>
            <w:r w:rsidR="00EC3BB1">
              <w:rPr>
                <w:rFonts w:ascii="Arial" w:eastAsia="Times New Roman" w:hAnsi="Arial" w:cs="Arial"/>
                <w:b/>
                <w:bCs/>
                <w:color w:val="000000"/>
                <w:sz w:val="16"/>
                <w:szCs w:val="16"/>
                <w:vertAlign w:val="superscript"/>
                <w:lang w:eastAsia="en-AU"/>
              </w:rPr>
              <w:t>c</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3DA2378E" w14:textId="47EA3A9C" w:rsidR="00EC6EB4" w:rsidRPr="00B55251" w:rsidRDefault="00EC6EB4"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Cycle-specific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EC3BB1">
              <w:rPr>
                <w:rFonts w:ascii="Arial" w:eastAsia="Times New Roman" w:hAnsi="Arial" w:cs="Arial"/>
                <w:b/>
                <w:bCs/>
                <w:color w:val="000000"/>
                <w:sz w:val="16"/>
                <w:szCs w:val="16"/>
                <w:vertAlign w:val="superscript"/>
                <w:lang w:eastAsia="en-AU"/>
              </w:rPr>
              <w:t>d</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133A0906" w14:textId="77777777" w:rsidR="00EC6EB4" w:rsidRPr="00B55251" w:rsidRDefault="00EC6EB4"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who did not progress to next treatment</w:t>
            </w:r>
          </w:p>
        </w:tc>
        <w:tc>
          <w:tcPr>
            <w:tcW w:w="1296" w:type="dxa"/>
            <w:tcBorders>
              <w:top w:val="single" w:sz="12" w:space="0" w:color="auto"/>
              <w:left w:val="nil"/>
              <w:bottom w:val="single" w:sz="4" w:space="0" w:color="auto"/>
              <w:right w:val="nil"/>
            </w:tcBorders>
            <w:shd w:val="clear" w:color="auto" w:fill="auto"/>
            <w:vAlign w:val="bottom"/>
            <w:hideMark/>
          </w:tcPr>
          <w:p w14:paraId="3478D4C4" w14:textId="013793EC" w:rsidR="00EC6EB4" w:rsidRPr="00B55251" w:rsidRDefault="00EC6EB4"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Non-progression rate (%)</w:t>
            </w:r>
            <w:r w:rsidRPr="00B55251">
              <w:rPr>
                <w:rFonts w:ascii="Arial" w:eastAsia="Times New Roman" w:hAnsi="Arial" w:cs="Arial"/>
                <w:b/>
                <w:bCs/>
                <w:color w:val="000000"/>
                <w:sz w:val="16"/>
                <w:szCs w:val="16"/>
                <w:vertAlign w:val="superscript"/>
                <w:lang w:eastAsia="en-AU"/>
              </w:rPr>
              <w:t>(</w:t>
            </w:r>
            <w:r w:rsidR="00EC3BB1">
              <w:rPr>
                <w:rFonts w:ascii="Arial" w:eastAsia="Times New Roman" w:hAnsi="Arial" w:cs="Arial"/>
                <w:b/>
                <w:bCs/>
                <w:color w:val="000000"/>
                <w:sz w:val="16"/>
                <w:szCs w:val="16"/>
                <w:vertAlign w:val="superscript"/>
                <w:lang w:eastAsia="en-AU"/>
              </w:rPr>
              <w:t>e</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1A8735C7" w14:textId="466B8A9A" w:rsidR="00EC6EB4" w:rsidRPr="00B55251" w:rsidRDefault="00EC6EB4"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Cumulative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EC3BB1">
              <w:rPr>
                <w:rFonts w:ascii="Arial" w:eastAsia="Times New Roman" w:hAnsi="Arial" w:cs="Arial"/>
                <w:b/>
                <w:bCs/>
                <w:color w:val="000000"/>
                <w:sz w:val="16"/>
                <w:szCs w:val="16"/>
                <w:vertAlign w:val="superscript"/>
                <w:lang w:eastAsia="en-AU"/>
              </w:rPr>
              <w:t>f</w:t>
            </w:r>
            <w:r w:rsidRPr="00B55251">
              <w:rPr>
                <w:rFonts w:ascii="Arial" w:eastAsia="Times New Roman" w:hAnsi="Arial" w:cs="Arial"/>
                <w:b/>
                <w:bCs/>
                <w:color w:val="000000"/>
                <w:sz w:val="16"/>
                <w:szCs w:val="16"/>
                <w:vertAlign w:val="superscript"/>
                <w:lang w:eastAsia="en-AU"/>
              </w:rPr>
              <w:t>)</w:t>
            </w:r>
          </w:p>
        </w:tc>
      </w:tr>
      <w:tr w:rsidR="00DF11AD" w14:paraId="7B3C73D6" w14:textId="77777777" w:rsidTr="00555879">
        <w:trPr>
          <w:trHeight w:val="227"/>
        </w:trPr>
        <w:tc>
          <w:tcPr>
            <w:tcW w:w="1296" w:type="dxa"/>
            <w:tcBorders>
              <w:top w:val="single" w:sz="4" w:space="0" w:color="auto"/>
              <w:left w:val="nil"/>
              <w:bottom w:val="nil"/>
              <w:right w:val="nil"/>
            </w:tcBorders>
            <w:shd w:val="clear" w:color="auto" w:fill="auto"/>
            <w:noWrap/>
            <w:vAlign w:val="center"/>
            <w:hideMark/>
          </w:tcPr>
          <w:p w14:paraId="7B9B7A1D"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One</w:t>
            </w:r>
          </w:p>
        </w:tc>
        <w:tc>
          <w:tcPr>
            <w:tcW w:w="1296" w:type="dxa"/>
            <w:tcBorders>
              <w:top w:val="single" w:sz="4" w:space="0" w:color="auto"/>
              <w:left w:val="nil"/>
              <w:bottom w:val="nil"/>
              <w:right w:val="nil"/>
            </w:tcBorders>
            <w:shd w:val="clear" w:color="auto" w:fill="auto"/>
            <w:noWrap/>
            <w:vAlign w:val="bottom"/>
          </w:tcPr>
          <w:p w14:paraId="16A8A126" w14:textId="522DA8EF"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671</w:t>
            </w:r>
          </w:p>
        </w:tc>
        <w:tc>
          <w:tcPr>
            <w:tcW w:w="1296" w:type="dxa"/>
            <w:tcBorders>
              <w:top w:val="single" w:sz="4" w:space="0" w:color="auto"/>
              <w:left w:val="nil"/>
              <w:bottom w:val="nil"/>
              <w:right w:val="nil"/>
            </w:tcBorders>
            <w:shd w:val="clear" w:color="auto" w:fill="auto"/>
            <w:noWrap/>
            <w:vAlign w:val="bottom"/>
          </w:tcPr>
          <w:p w14:paraId="5E3AF6F6" w14:textId="3CB6BB35"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267</w:t>
            </w:r>
          </w:p>
        </w:tc>
        <w:tc>
          <w:tcPr>
            <w:tcW w:w="1296" w:type="dxa"/>
            <w:tcBorders>
              <w:top w:val="single" w:sz="4" w:space="0" w:color="auto"/>
              <w:left w:val="nil"/>
              <w:bottom w:val="nil"/>
              <w:right w:val="nil"/>
            </w:tcBorders>
            <w:shd w:val="clear" w:color="auto" w:fill="auto"/>
            <w:noWrap/>
            <w:vAlign w:val="bottom"/>
          </w:tcPr>
          <w:p w14:paraId="17211223" w14:textId="4938BDB0"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39.8</w:t>
            </w:r>
          </w:p>
        </w:tc>
        <w:tc>
          <w:tcPr>
            <w:tcW w:w="1296" w:type="dxa"/>
            <w:tcBorders>
              <w:top w:val="single" w:sz="4" w:space="0" w:color="auto"/>
              <w:left w:val="nil"/>
              <w:bottom w:val="nil"/>
              <w:right w:val="nil"/>
            </w:tcBorders>
            <w:shd w:val="clear" w:color="auto" w:fill="auto"/>
            <w:noWrap/>
            <w:vAlign w:val="bottom"/>
          </w:tcPr>
          <w:p w14:paraId="6AC1893A" w14:textId="20D1F62F"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53</w:t>
            </w:r>
          </w:p>
        </w:tc>
        <w:tc>
          <w:tcPr>
            <w:tcW w:w="1296" w:type="dxa"/>
            <w:tcBorders>
              <w:top w:val="single" w:sz="4" w:space="0" w:color="auto"/>
              <w:left w:val="nil"/>
              <w:bottom w:val="nil"/>
              <w:right w:val="nil"/>
            </w:tcBorders>
            <w:shd w:val="clear" w:color="auto" w:fill="auto"/>
            <w:noWrap/>
            <w:vAlign w:val="bottom"/>
          </w:tcPr>
          <w:p w14:paraId="1DBA5EF9" w14:textId="31DE3C78"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13.1</w:t>
            </w:r>
          </w:p>
        </w:tc>
        <w:tc>
          <w:tcPr>
            <w:tcW w:w="1296" w:type="dxa"/>
            <w:tcBorders>
              <w:top w:val="single" w:sz="4" w:space="0" w:color="auto"/>
              <w:left w:val="nil"/>
              <w:bottom w:val="nil"/>
              <w:right w:val="nil"/>
            </w:tcBorders>
            <w:shd w:val="clear" w:color="auto" w:fill="auto"/>
            <w:noWrap/>
            <w:vAlign w:val="bottom"/>
          </w:tcPr>
          <w:p w14:paraId="11DA3553" w14:textId="35C2A7CD"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39.8</w:t>
            </w:r>
          </w:p>
        </w:tc>
      </w:tr>
      <w:tr w:rsidR="00DF11AD" w14:paraId="2BA5EA55" w14:textId="77777777" w:rsidTr="00555879">
        <w:trPr>
          <w:trHeight w:val="227"/>
        </w:trPr>
        <w:tc>
          <w:tcPr>
            <w:tcW w:w="1296" w:type="dxa"/>
            <w:tcBorders>
              <w:top w:val="nil"/>
              <w:left w:val="nil"/>
              <w:bottom w:val="nil"/>
              <w:right w:val="nil"/>
            </w:tcBorders>
            <w:shd w:val="clear" w:color="auto" w:fill="auto"/>
            <w:noWrap/>
            <w:vAlign w:val="center"/>
            <w:hideMark/>
          </w:tcPr>
          <w:p w14:paraId="5934CBE8"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Two</w:t>
            </w:r>
          </w:p>
        </w:tc>
        <w:tc>
          <w:tcPr>
            <w:tcW w:w="1296" w:type="dxa"/>
            <w:tcBorders>
              <w:top w:val="nil"/>
              <w:left w:val="nil"/>
              <w:bottom w:val="nil"/>
              <w:right w:val="nil"/>
            </w:tcBorders>
            <w:shd w:val="clear" w:color="auto" w:fill="auto"/>
            <w:noWrap/>
            <w:vAlign w:val="bottom"/>
          </w:tcPr>
          <w:p w14:paraId="597F642A" w14:textId="07AC4602"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351</w:t>
            </w:r>
          </w:p>
        </w:tc>
        <w:tc>
          <w:tcPr>
            <w:tcW w:w="1296" w:type="dxa"/>
            <w:tcBorders>
              <w:top w:val="nil"/>
              <w:left w:val="nil"/>
              <w:bottom w:val="nil"/>
              <w:right w:val="nil"/>
            </w:tcBorders>
            <w:shd w:val="clear" w:color="auto" w:fill="auto"/>
            <w:noWrap/>
            <w:vAlign w:val="bottom"/>
          </w:tcPr>
          <w:p w14:paraId="073273C8" w14:textId="770668BB"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123</w:t>
            </w:r>
          </w:p>
        </w:tc>
        <w:tc>
          <w:tcPr>
            <w:tcW w:w="1296" w:type="dxa"/>
            <w:tcBorders>
              <w:top w:val="nil"/>
              <w:left w:val="nil"/>
              <w:bottom w:val="nil"/>
              <w:right w:val="nil"/>
            </w:tcBorders>
            <w:shd w:val="clear" w:color="auto" w:fill="auto"/>
            <w:noWrap/>
            <w:vAlign w:val="bottom"/>
          </w:tcPr>
          <w:p w14:paraId="35906EF0" w14:textId="4BECBC01"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35.0</w:t>
            </w:r>
          </w:p>
        </w:tc>
        <w:tc>
          <w:tcPr>
            <w:tcW w:w="1296" w:type="dxa"/>
            <w:tcBorders>
              <w:top w:val="nil"/>
              <w:left w:val="nil"/>
              <w:bottom w:val="nil"/>
              <w:right w:val="nil"/>
            </w:tcBorders>
            <w:shd w:val="clear" w:color="auto" w:fill="auto"/>
            <w:noWrap/>
            <w:vAlign w:val="bottom"/>
          </w:tcPr>
          <w:p w14:paraId="00FCB845" w14:textId="53F545C2"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44</w:t>
            </w:r>
          </w:p>
        </w:tc>
        <w:tc>
          <w:tcPr>
            <w:tcW w:w="1296" w:type="dxa"/>
            <w:tcBorders>
              <w:top w:val="nil"/>
              <w:left w:val="nil"/>
              <w:bottom w:val="nil"/>
              <w:right w:val="nil"/>
            </w:tcBorders>
            <w:shd w:val="clear" w:color="auto" w:fill="auto"/>
            <w:noWrap/>
            <w:vAlign w:val="bottom"/>
          </w:tcPr>
          <w:p w14:paraId="7A35E2B0" w14:textId="038203B0"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19.3</w:t>
            </w:r>
          </w:p>
        </w:tc>
        <w:tc>
          <w:tcPr>
            <w:tcW w:w="1296" w:type="dxa"/>
            <w:tcBorders>
              <w:top w:val="nil"/>
              <w:left w:val="nil"/>
              <w:bottom w:val="nil"/>
              <w:right w:val="nil"/>
            </w:tcBorders>
            <w:shd w:val="clear" w:color="auto" w:fill="auto"/>
            <w:noWrap/>
            <w:vAlign w:val="bottom"/>
          </w:tcPr>
          <w:p w14:paraId="00467FEA" w14:textId="2DD4331B"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58.1</w:t>
            </w:r>
          </w:p>
        </w:tc>
      </w:tr>
      <w:tr w:rsidR="00DF11AD" w14:paraId="49E16F88" w14:textId="77777777" w:rsidTr="00555879">
        <w:trPr>
          <w:trHeight w:val="227"/>
        </w:trPr>
        <w:tc>
          <w:tcPr>
            <w:tcW w:w="1296" w:type="dxa"/>
            <w:tcBorders>
              <w:top w:val="nil"/>
              <w:left w:val="nil"/>
              <w:bottom w:val="nil"/>
              <w:right w:val="nil"/>
            </w:tcBorders>
            <w:shd w:val="clear" w:color="auto" w:fill="auto"/>
            <w:noWrap/>
            <w:vAlign w:val="center"/>
            <w:hideMark/>
          </w:tcPr>
          <w:p w14:paraId="171B8CCF"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Three</w:t>
            </w:r>
          </w:p>
        </w:tc>
        <w:tc>
          <w:tcPr>
            <w:tcW w:w="1296" w:type="dxa"/>
            <w:tcBorders>
              <w:top w:val="nil"/>
              <w:left w:val="nil"/>
              <w:bottom w:val="nil"/>
              <w:right w:val="nil"/>
            </w:tcBorders>
            <w:shd w:val="clear" w:color="auto" w:fill="auto"/>
            <w:noWrap/>
            <w:vAlign w:val="bottom"/>
          </w:tcPr>
          <w:p w14:paraId="16F59F78" w14:textId="40B9672E"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184</w:t>
            </w:r>
          </w:p>
        </w:tc>
        <w:tc>
          <w:tcPr>
            <w:tcW w:w="1296" w:type="dxa"/>
            <w:tcBorders>
              <w:top w:val="nil"/>
              <w:left w:val="nil"/>
              <w:bottom w:val="nil"/>
              <w:right w:val="nil"/>
            </w:tcBorders>
            <w:shd w:val="clear" w:color="auto" w:fill="auto"/>
            <w:noWrap/>
            <w:vAlign w:val="bottom"/>
          </w:tcPr>
          <w:p w14:paraId="67F36FE5" w14:textId="23B8176B"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57</w:t>
            </w:r>
          </w:p>
        </w:tc>
        <w:tc>
          <w:tcPr>
            <w:tcW w:w="1296" w:type="dxa"/>
            <w:tcBorders>
              <w:top w:val="nil"/>
              <w:left w:val="nil"/>
              <w:bottom w:val="nil"/>
              <w:right w:val="nil"/>
            </w:tcBorders>
            <w:shd w:val="clear" w:color="auto" w:fill="auto"/>
            <w:noWrap/>
            <w:vAlign w:val="bottom"/>
          </w:tcPr>
          <w:p w14:paraId="011891F7" w14:textId="68673730"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31.0</w:t>
            </w:r>
          </w:p>
        </w:tc>
        <w:tc>
          <w:tcPr>
            <w:tcW w:w="1296" w:type="dxa"/>
            <w:tcBorders>
              <w:top w:val="nil"/>
              <w:left w:val="nil"/>
              <w:bottom w:val="nil"/>
              <w:right w:val="nil"/>
            </w:tcBorders>
            <w:shd w:val="clear" w:color="auto" w:fill="auto"/>
            <w:noWrap/>
            <w:vAlign w:val="bottom"/>
          </w:tcPr>
          <w:p w14:paraId="26A4682E" w14:textId="5ABD2C0A"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31</w:t>
            </w:r>
          </w:p>
        </w:tc>
        <w:tc>
          <w:tcPr>
            <w:tcW w:w="1296" w:type="dxa"/>
            <w:tcBorders>
              <w:top w:val="nil"/>
              <w:left w:val="nil"/>
              <w:bottom w:val="nil"/>
              <w:right w:val="nil"/>
            </w:tcBorders>
            <w:shd w:val="clear" w:color="auto" w:fill="auto"/>
            <w:noWrap/>
            <w:vAlign w:val="bottom"/>
          </w:tcPr>
          <w:p w14:paraId="0C3D7013" w14:textId="264F6249"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24.4</w:t>
            </w:r>
          </w:p>
        </w:tc>
        <w:tc>
          <w:tcPr>
            <w:tcW w:w="1296" w:type="dxa"/>
            <w:tcBorders>
              <w:top w:val="nil"/>
              <w:left w:val="nil"/>
              <w:bottom w:val="nil"/>
              <w:right w:val="nil"/>
            </w:tcBorders>
            <w:shd w:val="clear" w:color="auto" w:fill="auto"/>
            <w:noWrap/>
            <w:vAlign w:val="bottom"/>
          </w:tcPr>
          <w:p w14:paraId="2C015332" w14:textId="4E7A5E83"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66.6</w:t>
            </w:r>
          </w:p>
        </w:tc>
      </w:tr>
      <w:tr w:rsidR="00DF11AD" w14:paraId="09E3BEBA" w14:textId="77777777" w:rsidTr="00555879">
        <w:trPr>
          <w:trHeight w:val="227"/>
        </w:trPr>
        <w:tc>
          <w:tcPr>
            <w:tcW w:w="1296" w:type="dxa"/>
            <w:tcBorders>
              <w:top w:val="nil"/>
              <w:left w:val="nil"/>
              <w:bottom w:val="nil"/>
              <w:right w:val="nil"/>
            </w:tcBorders>
            <w:shd w:val="clear" w:color="auto" w:fill="auto"/>
            <w:noWrap/>
            <w:vAlign w:val="center"/>
            <w:hideMark/>
          </w:tcPr>
          <w:p w14:paraId="688085BD"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Four</w:t>
            </w:r>
          </w:p>
        </w:tc>
        <w:tc>
          <w:tcPr>
            <w:tcW w:w="1296" w:type="dxa"/>
            <w:tcBorders>
              <w:top w:val="nil"/>
              <w:left w:val="nil"/>
              <w:bottom w:val="nil"/>
              <w:right w:val="nil"/>
            </w:tcBorders>
            <w:shd w:val="clear" w:color="auto" w:fill="auto"/>
            <w:noWrap/>
            <w:vAlign w:val="bottom"/>
          </w:tcPr>
          <w:p w14:paraId="25979734" w14:textId="4788B92E"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96</w:t>
            </w:r>
          </w:p>
        </w:tc>
        <w:tc>
          <w:tcPr>
            <w:tcW w:w="1296" w:type="dxa"/>
            <w:tcBorders>
              <w:top w:val="nil"/>
              <w:left w:val="nil"/>
              <w:bottom w:val="nil"/>
              <w:right w:val="nil"/>
            </w:tcBorders>
            <w:shd w:val="clear" w:color="auto" w:fill="auto"/>
            <w:noWrap/>
            <w:vAlign w:val="bottom"/>
          </w:tcPr>
          <w:p w14:paraId="43905CD0" w14:textId="633501A2"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29</w:t>
            </w:r>
          </w:p>
        </w:tc>
        <w:tc>
          <w:tcPr>
            <w:tcW w:w="1296" w:type="dxa"/>
            <w:tcBorders>
              <w:top w:val="nil"/>
              <w:left w:val="nil"/>
              <w:bottom w:val="nil"/>
              <w:right w:val="nil"/>
            </w:tcBorders>
            <w:shd w:val="clear" w:color="auto" w:fill="auto"/>
            <w:noWrap/>
            <w:vAlign w:val="bottom"/>
          </w:tcPr>
          <w:p w14:paraId="144576E0" w14:textId="038CA196"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30.2</w:t>
            </w:r>
          </w:p>
        </w:tc>
        <w:tc>
          <w:tcPr>
            <w:tcW w:w="1296" w:type="dxa"/>
            <w:tcBorders>
              <w:top w:val="nil"/>
              <w:left w:val="nil"/>
              <w:bottom w:val="nil"/>
              <w:right w:val="nil"/>
            </w:tcBorders>
            <w:shd w:val="clear" w:color="auto" w:fill="auto"/>
            <w:noWrap/>
            <w:vAlign w:val="bottom"/>
          </w:tcPr>
          <w:p w14:paraId="47EE24A6" w14:textId="451FA307" w:rsidR="00DF11AD" w:rsidRPr="00E55673"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19</w:t>
            </w:r>
          </w:p>
        </w:tc>
        <w:tc>
          <w:tcPr>
            <w:tcW w:w="1296" w:type="dxa"/>
            <w:tcBorders>
              <w:top w:val="nil"/>
              <w:left w:val="nil"/>
              <w:bottom w:val="nil"/>
              <w:right w:val="nil"/>
            </w:tcBorders>
            <w:shd w:val="clear" w:color="auto" w:fill="auto"/>
            <w:noWrap/>
            <w:vAlign w:val="bottom"/>
          </w:tcPr>
          <w:p w14:paraId="1600D3C4" w14:textId="69BE0B79" w:rsidR="00DF11AD" w:rsidRPr="00E55673" w:rsidRDefault="00DF11AD" w:rsidP="00DF11AD">
            <w:pPr>
              <w:spacing w:after="0" w:line="276" w:lineRule="auto"/>
              <w:jc w:val="right"/>
              <w:rPr>
                <w:rFonts w:ascii="Arial" w:hAnsi="Arial" w:cs="Arial"/>
                <w:color w:val="000000"/>
                <w:sz w:val="16"/>
                <w:szCs w:val="16"/>
              </w:rPr>
            </w:pPr>
            <w:r>
              <w:rPr>
                <w:rFonts w:ascii="Arial" w:hAnsi="Arial" w:cs="Arial"/>
                <w:sz w:val="16"/>
                <w:szCs w:val="16"/>
              </w:rPr>
              <w:t>28.4</w:t>
            </w:r>
          </w:p>
        </w:tc>
        <w:tc>
          <w:tcPr>
            <w:tcW w:w="1296" w:type="dxa"/>
            <w:tcBorders>
              <w:top w:val="nil"/>
              <w:left w:val="nil"/>
              <w:bottom w:val="nil"/>
              <w:right w:val="nil"/>
            </w:tcBorders>
            <w:shd w:val="clear" w:color="auto" w:fill="auto"/>
            <w:noWrap/>
            <w:vAlign w:val="bottom"/>
          </w:tcPr>
          <w:p w14:paraId="38C8C96A" w14:textId="3ACB092F"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70.9</w:t>
            </w:r>
          </w:p>
        </w:tc>
      </w:tr>
      <w:tr w:rsidR="00DF11AD" w14:paraId="7517BDAD" w14:textId="77777777" w:rsidTr="00555879">
        <w:trPr>
          <w:trHeight w:val="227"/>
        </w:trPr>
        <w:tc>
          <w:tcPr>
            <w:tcW w:w="1296" w:type="dxa"/>
            <w:tcBorders>
              <w:top w:val="nil"/>
              <w:left w:val="nil"/>
              <w:bottom w:val="single" w:sz="12" w:space="0" w:color="auto"/>
              <w:right w:val="nil"/>
            </w:tcBorders>
            <w:shd w:val="clear" w:color="auto" w:fill="auto"/>
            <w:noWrap/>
            <w:vAlign w:val="center"/>
            <w:hideMark/>
          </w:tcPr>
          <w:p w14:paraId="0118A989"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Five</w:t>
            </w:r>
          </w:p>
        </w:tc>
        <w:tc>
          <w:tcPr>
            <w:tcW w:w="1296" w:type="dxa"/>
            <w:tcBorders>
              <w:top w:val="nil"/>
              <w:left w:val="nil"/>
              <w:bottom w:val="single" w:sz="12" w:space="0" w:color="auto"/>
              <w:right w:val="nil"/>
            </w:tcBorders>
            <w:shd w:val="clear" w:color="auto" w:fill="auto"/>
            <w:noWrap/>
            <w:vAlign w:val="bottom"/>
          </w:tcPr>
          <w:p w14:paraId="2A2C9695" w14:textId="1A2C1CF4"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48</w:t>
            </w:r>
          </w:p>
        </w:tc>
        <w:tc>
          <w:tcPr>
            <w:tcW w:w="1296" w:type="dxa"/>
            <w:tcBorders>
              <w:top w:val="nil"/>
              <w:left w:val="nil"/>
              <w:bottom w:val="single" w:sz="12" w:space="0" w:color="auto"/>
              <w:right w:val="nil"/>
            </w:tcBorders>
            <w:shd w:val="clear" w:color="auto" w:fill="auto"/>
            <w:noWrap/>
            <w:vAlign w:val="bottom"/>
          </w:tcPr>
          <w:p w14:paraId="0B99933F" w14:textId="295F7E0E"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12</w:t>
            </w:r>
          </w:p>
        </w:tc>
        <w:tc>
          <w:tcPr>
            <w:tcW w:w="1296" w:type="dxa"/>
            <w:tcBorders>
              <w:top w:val="nil"/>
              <w:left w:val="nil"/>
              <w:bottom w:val="single" w:sz="12" w:space="0" w:color="auto"/>
              <w:right w:val="nil"/>
            </w:tcBorders>
            <w:shd w:val="clear" w:color="auto" w:fill="auto"/>
            <w:noWrap/>
            <w:vAlign w:val="bottom"/>
          </w:tcPr>
          <w:p w14:paraId="1DB290F2" w14:textId="4F73A884"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25.0</w:t>
            </w:r>
          </w:p>
        </w:tc>
        <w:tc>
          <w:tcPr>
            <w:tcW w:w="1296" w:type="dxa"/>
            <w:tcBorders>
              <w:top w:val="nil"/>
              <w:left w:val="nil"/>
              <w:bottom w:val="single" w:sz="12" w:space="0" w:color="auto"/>
              <w:right w:val="nil"/>
            </w:tcBorders>
            <w:shd w:val="clear" w:color="auto" w:fill="auto"/>
            <w:noWrap/>
            <w:vAlign w:val="bottom"/>
          </w:tcPr>
          <w:p w14:paraId="666F66D2" w14:textId="2314AA18" w:rsidR="00DF11AD" w:rsidRPr="00E55673" w:rsidRDefault="00DF11AD" w:rsidP="00DF11AD">
            <w:pPr>
              <w:spacing w:after="0" w:line="276" w:lineRule="auto"/>
              <w:jc w:val="right"/>
              <w:rPr>
                <w:rFonts w:ascii="Arial" w:hAnsi="Arial" w:cs="Arial"/>
                <w:color w:val="000000"/>
                <w:sz w:val="16"/>
                <w:szCs w:val="16"/>
              </w:rPr>
            </w:pPr>
            <w:r>
              <w:rPr>
                <w:rFonts w:ascii="Arial" w:hAnsi="Arial" w:cs="Arial"/>
                <w:sz w:val="16"/>
                <w:szCs w:val="16"/>
              </w:rPr>
              <w:t>15</w:t>
            </w:r>
          </w:p>
        </w:tc>
        <w:tc>
          <w:tcPr>
            <w:tcW w:w="1296" w:type="dxa"/>
            <w:tcBorders>
              <w:top w:val="nil"/>
              <w:left w:val="nil"/>
              <w:bottom w:val="single" w:sz="12" w:space="0" w:color="auto"/>
              <w:right w:val="nil"/>
            </w:tcBorders>
            <w:shd w:val="clear" w:color="auto" w:fill="auto"/>
            <w:noWrap/>
            <w:vAlign w:val="bottom"/>
          </w:tcPr>
          <w:p w14:paraId="5AC872BF" w14:textId="6ACE21E6" w:rsidR="00DF11AD" w:rsidRPr="00E55673" w:rsidRDefault="00DF11AD" w:rsidP="00DF11AD">
            <w:pPr>
              <w:spacing w:after="0" w:line="276" w:lineRule="auto"/>
              <w:jc w:val="right"/>
              <w:rPr>
                <w:rFonts w:ascii="Arial" w:hAnsi="Arial" w:cs="Arial"/>
                <w:color w:val="000000"/>
                <w:sz w:val="16"/>
                <w:szCs w:val="16"/>
              </w:rPr>
            </w:pPr>
            <w:r>
              <w:rPr>
                <w:rFonts w:ascii="Arial" w:hAnsi="Arial" w:cs="Arial"/>
                <w:sz w:val="16"/>
                <w:szCs w:val="16"/>
              </w:rPr>
              <w:t>41.7</w:t>
            </w:r>
          </w:p>
        </w:tc>
        <w:tc>
          <w:tcPr>
            <w:tcW w:w="1296" w:type="dxa"/>
            <w:tcBorders>
              <w:top w:val="nil"/>
              <w:left w:val="nil"/>
              <w:bottom w:val="single" w:sz="12" w:space="0" w:color="auto"/>
              <w:right w:val="nil"/>
            </w:tcBorders>
            <w:shd w:val="clear" w:color="auto" w:fill="auto"/>
            <w:noWrap/>
            <w:vAlign w:val="bottom"/>
          </w:tcPr>
          <w:p w14:paraId="56E6F37C" w14:textId="00F763D4"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72.7</w:t>
            </w:r>
          </w:p>
        </w:tc>
      </w:tr>
    </w:tbl>
    <w:p w14:paraId="50C5870C" w14:textId="77777777" w:rsidR="00EC6EB4" w:rsidRDefault="00EC6EB4" w:rsidP="00EC6EB4">
      <w:pPr>
        <w:pStyle w:val="TableSourcefootnotes"/>
        <w:tabs>
          <w:tab w:val="clear" w:pos="397"/>
          <w:tab w:val="left" w:pos="284"/>
        </w:tabs>
        <w:spacing w:before="0" w:after="0" w:line="240" w:lineRule="auto"/>
      </w:pPr>
    </w:p>
    <w:p w14:paraId="5D2EC180" w14:textId="459A0426" w:rsidR="00CD4FE5" w:rsidRDefault="00CD4FE5" w:rsidP="00814AD1">
      <w:pPr>
        <w:pStyle w:val="TableSourcefootnotes"/>
        <w:numPr>
          <w:ilvl w:val="0"/>
          <w:numId w:val="24"/>
        </w:numPr>
        <w:tabs>
          <w:tab w:val="clear" w:pos="397"/>
          <w:tab w:val="left" w:pos="284"/>
        </w:tabs>
        <w:spacing w:before="0" w:after="0" w:line="240" w:lineRule="auto"/>
        <w:ind w:left="284" w:hanging="284"/>
      </w:pPr>
      <w:r>
        <w:rPr>
          <w:iCs/>
        </w:rPr>
        <w:t>F</w:t>
      </w:r>
      <w:r w:rsidRPr="00E217FF">
        <w:rPr>
          <w:iCs/>
        </w:rPr>
        <w:t>reeze-all</w:t>
      </w:r>
      <w:r w:rsidRPr="0096515A">
        <w:rPr>
          <w:iCs/>
        </w:rPr>
        <w:t xml:space="preserve"> cycles</w:t>
      </w:r>
      <w:r>
        <w:t xml:space="preserve"> are fresh ART treatment cycles where all oocytes or embryos are cryopreserved</w:t>
      </w:r>
      <w:r w:rsidR="00AB2381">
        <w:t>,</w:t>
      </w:r>
      <w:r>
        <w:t xml:space="preserve"> and an embryo transfer does not take place.</w:t>
      </w:r>
    </w:p>
    <w:p w14:paraId="64697461" w14:textId="4E9C1A13" w:rsidR="00FA33C7" w:rsidRPr="00A379EC" w:rsidRDefault="00FA33C7" w:rsidP="00814AD1">
      <w:pPr>
        <w:pStyle w:val="TableSourcefootnotes"/>
        <w:numPr>
          <w:ilvl w:val="0"/>
          <w:numId w:val="24"/>
        </w:numPr>
        <w:tabs>
          <w:tab w:val="clear" w:pos="397"/>
          <w:tab w:val="left" w:pos="284"/>
        </w:tabs>
        <w:spacing w:before="0" w:after="0" w:line="240" w:lineRule="auto"/>
        <w:ind w:left="284" w:hanging="284"/>
      </w:pPr>
      <w:r>
        <w:t>Cycle one represents a woman’s first autologous (</w:t>
      </w:r>
      <w:r w:rsidR="00971360">
        <w:t>excluding</w:t>
      </w:r>
      <w:r>
        <w:t xml:space="preserve"> </w:t>
      </w:r>
      <w:r w:rsidRPr="00E217FF">
        <w:rPr>
          <w:iCs/>
        </w:rPr>
        <w:t>freeze-all</w:t>
      </w:r>
      <w:r>
        <w:t>)</w:t>
      </w:r>
      <w:r w:rsidRPr="00A379EC">
        <w:t xml:space="preserve"> fresh ART treatment cycle between 1</w:t>
      </w:r>
      <w:r w:rsidRPr="00E217FF">
        <w:rPr>
          <w:vertAlign w:val="superscript"/>
        </w:rPr>
        <w:t>st</w:t>
      </w:r>
      <w:r w:rsidRPr="00A379EC">
        <w:t xml:space="preserve"> January </w:t>
      </w:r>
      <w:r w:rsidR="00881FD0">
        <w:t>201</w:t>
      </w:r>
      <w:r w:rsidR="00614E18">
        <w:t>9</w:t>
      </w:r>
      <w:r w:rsidR="00881FD0">
        <w:t xml:space="preserve"> </w:t>
      </w:r>
      <w:r w:rsidRPr="00A379EC">
        <w:t>and 31</w:t>
      </w:r>
      <w:r w:rsidRPr="00E217FF">
        <w:rPr>
          <w:vertAlign w:val="superscript"/>
        </w:rPr>
        <w:t>st</w:t>
      </w:r>
      <w:r w:rsidRPr="00A379EC">
        <w:t xml:space="preserve"> December </w:t>
      </w:r>
      <w:r w:rsidR="00881FD0">
        <w:t>201</w:t>
      </w:r>
      <w:r w:rsidR="00614E18">
        <w:t>9</w:t>
      </w:r>
      <w:r>
        <w:t>. Cycles two to five could be either a fresh or thaw cycle (</w:t>
      </w:r>
      <w:r w:rsidRPr="00FE565E">
        <w:t xml:space="preserve">excluding </w:t>
      </w:r>
      <w:r w:rsidRPr="00E217FF">
        <w:t>freeze-all</w:t>
      </w:r>
      <w:r w:rsidRPr="00FE565E">
        <w:t xml:space="preserve"> cycles</w:t>
      </w:r>
      <w:r>
        <w:t>)</w:t>
      </w:r>
      <w:r w:rsidRPr="00A379EC">
        <w:t xml:space="preserve"> </w:t>
      </w:r>
      <w:r>
        <w:t>undertaken by a woman</w:t>
      </w:r>
      <w:r w:rsidRPr="00A379EC">
        <w:t xml:space="preserve"> until 31</w:t>
      </w:r>
      <w:r w:rsidRPr="00E217FF">
        <w:rPr>
          <w:vertAlign w:val="superscript"/>
        </w:rPr>
        <w:t>st</w:t>
      </w:r>
      <w:r w:rsidRPr="00A379EC">
        <w:t xml:space="preserve"> December </w:t>
      </w:r>
      <w:r w:rsidR="00881FD0">
        <w:t>202</w:t>
      </w:r>
      <w:r w:rsidR="00614E18">
        <w:t>1</w:t>
      </w:r>
      <w:r w:rsidR="00881FD0" w:rsidRPr="00A379EC">
        <w:t xml:space="preserve"> </w:t>
      </w:r>
      <w:r w:rsidRPr="00A379EC">
        <w:t xml:space="preserve">or </w:t>
      </w:r>
      <w:r w:rsidR="00EC42AE">
        <w:t>birth</w:t>
      </w:r>
      <w:r w:rsidRPr="00A379EC">
        <w:t xml:space="preserve"> of a liveborn baby up to </w:t>
      </w:r>
      <w:r>
        <w:t xml:space="preserve">and including </w:t>
      </w:r>
      <w:r w:rsidR="00783BBD">
        <w:t>31</w:t>
      </w:r>
      <w:r w:rsidR="00783BBD" w:rsidRPr="00E217FF">
        <w:rPr>
          <w:vertAlign w:val="superscript"/>
        </w:rPr>
        <w:t>st</w:t>
      </w:r>
      <w:r w:rsidR="00783BBD">
        <w:t xml:space="preserve"> October </w:t>
      </w:r>
      <w:r w:rsidR="00881FD0">
        <w:t>202</w:t>
      </w:r>
      <w:r w:rsidR="00614E18">
        <w:t>2</w:t>
      </w:r>
      <w:r w:rsidRPr="00A379EC">
        <w:t xml:space="preserve">. </w:t>
      </w:r>
    </w:p>
    <w:p w14:paraId="3CA2A499" w14:textId="48335A4C" w:rsidR="00FA33C7" w:rsidRPr="00A379EC" w:rsidRDefault="00FA33C7" w:rsidP="00814AD1">
      <w:pPr>
        <w:pStyle w:val="TableSourcefootnotes"/>
        <w:numPr>
          <w:ilvl w:val="0"/>
          <w:numId w:val="24"/>
        </w:numPr>
        <w:spacing w:before="0" w:after="0" w:line="240" w:lineRule="auto"/>
        <w:ind w:left="284" w:hanging="284"/>
      </w:pPr>
      <w:r w:rsidRPr="00A379EC">
        <w:t xml:space="preserve">A live </w:t>
      </w:r>
      <w:r w:rsidR="00EC42AE">
        <w:t>birth</w:t>
      </w:r>
      <w:r w:rsidRPr="00A379EC">
        <w:t xml:space="preserve"> is the </w:t>
      </w:r>
      <w:r w:rsidR="00EC42AE">
        <w:t>birth</w:t>
      </w:r>
      <w:r w:rsidRPr="00A379EC">
        <w:t xml:space="preserve"> of one or more liveborn infants, with the birth of twins or higher order multiple</w:t>
      </w:r>
      <w:r>
        <w:t xml:space="preserve">s counted as one live </w:t>
      </w:r>
      <w:r w:rsidR="00EC42AE">
        <w:t>birth</w:t>
      </w:r>
      <w:r>
        <w:t>.</w:t>
      </w:r>
    </w:p>
    <w:p w14:paraId="469168FC" w14:textId="7F776479" w:rsidR="00FA33C7" w:rsidRPr="00A379EC" w:rsidRDefault="00FA33C7" w:rsidP="00814AD1">
      <w:pPr>
        <w:pStyle w:val="TableSourcefootnotes"/>
        <w:numPr>
          <w:ilvl w:val="0"/>
          <w:numId w:val="24"/>
        </w:numPr>
        <w:tabs>
          <w:tab w:val="clear" w:pos="397"/>
          <w:tab w:val="left" w:pos="284"/>
        </w:tabs>
        <w:spacing w:before="0" w:after="0" w:line="240" w:lineRule="auto"/>
        <w:ind w:left="284" w:hanging="284"/>
      </w:pPr>
      <w:r w:rsidRPr="00A379EC">
        <w:t xml:space="preserve">The cycle-specific live </w:t>
      </w:r>
      <w:r w:rsidR="00EC42AE">
        <w:t>birth</w:t>
      </w:r>
      <w:r w:rsidRPr="00A379EC">
        <w:t xml:space="preserve"> rate is calculated as the number of live </w:t>
      </w:r>
      <w:r w:rsidR="00C736CE">
        <w:t>births</w:t>
      </w:r>
      <w:r w:rsidRPr="00A379EC">
        <w:t xml:space="preserve"> resulting from a specific ‘cycle number’ divided by the number of women who undertook that same ‘cycle number’. </w:t>
      </w:r>
    </w:p>
    <w:p w14:paraId="5375587F" w14:textId="55A13945" w:rsidR="00FA33C7" w:rsidRPr="00A379EC" w:rsidRDefault="00FA33C7" w:rsidP="00814AD1">
      <w:pPr>
        <w:pStyle w:val="TableSourcefootnotes"/>
        <w:numPr>
          <w:ilvl w:val="0"/>
          <w:numId w:val="24"/>
        </w:numPr>
        <w:tabs>
          <w:tab w:val="clear" w:pos="397"/>
          <w:tab w:val="left" w:pos="284"/>
        </w:tabs>
        <w:spacing w:before="0" w:after="0" w:line="240" w:lineRule="auto"/>
        <w:ind w:left="284" w:hanging="284"/>
      </w:pPr>
      <w:r w:rsidRPr="00A379EC">
        <w:t>The non-progression rate for a specific ‘cycle number’ is calculated as the number of women who did not return for further ART treatment cycles before 31</w:t>
      </w:r>
      <w:r w:rsidRPr="00E217FF">
        <w:rPr>
          <w:vertAlign w:val="superscript"/>
        </w:rPr>
        <w:t>st</w:t>
      </w:r>
      <w:r w:rsidRPr="00A379EC">
        <w:t xml:space="preserve"> December </w:t>
      </w:r>
      <w:r w:rsidR="00881FD0">
        <w:t>202</w:t>
      </w:r>
      <w:r w:rsidR="00614E18">
        <w:t>1</w:t>
      </w:r>
      <w:r w:rsidR="00881FD0" w:rsidRPr="00A379EC">
        <w:t xml:space="preserve"> </w:t>
      </w:r>
      <w:r w:rsidRPr="00A379EC">
        <w:t xml:space="preserve">divided by the number of women who did not have a live </w:t>
      </w:r>
      <w:r w:rsidR="00EC42AE">
        <w:t>birth</w:t>
      </w:r>
      <w:r w:rsidRPr="00A379EC">
        <w:t xml:space="preserve"> in that ‘cycle number’. </w:t>
      </w:r>
    </w:p>
    <w:p w14:paraId="6EED8C58" w14:textId="309A0219" w:rsidR="00C16CAB" w:rsidRDefault="00FA33C7" w:rsidP="00814AD1">
      <w:pPr>
        <w:pStyle w:val="TableSourcefootnotes"/>
        <w:numPr>
          <w:ilvl w:val="0"/>
          <w:numId w:val="24"/>
        </w:numPr>
        <w:spacing w:before="0" w:after="0" w:line="240" w:lineRule="auto"/>
        <w:ind w:left="284" w:hanging="284"/>
      </w:pPr>
      <w:r w:rsidRPr="00A379EC">
        <w:t xml:space="preserve">The cumulative live </w:t>
      </w:r>
      <w:r w:rsidR="00EC42AE">
        <w:t>birth</w:t>
      </w:r>
      <w:r w:rsidRPr="00A379EC">
        <w:t xml:space="preserve"> rate for a specific ‘cycle number’ is calculated as the total number of live </w:t>
      </w:r>
      <w:r w:rsidR="00C736CE">
        <w:t>births</w:t>
      </w:r>
      <w:r w:rsidRPr="00A379EC">
        <w:t xml:space="preserve"> following this ‘cycle number’ and all previous cycles divided by the total number of women who started their first autologous fresh ART treatme</w:t>
      </w:r>
      <w:r>
        <w:t>nt cycle between 1</w:t>
      </w:r>
      <w:r w:rsidRPr="00E217FF">
        <w:rPr>
          <w:vertAlign w:val="superscript"/>
        </w:rPr>
        <w:t>st</w:t>
      </w:r>
      <w:r>
        <w:t xml:space="preserve"> January </w:t>
      </w:r>
      <w:r w:rsidR="00881FD0">
        <w:t>201</w:t>
      </w:r>
      <w:r w:rsidR="00614E18">
        <w:t>9</w:t>
      </w:r>
      <w:r w:rsidR="00881FD0" w:rsidRPr="00A379EC">
        <w:t xml:space="preserve"> </w:t>
      </w:r>
      <w:r w:rsidRPr="00A379EC">
        <w:t>and 31</w:t>
      </w:r>
      <w:r w:rsidRPr="00E217FF">
        <w:rPr>
          <w:vertAlign w:val="superscript"/>
        </w:rPr>
        <w:t>st</w:t>
      </w:r>
      <w:r w:rsidRPr="00A379EC">
        <w:t xml:space="preserve"> December </w:t>
      </w:r>
      <w:r w:rsidR="00881FD0">
        <w:t>201</w:t>
      </w:r>
      <w:r w:rsidR="00614E18">
        <w:t>9</w:t>
      </w:r>
      <w:r w:rsidRPr="00A379EC">
        <w:t xml:space="preserve">. </w:t>
      </w:r>
    </w:p>
    <w:p w14:paraId="436C2DED" w14:textId="77777777" w:rsidR="005E3A7E" w:rsidRDefault="005E3A7E" w:rsidP="005E3A7E">
      <w:pPr>
        <w:pStyle w:val="TableSourcefootnotes"/>
        <w:tabs>
          <w:tab w:val="clear" w:pos="397"/>
          <w:tab w:val="left" w:pos="426"/>
        </w:tabs>
        <w:spacing w:before="0" w:after="0" w:line="240" w:lineRule="auto"/>
        <w:rPr>
          <w:i/>
          <w:iCs/>
        </w:rPr>
      </w:pPr>
    </w:p>
    <w:p w14:paraId="0569196A" w14:textId="24800132" w:rsidR="00FA33C7" w:rsidRDefault="00FA33C7" w:rsidP="005E3A7E">
      <w:pPr>
        <w:pStyle w:val="TableSourcefootnotes"/>
        <w:tabs>
          <w:tab w:val="clear" w:pos="397"/>
          <w:tab w:val="left" w:pos="426"/>
        </w:tabs>
        <w:spacing w:before="0" w:after="0" w:line="240" w:lineRule="auto"/>
      </w:pPr>
      <w:r w:rsidRPr="00A379EC">
        <w:rPr>
          <w:i/>
          <w:iCs/>
        </w:rPr>
        <w:t>Note</w:t>
      </w:r>
      <w:r w:rsidRPr="00A379EC">
        <w:t>:</w:t>
      </w:r>
      <w:r w:rsidRPr="00A379EC">
        <w:tab/>
        <w:t xml:space="preserve">Further treatment cycles after the </w:t>
      </w:r>
      <w:r w:rsidR="009F7EEC">
        <w:t>fifth</w:t>
      </w:r>
      <w:r w:rsidR="009F7EEC" w:rsidRPr="00A379EC">
        <w:t xml:space="preserve"> </w:t>
      </w:r>
      <w:r w:rsidRPr="00A379EC">
        <w:t xml:space="preserve">cycle and resulting live </w:t>
      </w:r>
      <w:r w:rsidR="00C736CE">
        <w:t>births</w:t>
      </w:r>
      <w:r w:rsidRPr="00A379EC">
        <w:t xml:space="preserve"> are not presented in this table due to small numbers. Data should be interpreted with caution due to small numbers in certain </w:t>
      </w:r>
      <w:r w:rsidRPr="00BD7D19">
        <w:t>cells and measure</w:t>
      </w:r>
      <w:r>
        <w:t>s</w:t>
      </w:r>
      <w:r w:rsidRPr="00BD7D19">
        <w:t xml:space="preserve"> of statistical variance are not supplied.</w:t>
      </w:r>
    </w:p>
    <w:p w14:paraId="2DF6AF41" w14:textId="77777777" w:rsidR="00EC6EB4" w:rsidRDefault="00EC6EB4" w:rsidP="00FA33C7">
      <w:pPr>
        <w:rPr>
          <w:b/>
          <w:bCs/>
        </w:rPr>
      </w:pPr>
    </w:p>
    <w:p w14:paraId="2C00ABA9" w14:textId="5C784665" w:rsidR="00FA33C7" w:rsidRDefault="00FA33C7" w:rsidP="00FA33C7">
      <w:r>
        <w:rPr>
          <w:b/>
          <w:bCs/>
        </w:rPr>
        <w:br w:type="page"/>
      </w:r>
    </w:p>
    <w:p w14:paraId="16014139" w14:textId="3155A91F" w:rsidR="00EC6EB4" w:rsidRPr="00EC6EB4" w:rsidRDefault="00EC6EB4" w:rsidP="00B54834">
      <w:pPr>
        <w:pStyle w:val="Caption"/>
        <w:rPr>
          <w:rFonts w:eastAsia="Times New Roman"/>
          <w:lang w:eastAsia="en-AU"/>
        </w:rPr>
      </w:pPr>
      <w:bookmarkStart w:id="407" w:name="_Toc158026582"/>
      <w:r w:rsidRPr="00EC6EB4">
        <w:rPr>
          <w:rFonts w:eastAsia="Times New Roman"/>
          <w:lang w:eastAsia="en-AU"/>
        </w:rPr>
        <w:lastRenderedPageBreak/>
        <w:t>Table 33: Cycle-specific and cumulative live birth rates for women aged 35-39 years who started their first autologous fresh cycle (excluding freeze-all cycles</w:t>
      </w:r>
      <w:r w:rsidRPr="002576D9">
        <w:rPr>
          <w:rFonts w:eastAsia="Times New Roman"/>
          <w:vertAlign w:val="superscript"/>
          <w:lang w:eastAsia="en-AU"/>
        </w:rPr>
        <w:t>(</w:t>
      </w:r>
      <w:r w:rsidR="002B68A7">
        <w:rPr>
          <w:rFonts w:eastAsia="Times New Roman"/>
          <w:vertAlign w:val="superscript"/>
          <w:lang w:eastAsia="en-AU"/>
        </w:rPr>
        <w:t>a</w:t>
      </w:r>
      <w:r w:rsidRPr="002576D9">
        <w:rPr>
          <w:rFonts w:eastAsia="Times New Roman"/>
          <w:vertAlign w:val="superscript"/>
          <w:lang w:eastAsia="en-AU"/>
        </w:rPr>
        <w:t>)</w:t>
      </w:r>
      <w:r w:rsidRPr="00EC6EB4">
        <w:rPr>
          <w:rFonts w:eastAsia="Times New Roman"/>
          <w:lang w:eastAsia="en-AU"/>
        </w:rPr>
        <w:t>) between 1st January 201</w:t>
      </w:r>
      <w:r w:rsidR="00A6384A">
        <w:rPr>
          <w:rFonts w:eastAsia="Times New Roman"/>
          <w:lang w:eastAsia="en-AU"/>
        </w:rPr>
        <w:t>9</w:t>
      </w:r>
      <w:r w:rsidRPr="00EC6EB4">
        <w:rPr>
          <w:rFonts w:eastAsia="Times New Roman"/>
          <w:lang w:eastAsia="en-AU"/>
        </w:rPr>
        <w:t xml:space="preserve"> and 31st December 201</w:t>
      </w:r>
      <w:r w:rsidR="00A6384A">
        <w:rPr>
          <w:rFonts w:eastAsia="Times New Roman"/>
          <w:lang w:eastAsia="en-AU"/>
        </w:rPr>
        <w:t>9</w:t>
      </w:r>
      <w:r w:rsidRPr="00EC6EB4">
        <w:rPr>
          <w:rFonts w:eastAsia="Times New Roman"/>
          <w:lang w:eastAsia="en-AU"/>
        </w:rPr>
        <w:t>, New Zealand, 201</w:t>
      </w:r>
      <w:r w:rsidR="00A6384A">
        <w:rPr>
          <w:rFonts w:eastAsia="Times New Roman"/>
          <w:lang w:eastAsia="en-AU"/>
        </w:rPr>
        <w:t>9</w:t>
      </w:r>
      <w:r w:rsidRPr="00EC6EB4">
        <w:rPr>
          <w:rFonts w:eastAsia="Times New Roman"/>
          <w:lang w:eastAsia="en-AU"/>
        </w:rPr>
        <w:t>-202</w:t>
      </w:r>
      <w:r w:rsidR="00A6384A">
        <w:rPr>
          <w:rFonts w:eastAsia="Times New Roman"/>
          <w:lang w:eastAsia="en-AU"/>
        </w:rPr>
        <w:t>1</w:t>
      </w:r>
      <w:bookmarkEnd w:id="407"/>
    </w:p>
    <w:tbl>
      <w:tblPr>
        <w:tblW w:w="9072" w:type="dxa"/>
        <w:tblLayout w:type="fixed"/>
        <w:tblCellMar>
          <w:top w:w="17" w:type="dxa"/>
          <w:left w:w="17" w:type="dxa"/>
          <w:bottom w:w="17" w:type="dxa"/>
          <w:right w:w="17" w:type="dxa"/>
        </w:tblCellMar>
        <w:tblLook w:val="04A0" w:firstRow="1" w:lastRow="0" w:firstColumn="1" w:lastColumn="0" w:noHBand="0" w:noVBand="1"/>
      </w:tblPr>
      <w:tblGrid>
        <w:gridCol w:w="1296"/>
        <w:gridCol w:w="1296"/>
        <w:gridCol w:w="1296"/>
        <w:gridCol w:w="1296"/>
        <w:gridCol w:w="1296"/>
        <w:gridCol w:w="1296"/>
        <w:gridCol w:w="1296"/>
      </w:tblGrid>
      <w:tr w:rsidR="00EC6EB4" w:rsidRPr="00B55251" w14:paraId="6BE67295" w14:textId="77777777" w:rsidTr="001F6C35">
        <w:trPr>
          <w:trHeight w:val="227"/>
        </w:trPr>
        <w:tc>
          <w:tcPr>
            <w:tcW w:w="1296" w:type="dxa"/>
            <w:tcBorders>
              <w:top w:val="single" w:sz="12" w:space="0" w:color="auto"/>
              <w:left w:val="nil"/>
              <w:bottom w:val="single" w:sz="4" w:space="0" w:color="auto"/>
              <w:right w:val="nil"/>
            </w:tcBorders>
            <w:shd w:val="clear" w:color="auto" w:fill="auto"/>
            <w:vAlign w:val="bottom"/>
            <w:hideMark/>
          </w:tcPr>
          <w:p w14:paraId="492FE081" w14:textId="71D70244" w:rsidR="00EC6EB4" w:rsidRPr="00B55251" w:rsidRDefault="00EC6EB4" w:rsidP="001F6C35">
            <w:pPr>
              <w:spacing w:after="0" w:line="276" w:lineRule="auto"/>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Cycle number</w:t>
            </w:r>
            <w:r w:rsidRPr="00B55251">
              <w:rPr>
                <w:rFonts w:ascii="Arial" w:eastAsia="Times New Roman" w:hAnsi="Arial" w:cs="Arial"/>
                <w:b/>
                <w:bCs/>
                <w:color w:val="000000"/>
                <w:sz w:val="16"/>
                <w:szCs w:val="16"/>
                <w:vertAlign w:val="superscript"/>
                <w:lang w:eastAsia="en-AU"/>
              </w:rPr>
              <w:t>(</w:t>
            </w:r>
            <w:r w:rsidR="00EC3BB1">
              <w:rPr>
                <w:rFonts w:ascii="Arial" w:eastAsia="Times New Roman" w:hAnsi="Arial" w:cs="Arial"/>
                <w:b/>
                <w:bCs/>
                <w:color w:val="000000"/>
                <w:sz w:val="16"/>
                <w:szCs w:val="16"/>
                <w:vertAlign w:val="superscript"/>
                <w:lang w:eastAsia="en-AU"/>
              </w:rPr>
              <w:t>b</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4CC48290" w14:textId="77777777" w:rsidR="00EC6EB4" w:rsidRPr="00B55251" w:rsidRDefault="00EC6EB4"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starting cycle</w:t>
            </w:r>
          </w:p>
        </w:tc>
        <w:tc>
          <w:tcPr>
            <w:tcW w:w="1296" w:type="dxa"/>
            <w:tcBorders>
              <w:top w:val="single" w:sz="12" w:space="0" w:color="auto"/>
              <w:left w:val="nil"/>
              <w:bottom w:val="single" w:sz="4" w:space="0" w:color="auto"/>
              <w:right w:val="nil"/>
            </w:tcBorders>
            <w:shd w:val="clear" w:color="auto" w:fill="auto"/>
            <w:vAlign w:val="bottom"/>
            <w:hideMark/>
          </w:tcPr>
          <w:p w14:paraId="29D1B604" w14:textId="5C8AEDC2" w:rsidR="00EC6EB4" w:rsidRPr="00B55251" w:rsidRDefault="00EC6EB4"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Number of women who had a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vertAlign w:val="superscript"/>
                <w:lang w:eastAsia="en-AU"/>
              </w:rPr>
              <w:t>(</w:t>
            </w:r>
            <w:r w:rsidR="00752F77">
              <w:rPr>
                <w:rFonts w:ascii="Arial" w:eastAsia="Times New Roman" w:hAnsi="Arial" w:cs="Arial"/>
                <w:b/>
                <w:bCs/>
                <w:color w:val="000000"/>
                <w:sz w:val="16"/>
                <w:szCs w:val="16"/>
                <w:vertAlign w:val="superscript"/>
                <w:lang w:eastAsia="en-AU"/>
              </w:rPr>
              <w:t>c</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6D4079E9" w14:textId="3FE46089" w:rsidR="00EC6EB4" w:rsidRPr="00B55251" w:rsidRDefault="00EC6EB4"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Cycle-specific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752F77">
              <w:rPr>
                <w:rFonts w:ascii="Arial" w:eastAsia="Times New Roman" w:hAnsi="Arial" w:cs="Arial"/>
                <w:b/>
                <w:bCs/>
                <w:color w:val="000000"/>
                <w:sz w:val="16"/>
                <w:szCs w:val="16"/>
                <w:vertAlign w:val="superscript"/>
                <w:lang w:eastAsia="en-AU"/>
              </w:rPr>
              <w:t>d</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5D91E444" w14:textId="77777777" w:rsidR="00EC6EB4" w:rsidRPr="00B55251" w:rsidRDefault="00EC6EB4"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who did not progress to next treatment</w:t>
            </w:r>
          </w:p>
        </w:tc>
        <w:tc>
          <w:tcPr>
            <w:tcW w:w="1296" w:type="dxa"/>
            <w:tcBorders>
              <w:top w:val="single" w:sz="12" w:space="0" w:color="auto"/>
              <w:left w:val="nil"/>
              <w:bottom w:val="single" w:sz="4" w:space="0" w:color="auto"/>
              <w:right w:val="nil"/>
            </w:tcBorders>
            <w:shd w:val="clear" w:color="auto" w:fill="auto"/>
            <w:vAlign w:val="bottom"/>
            <w:hideMark/>
          </w:tcPr>
          <w:p w14:paraId="40EEF206" w14:textId="51F916E6" w:rsidR="00EC6EB4" w:rsidRPr="00B55251" w:rsidRDefault="00EC6EB4"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Non-progression rate (%)</w:t>
            </w:r>
            <w:r w:rsidRPr="00B55251">
              <w:rPr>
                <w:rFonts w:ascii="Arial" w:eastAsia="Times New Roman" w:hAnsi="Arial" w:cs="Arial"/>
                <w:b/>
                <w:bCs/>
                <w:color w:val="000000"/>
                <w:sz w:val="16"/>
                <w:szCs w:val="16"/>
                <w:vertAlign w:val="superscript"/>
                <w:lang w:eastAsia="en-AU"/>
              </w:rPr>
              <w:t>(</w:t>
            </w:r>
            <w:r w:rsidR="00752F77">
              <w:rPr>
                <w:rFonts w:ascii="Arial" w:eastAsia="Times New Roman" w:hAnsi="Arial" w:cs="Arial"/>
                <w:b/>
                <w:bCs/>
                <w:color w:val="000000"/>
                <w:sz w:val="16"/>
                <w:szCs w:val="16"/>
                <w:vertAlign w:val="superscript"/>
                <w:lang w:eastAsia="en-AU"/>
              </w:rPr>
              <w:t>e</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29C7AA8B" w14:textId="311399F9" w:rsidR="00EC6EB4" w:rsidRPr="00B55251" w:rsidRDefault="00EC6EB4"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Cumulative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752F77">
              <w:rPr>
                <w:rFonts w:ascii="Arial" w:eastAsia="Times New Roman" w:hAnsi="Arial" w:cs="Arial"/>
                <w:b/>
                <w:bCs/>
                <w:color w:val="000000"/>
                <w:sz w:val="16"/>
                <w:szCs w:val="16"/>
                <w:vertAlign w:val="superscript"/>
                <w:lang w:eastAsia="en-AU"/>
              </w:rPr>
              <w:t>f</w:t>
            </w:r>
            <w:r w:rsidRPr="00B55251">
              <w:rPr>
                <w:rFonts w:ascii="Arial" w:eastAsia="Times New Roman" w:hAnsi="Arial" w:cs="Arial"/>
                <w:b/>
                <w:bCs/>
                <w:color w:val="000000"/>
                <w:sz w:val="16"/>
                <w:szCs w:val="16"/>
                <w:vertAlign w:val="superscript"/>
                <w:lang w:eastAsia="en-AU"/>
              </w:rPr>
              <w:t>)</w:t>
            </w:r>
          </w:p>
        </w:tc>
      </w:tr>
      <w:tr w:rsidR="00DF11AD" w14:paraId="6CB1989E" w14:textId="77777777" w:rsidTr="00DF11AD">
        <w:trPr>
          <w:trHeight w:val="227"/>
        </w:trPr>
        <w:tc>
          <w:tcPr>
            <w:tcW w:w="1296" w:type="dxa"/>
            <w:tcBorders>
              <w:top w:val="single" w:sz="4" w:space="0" w:color="auto"/>
              <w:left w:val="nil"/>
              <w:bottom w:val="nil"/>
              <w:right w:val="nil"/>
            </w:tcBorders>
            <w:shd w:val="clear" w:color="auto" w:fill="auto"/>
            <w:noWrap/>
            <w:vAlign w:val="center"/>
            <w:hideMark/>
          </w:tcPr>
          <w:p w14:paraId="02C6A10A"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One</w:t>
            </w:r>
          </w:p>
        </w:tc>
        <w:tc>
          <w:tcPr>
            <w:tcW w:w="1296" w:type="dxa"/>
            <w:tcBorders>
              <w:top w:val="single" w:sz="4" w:space="0" w:color="auto"/>
              <w:left w:val="nil"/>
              <w:bottom w:val="nil"/>
              <w:right w:val="nil"/>
            </w:tcBorders>
            <w:shd w:val="clear" w:color="auto" w:fill="auto"/>
            <w:noWrap/>
            <w:vAlign w:val="bottom"/>
          </w:tcPr>
          <w:p w14:paraId="191CA71F" w14:textId="3E45E7EC"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731</w:t>
            </w:r>
          </w:p>
        </w:tc>
        <w:tc>
          <w:tcPr>
            <w:tcW w:w="1296" w:type="dxa"/>
            <w:tcBorders>
              <w:top w:val="single" w:sz="4" w:space="0" w:color="auto"/>
              <w:left w:val="nil"/>
              <w:bottom w:val="nil"/>
              <w:right w:val="nil"/>
            </w:tcBorders>
            <w:shd w:val="clear" w:color="auto" w:fill="auto"/>
            <w:noWrap/>
            <w:vAlign w:val="bottom"/>
          </w:tcPr>
          <w:p w14:paraId="7B44035D" w14:textId="1ADF2486"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186</w:t>
            </w:r>
          </w:p>
        </w:tc>
        <w:tc>
          <w:tcPr>
            <w:tcW w:w="1296" w:type="dxa"/>
            <w:tcBorders>
              <w:top w:val="single" w:sz="4" w:space="0" w:color="auto"/>
              <w:left w:val="nil"/>
              <w:bottom w:val="nil"/>
              <w:right w:val="nil"/>
            </w:tcBorders>
            <w:shd w:val="clear" w:color="auto" w:fill="auto"/>
            <w:noWrap/>
            <w:vAlign w:val="center"/>
          </w:tcPr>
          <w:p w14:paraId="7B41F2FA" w14:textId="7D88EFB5"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25.4</w:t>
            </w:r>
          </w:p>
        </w:tc>
        <w:tc>
          <w:tcPr>
            <w:tcW w:w="1296" w:type="dxa"/>
            <w:tcBorders>
              <w:top w:val="single" w:sz="4" w:space="0" w:color="auto"/>
              <w:left w:val="nil"/>
              <w:bottom w:val="nil"/>
              <w:right w:val="nil"/>
            </w:tcBorders>
            <w:shd w:val="clear" w:color="auto" w:fill="auto"/>
            <w:noWrap/>
            <w:vAlign w:val="center"/>
          </w:tcPr>
          <w:p w14:paraId="2C136C1D" w14:textId="0960FA74"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85</w:t>
            </w:r>
          </w:p>
        </w:tc>
        <w:tc>
          <w:tcPr>
            <w:tcW w:w="1296" w:type="dxa"/>
            <w:tcBorders>
              <w:top w:val="single" w:sz="4" w:space="0" w:color="auto"/>
              <w:left w:val="nil"/>
              <w:bottom w:val="nil"/>
              <w:right w:val="nil"/>
            </w:tcBorders>
            <w:shd w:val="clear" w:color="auto" w:fill="auto"/>
            <w:noWrap/>
            <w:vAlign w:val="center"/>
          </w:tcPr>
          <w:p w14:paraId="002761CA" w14:textId="6874E5D1"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15.6</w:t>
            </w:r>
          </w:p>
        </w:tc>
        <w:tc>
          <w:tcPr>
            <w:tcW w:w="1296" w:type="dxa"/>
            <w:tcBorders>
              <w:top w:val="single" w:sz="4" w:space="0" w:color="auto"/>
              <w:left w:val="nil"/>
              <w:bottom w:val="nil"/>
              <w:right w:val="nil"/>
            </w:tcBorders>
            <w:shd w:val="clear" w:color="auto" w:fill="auto"/>
            <w:noWrap/>
            <w:vAlign w:val="center"/>
          </w:tcPr>
          <w:p w14:paraId="01DF4047" w14:textId="67A16D2C"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25.4</w:t>
            </w:r>
          </w:p>
        </w:tc>
      </w:tr>
      <w:tr w:rsidR="00DF11AD" w14:paraId="45FC1825" w14:textId="77777777" w:rsidTr="00DF11AD">
        <w:trPr>
          <w:trHeight w:val="227"/>
        </w:trPr>
        <w:tc>
          <w:tcPr>
            <w:tcW w:w="1296" w:type="dxa"/>
            <w:tcBorders>
              <w:top w:val="nil"/>
              <w:left w:val="nil"/>
              <w:bottom w:val="nil"/>
              <w:right w:val="nil"/>
            </w:tcBorders>
            <w:shd w:val="clear" w:color="auto" w:fill="auto"/>
            <w:noWrap/>
            <w:vAlign w:val="center"/>
            <w:hideMark/>
          </w:tcPr>
          <w:p w14:paraId="7438CFC8"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Two</w:t>
            </w:r>
          </w:p>
        </w:tc>
        <w:tc>
          <w:tcPr>
            <w:tcW w:w="1296" w:type="dxa"/>
            <w:tcBorders>
              <w:top w:val="nil"/>
              <w:left w:val="nil"/>
              <w:bottom w:val="nil"/>
              <w:right w:val="nil"/>
            </w:tcBorders>
            <w:shd w:val="clear" w:color="auto" w:fill="auto"/>
            <w:noWrap/>
            <w:vAlign w:val="bottom"/>
          </w:tcPr>
          <w:p w14:paraId="42882950" w14:textId="36E6208E"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460</w:t>
            </w:r>
          </w:p>
        </w:tc>
        <w:tc>
          <w:tcPr>
            <w:tcW w:w="1296" w:type="dxa"/>
            <w:tcBorders>
              <w:top w:val="nil"/>
              <w:left w:val="nil"/>
              <w:bottom w:val="nil"/>
              <w:right w:val="nil"/>
            </w:tcBorders>
            <w:shd w:val="clear" w:color="auto" w:fill="auto"/>
            <w:noWrap/>
            <w:vAlign w:val="bottom"/>
          </w:tcPr>
          <w:p w14:paraId="7CA5AD10" w14:textId="357BACD2"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118</w:t>
            </w:r>
          </w:p>
        </w:tc>
        <w:tc>
          <w:tcPr>
            <w:tcW w:w="1296" w:type="dxa"/>
            <w:tcBorders>
              <w:top w:val="nil"/>
              <w:left w:val="nil"/>
              <w:bottom w:val="nil"/>
              <w:right w:val="nil"/>
            </w:tcBorders>
            <w:shd w:val="clear" w:color="auto" w:fill="auto"/>
            <w:noWrap/>
            <w:vAlign w:val="center"/>
          </w:tcPr>
          <w:p w14:paraId="7AED3831" w14:textId="64A1C7D5"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25.7</w:t>
            </w:r>
          </w:p>
        </w:tc>
        <w:tc>
          <w:tcPr>
            <w:tcW w:w="1296" w:type="dxa"/>
            <w:tcBorders>
              <w:top w:val="nil"/>
              <w:left w:val="nil"/>
              <w:bottom w:val="nil"/>
              <w:right w:val="nil"/>
            </w:tcBorders>
            <w:shd w:val="clear" w:color="auto" w:fill="auto"/>
            <w:noWrap/>
            <w:vAlign w:val="center"/>
          </w:tcPr>
          <w:p w14:paraId="7991B9E4" w14:textId="2D7C2486"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82</w:t>
            </w:r>
          </w:p>
        </w:tc>
        <w:tc>
          <w:tcPr>
            <w:tcW w:w="1296" w:type="dxa"/>
            <w:tcBorders>
              <w:top w:val="nil"/>
              <w:left w:val="nil"/>
              <w:bottom w:val="nil"/>
              <w:right w:val="nil"/>
            </w:tcBorders>
            <w:shd w:val="clear" w:color="auto" w:fill="auto"/>
            <w:noWrap/>
            <w:vAlign w:val="center"/>
          </w:tcPr>
          <w:p w14:paraId="66955709" w14:textId="0E9202F9"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24.0</w:t>
            </w:r>
          </w:p>
        </w:tc>
        <w:tc>
          <w:tcPr>
            <w:tcW w:w="1296" w:type="dxa"/>
            <w:tcBorders>
              <w:top w:val="nil"/>
              <w:left w:val="nil"/>
              <w:bottom w:val="nil"/>
              <w:right w:val="nil"/>
            </w:tcBorders>
            <w:shd w:val="clear" w:color="auto" w:fill="auto"/>
            <w:noWrap/>
            <w:vAlign w:val="center"/>
          </w:tcPr>
          <w:p w14:paraId="0A38F42D" w14:textId="1288B937"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41.6</w:t>
            </w:r>
          </w:p>
        </w:tc>
      </w:tr>
      <w:tr w:rsidR="00DF11AD" w14:paraId="4137BA01" w14:textId="77777777" w:rsidTr="00DF11AD">
        <w:trPr>
          <w:trHeight w:val="227"/>
        </w:trPr>
        <w:tc>
          <w:tcPr>
            <w:tcW w:w="1296" w:type="dxa"/>
            <w:tcBorders>
              <w:top w:val="nil"/>
              <w:left w:val="nil"/>
              <w:bottom w:val="nil"/>
              <w:right w:val="nil"/>
            </w:tcBorders>
            <w:shd w:val="clear" w:color="auto" w:fill="auto"/>
            <w:noWrap/>
            <w:vAlign w:val="center"/>
            <w:hideMark/>
          </w:tcPr>
          <w:p w14:paraId="73372D50"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Three</w:t>
            </w:r>
          </w:p>
        </w:tc>
        <w:tc>
          <w:tcPr>
            <w:tcW w:w="1296" w:type="dxa"/>
            <w:tcBorders>
              <w:top w:val="nil"/>
              <w:left w:val="nil"/>
              <w:bottom w:val="nil"/>
              <w:right w:val="nil"/>
            </w:tcBorders>
            <w:shd w:val="clear" w:color="auto" w:fill="auto"/>
            <w:noWrap/>
            <w:vAlign w:val="bottom"/>
          </w:tcPr>
          <w:p w14:paraId="26D24927" w14:textId="223633A5"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260</w:t>
            </w:r>
          </w:p>
        </w:tc>
        <w:tc>
          <w:tcPr>
            <w:tcW w:w="1296" w:type="dxa"/>
            <w:tcBorders>
              <w:top w:val="nil"/>
              <w:left w:val="nil"/>
              <w:bottom w:val="nil"/>
              <w:right w:val="nil"/>
            </w:tcBorders>
            <w:shd w:val="clear" w:color="auto" w:fill="auto"/>
            <w:noWrap/>
            <w:vAlign w:val="bottom"/>
          </w:tcPr>
          <w:p w14:paraId="6C4D3701" w14:textId="1468116B"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54</w:t>
            </w:r>
          </w:p>
        </w:tc>
        <w:tc>
          <w:tcPr>
            <w:tcW w:w="1296" w:type="dxa"/>
            <w:tcBorders>
              <w:top w:val="nil"/>
              <w:left w:val="nil"/>
              <w:bottom w:val="nil"/>
              <w:right w:val="nil"/>
            </w:tcBorders>
            <w:shd w:val="clear" w:color="auto" w:fill="auto"/>
            <w:noWrap/>
            <w:vAlign w:val="center"/>
          </w:tcPr>
          <w:p w14:paraId="69441965" w14:textId="7770EC7E"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20.8</w:t>
            </w:r>
          </w:p>
        </w:tc>
        <w:tc>
          <w:tcPr>
            <w:tcW w:w="1296" w:type="dxa"/>
            <w:tcBorders>
              <w:top w:val="nil"/>
              <w:left w:val="nil"/>
              <w:bottom w:val="nil"/>
              <w:right w:val="nil"/>
            </w:tcBorders>
            <w:shd w:val="clear" w:color="auto" w:fill="auto"/>
            <w:noWrap/>
            <w:vAlign w:val="center"/>
          </w:tcPr>
          <w:p w14:paraId="748F3797" w14:textId="422D8793"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45</w:t>
            </w:r>
          </w:p>
        </w:tc>
        <w:tc>
          <w:tcPr>
            <w:tcW w:w="1296" w:type="dxa"/>
            <w:tcBorders>
              <w:top w:val="nil"/>
              <w:left w:val="nil"/>
              <w:bottom w:val="nil"/>
              <w:right w:val="nil"/>
            </w:tcBorders>
            <w:shd w:val="clear" w:color="auto" w:fill="auto"/>
            <w:noWrap/>
            <w:vAlign w:val="center"/>
          </w:tcPr>
          <w:p w14:paraId="35549E62" w14:textId="67B6D829"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21.8</w:t>
            </w:r>
          </w:p>
        </w:tc>
        <w:tc>
          <w:tcPr>
            <w:tcW w:w="1296" w:type="dxa"/>
            <w:tcBorders>
              <w:top w:val="nil"/>
              <w:left w:val="nil"/>
              <w:bottom w:val="nil"/>
              <w:right w:val="nil"/>
            </w:tcBorders>
            <w:shd w:val="clear" w:color="auto" w:fill="auto"/>
            <w:noWrap/>
            <w:vAlign w:val="center"/>
          </w:tcPr>
          <w:p w14:paraId="0A4CD944" w14:textId="6C8F7ADA"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49.0</w:t>
            </w:r>
          </w:p>
        </w:tc>
      </w:tr>
      <w:tr w:rsidR="00DF11AD" w14:paraId="7BF1C17F" w14:textId="77777777" w:rsidTr="00DF11AD">
        <w:trPr>
          <w:trHeight w:val="227"/>
        </w:trPr>
        <w:tc>
          <w:tcPr>
            <w:tcW w:w="1296" w:type="dxa"/>
            <w:tcBorders>
              <w:top w:val="nil"/>
              <w:left w:val="nil"/>
              <w:bottom w:val="nil"/>
              <w:right w:val="nil"/>
            </w:tcBorders>
            <w:shd w:val="clear" w:color="auto" w:fill="auto"/>
            <w:noWrap/>
            <w:vAlign w:val="center"/>
            <w:hideMark/>
          </w:tcPr>
          <w:p w14:paraId="11E789F7"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Four</w:t>
            </w:r>
          </w:p>
        </w:tc>
        <w:tc>
          <w:tcPr>
            <w:tcW w:w="1296" w:type="dxa"/>
            <w:tcBorders>
              <w:top w:val="nil"/>
              <w:left w:val="nil"/>
              <w:bottom w:val="nil"/>
              <w:right w:val="nil"/>
            </w:tcBorders>
            <w:shd w:val="clear" w:color="auto" w:fill="auto"/>
            <w:noWrap/>
            <w:vAlign w:val="bottom"/>
          </w:tcPr>
          <w:p w14:paraId="7AA474C9" w14:textId="5768F4DB"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161</w:t>
            </w:r>
          </w:p>
        </w:tc>
        <w:tc>
          <w:tcPr>
            <w:tcW w:w="1296" w:type="dxa"/>
            <w:tcBorders>
              <w:top w:val="nil"/>
              <w:left w:val="nil"/>
              <w:bottom w:val="nil"/>
              <w:right w:val="nil"/>
            </w:tcBorders>
            <w:shd w:val="clear" w:color="auto" w:fill="auto"/>
            <w:noWrap/>
            <w:vAlign w:val="bottom"/>
          </w:tcPr>
          <w:p w14:paraId="12213BBB" w14:textId="7086528B"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31</w:t>
            </w:r>
          </w:p>
        </w:tc>
        <w:tc>
          <w:tcPr>
            <w:tcW w:w="1296" w:type="dxa"/>
            <w:tcBorders>
              <w:top w:val="nil"/>
              <w:left w:val="nil"/>
              <w:bottom w:val="nil"/>
              <w:right w:val="nil"/>
            </w:tcBorders>
            <w:shd w:val="clear" w:color="auto" w:fill="auto"/>
            <w:noWrap/>
            <w:vAlign w:val="center"/>
          </w:tcPr>
          <w:p w14:paraId="1FFD4063" w14:textId="6C19884B"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19.3</w:t>
            </w:r>
          </w:p>
        </w:tc>
        <w:tc>
          <w:tcPr>
            <w:tcW w:w="1296" w:type="dxa"/>
            <w:tcBorders>
              <w:top w:val="nil"/>
              <w:left w:val="nil"/>
              <w:bottom w:val="nil"/>
              <w:right w:val="nil"/>
            </w:tcBorders>
            <w:shd w:val="clear" w:color="auto" w:fill="auto"/>
            <w:noWrap/>
            <w:vAlign w:val="center"/>
          </w:tcPr>
          <w:p w14:paraId="519BEC6E" w14:textId="2A8E915F" w:rsidR="00DF11AD" w:rsidRDefault="00DF11AD" w:rsidP="00DF11AD">
            <w:pPr>
              <w:spacing w:after="0" w:line="276" w:lineRule="auto"/>
              <w:jc w:val="right"/>
              <w:rPr>
                <w:rFonts w:ascii="Arial" w:hAnsi="Arial" w:cs="Arial"/>
                <w:color w:val="000000"/>
                <w:sz w:val="16"/>
                <w:szCs w:val="16"/>
              </w:rPr>
            </w:pPr>
            <w:r>
              <w:rPr>
                <w:rFonts w:ascii="Arial" w:hAnsi="Arial" w:cs="Arial"/>
                <w:color w:val="000000"/>
                <w:sz w:val="16"/>
                <w:szCs w:val="16"/>
              </w:rPr>
              <w:t>33</w:t>
            </w:r>
          </w:p>
        </w:tc>
        <w:tc>
          <w:tcPr>
            <w:tcW w:w="1296" w:type="dxa"/>
            <w:tcBorders>
              <w:top w:val="nil"/>
              <w:left w:val="nil"/>
              <w:bottom w:val="nil"/>
              <w:right w:val="nil"/>
            </w:tcBorders>
            <w:shd w:val="clear" w:color="auto" w:fill="auto"/>
            <w:noWrap/>
            <w:vAlign w:val="center"/>
          </w:tcPr>
          <w:p w14:paraId="65CA2953" w14:textId="3A6BA12F"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25.4</w:t>
            </w:r>
          </w:p>
        </w:tc>
        <w:tc>
          <w:tcPr>
            <w:tcW w:w="1296" w:type="dxa"/>
            <w:tcBorders>
              <w:top w:val="nil"/>
              <w:left w:val="nil"/>
              <w:bottom w:val="nil"/>
              <w:right w:val="nil"/>
            </w:tcBorders>
            <w:shd w:val="clear" w:color="auto" w:fill="auto"/>
            <w:noWrap/>
            <w:vAlign w:val="center"/>
          </w:tcPr>
          <w:p w14:paraId="17A04E8A" w14:textId="4E136057"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53.2</w:t>
            </w:r>
          </w:p>
        </w:tc>
      </w:tr>
      <w:tr w:rsidR="00DF11AD" w14:paraId="127B6A96" w14:textId="77777777" w:rsidTr="00DF11AD">
        <w:trPr>
          <w:trHeight w:val="227"/>
        </w:trPr>
        <w:tc>
          <w:tcPr>
            <w:tcW w:w="1296" w:type="dxa"/>
            <w:tcBorders>
              <w:top w:val="nil"/>
              <w:left w:val="nil"/>
              <w:bottom w:val="single" w:sz="12" w:space="0" w:color="auto"/>
              <w:right w:val="nil"/>
            </w:tcBorders>
            <w:shd w:val="clear" w:color="auto" w:fill="auto"/>
            <w:noWrap/>
            <w:vAlign w:val="center"/>
            <w:hideMark/>
          </w:tcPr>
          <w:p w14:paraId="04991C47" w14:textId="77777777" w:rsidR="00DF11AD" w:rsidRDefault="00DF11AD" w:rsidP="00DF11AD">
            <w:pPr>
              <w:spacing w:after="0" w:line="276" w:lineRule="auto"/>
              <w:rPr>
                <w:rFonts w:ascii="Arial" w:hAnsi="Arial" w:cs="Arial"/>
                <w:color w:val="000000"/>
                <w:sz w:val="16"/>
                <w:szCs w:val="16"/>
              </w:rPr>
            </w:pPr>
            <w:r>
              <w:rPr>
                <w:rFonts w:ascii="Arial" w:hAnsi="Arial" w:cs="Arial"/>
                <w:color w:val="000000"/>
                <w:sz w:val="16"/>
                <w:szCs w:val="16"/>
              </w:rPr>
              <w:t>Five</w:t>
            </w:r>
          </w:p>
        </w:tc>
        <w:tc>
          <w:tcPr>
            <w:tcW w:w="1296" w:type="dxa"/>
            <w:tcBorders>
              <w:top w:val="nil"/>
              <w:left w:val="nil"/>
              <w:bottom w:val="single" w:sz="12" w:space="0" w:color="auto"/>
              <w:right w:val="nil"/>
            </w:tcBorders>
            <w:shd w:val="clear" w:color="auto" w:fill="auto"/>
            <w:noWrap/>
            <w:vAlign w:val="bottom"/>
          </w:tcPr>
          <w:p w14:paraId="00DE7C14" w14:textId="5863C265"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97</w:t>
            </w:r>
          </w:p>
        </w:tc>
        <w:tc>
          <w:tcPr>
            <w:tcW w:w="1296" w:type="dxa"/>
            <w:tcBorders>
              <w:top w:val="nil"/>
              <w:left w:val="nil"/>
              <w:bottom w:val="single" w:sz="12" w:space="0" w:color="auto"/>
              <w:right w:val="nil"/>
            </w:tcBorders>
            <w:shd w:val="clear" w:color="auto" w:fill="auto"/>
            <w:noWrap/>
            <w:vAlign w:val="bottom"/>
          </w:tcPr>
          <w:p w14:paraId="724ACC27" w14:textId="06257FE6"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28</w:t>
            </w:r>
          </w:p>
        </w:tc>
        <w:tc>
          <w:tcPr>
            <w:tcW w:w="1296" w:type="dxa"/>
            <w:tcBorders>
              <w:top w:val="nil"/>
              <w:left w:val="nil"/>
              <w:bottom w:val="single" w:sz="12" w:space="0" w:color="auto"/>
              <w:right w:val="nil"/>
            </w:tcBorders>
            <w:shd w:val="clear" w:color="auto" w:fill="auto"/>
            <w:noWrap/>
            <w:vAlign w:val="center"/>
          </w:tcPr>
          <w:p w14:paraId="3A86D98C" w14:textId="67A860E9"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28.9</w:t>
            </w:r>
          </w:p>
        </w:tc>
        <w:tc>
          <w:tcPr>
            <w:tcW w:w="1296" w:type="dxa"/>
            <w:tcBorders>
              <w:top w:val="nil"/>
              <w:left w:val="nil"/>
              <w:bottom w:val="single" w:sz="12" w:space="0" w:color="auto"/>
              <w:right w:val="nil"/>
            </w:tcBorders>
            <w:shd w:val="clear" w:color="auto" w:fill="auto"/>
            <w:noWrap/>
            <w:vAlign w:val="center"/>
          </w:tcPr>
          <w:p w14:paraId="6254AC18" w14:textId="419AB9FD"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13</w:t>
            </w:r>
          </w:p>
        </w:tc>
        <w:tc>
          <w:tcPr>
            <w:tcW w:w="1296" w:type="dxa"/>
            <w:tcBorders>
              <w:top w:val="nil"/>
              <w:left w:val="nil"/>
              <w:bottom w:val="single" w:sz="12" w:space="0" w:color="auto"/>
              <w:right w:val="nil"/>
            </w:tcBorders>
            <w:shd w:val="clear" w:color="auto" w:fill="auto"/>
            <w:noWrap/>
            <w:vAlign w:val="center"/>
          </w:tcPr>
          <w:p w14:paraId="655B058F" w14:textId="67DDF59A"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18.8</w:t>
            </w:r>
          </w:p>
        </w:tc>
        <w:tc>
          <w:tcPr>
            <w:tcW w:w="1296" w:type="dxa"/>
            <w:tcBorders>
              <w:top w:val="nil"/>
              <w:left w:val="nil"/>
              <w:bottom w:val="single" w:sz="12" w:space="0" w:color="auto"/>
              <w:right w:val="nil"/>
            </w:tcBorders>
            <w:shd w:val="clear" w:color="auto" w:fill="auto"/>
            <w:noWrap/>
            <w:vAlign w:val="center"/>
          </w:tcPr>
          <w:p w14:paraId="6FF12DEA" w14:textId="4923F4DA" w:rsidR="00DF11AD" w:rsidRDefault="00DF11AD" w:rsidP="00DF11AD">
            <w:pPr>
              <w:spacing w:after="0" w:line="276" w:lineRule="auto"/>
              <w:jc w:val="right"/>
              <w:rPr>
                <w:rFonts w:ascii="Arial" w:hAnsi="Arial" w:cs="Arial"/>
                <w:color w:val="000000"/>
                <w:sz w:val="16"/>
                <w:szCs w:val="16"/>
              </w:rPr>
            </w:pPr>
            <w:r>
              <w:rPr>
                <w:rFonts w:ascii="Arial" w:hAnsi="Arial" w:cs="Arial"/>
                <w:sz w:val="16"/>
                <w:szCs w:val="16"/>
              </w:rPr>
              <w:t>57.0</w:t>
            </w:r>
          </w:p>
        </w:tc>
      </w:tr>
    </w:tbl>
    <w:p w14:paraId="05F1959D" w14:textId="77777777" w:rsidR="00EC6EB4" w:rsidRDefault="00EC6EB4" w:rsidP="00EC6EB4">
      <w:pPr>
        <w:pStyle w:val="TableSourcefootnotes"/>
        <w:tabs>
          <w:tab w:val="clear" w:pos="397"/>
          <w:tab w:val="left" w:pos="284"/>
        </w:tabs>
        <w:spacing w:before="0" w:after="0" w:line="240" w:lineRule="auto"/>
      </w:pPr>
    </w:p>
    <w:p w14:paraId="38B228EB" w14:textId="64BE185D" w:rsidR="00AB5B25" w:rsidRDefault="00AB5B25" w:rsidP="00AB5B25">
      <w:pPr>
        <w:pStyle w:val="TableSourcefootnotes"/>
        <w:numPr>
          <w:ilvl w:val="0"/>
          <w:numId w:val="38"/>
        </w:numPr>
        <w:tabs>
          <w:tab w:val="clear" w:pos="397"/>
          <w:tab w:val="left" w:pos="284"/>
        </w:tabs>
        <w:spacing w:before="0" w:after="0" w:line="240" w:lineRule="auto"/>
        <w:ind w:left="284" w:hanging="284"/>
      </w:pPr>
      <w:r>
        <w:rPr>
          <w:iCs/>
        </w:rPr>
        <w:t>F</w:t>
      </w:r>
      <w:r w:rsidRPr="00E217FF">
        <w:rPr>
          <w:iCs/>
        </w:rPr>
        <w:t>reeze-all</w:t>
      </w:r>
      <w:r>
        <w:t xml:space="preserve"> cycles are fresh ART treatment cycles where all oocytes or embryos are cryopreserved, and an embryo transfer does not take place.</w:t>
      </w:r>
    </w:p>
    <w:p w14:paraId="3D11F71C" w14:textId="7A4144AE" w:rsidR="00FA33C7" w:rsidRPr="00A379EC" w:rsidRDefault="00FA33C7" w:rsidP="00AB5B25">
      <w:pPr>
        <w:pStyle w:val="TableSourcefootnotes"/>
        <w:numPr>
          <w:ilvl w:val="0"/>
          <w:numId w:val="38"/>
        </w:numPr>
        <w:tabs>
          <w:tab w:val="clear" w:pos="397"/>
          <w:tab w:val="left" w:pos="284"/>
        </w:tabs>
        <w:spacing w:before="0" w:after="0" w:line="240" w:lineRule="auto"/>
        <w:ind w:left="284" w:hanging="284"/>
      </w:pPr>
      <w:r>
        <w:t>Cycle one represents a woman’s first autologous (</w:t>
      </w:r>
      <w:r w:rsidR="00971360">
        <w:t>excluding</w:t>
      </w:r>
      <w:r>
        <w:t xml:space="preserve"> </w:t>
      </w:r>
      <w:r w:rsidRPr="00E217FF">
        <w:rPr>
          <w:iCs/>
        </w:rPr>
        <w:t>freeze-all</w:t>
      </w:r>
      <w:r>
        <w:t>)</w:t>
      </w:r>
      <w:r w:rsidRPr="00A379EC">
        <w:t xml:space="preserve"> fresh ART treatment cycle between 1</w:t>
      </w:r>
      <w:r w:rsidRPr="00E217FF">
        <w:rPr>
          <w:vertAlign w:val="superscript"/>
        </w:rPr>
        <w:t>st</w:t>
      </w:r>
      <w:r w:rsidRPr="00A379EC">
        <w:t xml:space="preserve"> January </w:t>
      </w:r>
      <w:r w:rsidR="00881FD0">
        <w:t>201</w:t>
      </w:r>
      <w:r w:rsidR="00A6384A">
        <w:t>9</w:t>
      </w:r>
      <w:r w:rsidR="00881FD0">
        <w:t xml:space="preserve"> </w:t>
      </w:r>
      <w:r w:rsidRPr="00A379EC">
        <w:t>and 31</w:t>
      </w:r>
      <w:r w:rsidRPr="00E217FF">
        <w:rPr>
          <w:vertAlign w:val="superscript"/>
        </w:rPr>
        <w:t>st</w:t>
      </w:r>
      <w:r w:rsidRPr="00A379EC">
        <w:t xml:space="preserve"> December </w:t>
      </w:r>
      <w:r w:rsidR="00881FD0">
        <w:t>201</w:t>
      </w:r>
      <w:r w:rsidR="00A6384A">
        <w:t>9</w:t>
      </w:r>
      <w:r>
        <w:t xml:space="preserve">. Cycles two to five could be either a fresh or thaw cycle (excluding </w:t>
      </w:r>
      <w:r w:rsidRPr="00E217FF">
        <w:rPr>
          <w:iCs/>
        </w:rPr>
        <w:t>freeze-all</w:t>
      </w:r>
      <w:r w:rsidRPr="00C50C0D">
        <w:rPr>
          <w:iCs/>
        </w:rPr>
        <w:t xml:space="preserve"> cycles</w:t>
      </w:r>
      <w:r>
        <w:t>)</w:t>
      </w:r>
      <w:r w:rsidRPr="00A379EC">
        <w:t xml:space="preserve"> </w:t>
      </w:r>
      <w:r>
        <w:t>undertaken by a woman</w:t>
      </w:r>
      <w:r w:rsidRPr="00A379EC">
        <w:t xml:space="preserve"> until 31</w:t>
      </w:r>
      <w:r w:rsidRPr="00E217FF">
        <w:rPr>
          <w:vertAlign w:val="superscript"/>
        </w:rPr>
        <w:t>st</w:t>
      </w:r>
      <w:r w:rsidRPr="00A379EC">
        <w:t xml:space="preserve"> December </w:t>
      </w:r>
      <w:r w:rsidR="00881FD0">
        <w:t>202</w:t>
      </w:r>
      <w:r w:rsidR="00A6384A">
        <w:t>1</w:t>
      </w:r>
      <w:r w:rsidR="00881FD0" w:rsidRPr="00A379EC">
        <w:t xml:space="preserve"> </w:t>
      </w:r>
      <w:r w:rsidRPr="00A379EC">
        <w:t xml:space="preserve">or </w:t>
      </w:r>
      <w:r w:rsidR="00EC42AE">
        <w:t>birth</w:t>
      </w:r>
      <w:r w:rsidRPr="00A379EC">
        <w:t xml:space="preserve"> of a liveborn baby up to </w:t>
      </w:r>
      <w:r>
        <w:t xml:space="preserve">and including </w:t>
      </w:r>
      <w:r w:rsidR="00783BBD">
        <w:t>31</w:t>
      </w:r>
      <w:r w:rsidR="00783BBD" w:rsidRPr="00E217FF">
        <w:rPr>
          <w:vertAlign w:val="superscript"/>
        </w:rPr>
        <w:t>st</w:t>
      </w:r>
      <w:r w:rsidR="00783BBD">
        <w:t xml:space="preserve"> October </w:t>
      </w:r>
      <w:r w:rsidR="00881FD0">
        <w:t>202</w:t>
      </w:r>
      <w:r w:rsidR="00A6384A">
        <w:t>2</w:t>
      </w:r>
      <w:r w:rsidRPr="00A379EC">
        <w:t xml:space="preserve">. </w:t>
      </w:r>
    </w:p>
    <w:p w14:paraId="7541B267" w14:textId="4E8FA112" w:rsidR="00FA33C7" w:rsidRPr="00A379EC" w:rsidRDefault="00FA33C7" w:rsidP="00AB5B25">
      <w:pPr>
        <w:pStyle w:val="TableSourcefootnotes"/>
        <w:numPr>
          <w:ilvl w:val="0"/>
          <w:numId w:val="38"/>
        </w:numPr>
        <w:spacing w:before="0" w:after="0" w:line="240" w:lineRule="auto"/>
        <w:ind w:left="284" w:hanging="284"/>
      </w:pPr>
      <w:r w:rsidRPr="00A379EC">
        <w:t xml:space="preserve">A live </w:t>
      </w:r>
      <w:r w:rsidR="00EC42AE">
        <w:t>birth</w:t>
      </w:r>
      <w:r w:rsidRPr="00A379EC">
        <w:t xml:space="preserve"> is the </w:t>
      </w:r>
      <w:r w:rsidR="00EC42AE">
        <w:t>birth</w:t>
      </w:r>
      <w:r w:rsidRPr="00A379EC">
        <w:t xml:space="preserve"> of one or more liveborn infants, with the birth of twins or higher order multiple</w:t>
      </w:r>
      <w:r>
        <w:t xml:space="preserve">s counted as one live </w:t>
      </w:r>
      <w:r w:rsidR="00EC42AE">
        <w:t>birth</w:t>
      </w:r>
      <w:r>
        <w:t>.</w:t>
      </w:r>
    </w:p>
    <w:p w14:paraId="74661353" w14:textId="1E051D47" w:rsidR="00FA33C7" w:rsidRPr="00A379EC" w:rsidRDefault="00FA33C7" w:rsidP="00AB5B25">
      <w:pPr>
        <w:pStyle w:val="TableSourcefootnotes"/>
        <w:numPr>
          <w:ilvl w:val="0"/>
          <w:numId w:val="38"/>
        </w:numPr>
        <w:tabs>
          <w:tab w:val="clear" w:pos="397"/>
          <w:tab w:val="left" w:pos="284"/>
        </w:tabs>
        <w:spacing w:before="0" w:after="0" w:line="240" w:lineRule="auto"/>
        <w:ind w:left="284" w:hanging="284"/>
      </w:pPr>
      <w:r w:rsidRPr="00A379EC">
        <w:t xml:space="preserve">The cycle-specific live </w:t>
      </w:r>
      <w:r w:rsidR="00EC42AE">
        <w:t>birth</w:t>
      </w:r>
      <w:r w:rsidRPr="00A379EC">
        <w:t xml:space="preserve"> rate is calculated as the number of live </w:t>
      </w:r>
      <w:r w:rsidR="00C736CE">
        <w:t>births</w:t>
      </w:r>
      <w:r w:rsidRPr="00A379EC">
        <w:t xml:space="preserve"> resulting from a specific ‘cycle number’ divided by the number of women who undertook that same ‘cycle number’. </w:t>
      </w:r>
    </w:p>
    <w:p w14:paraId="0B004560" w14:textId="34F4CC82" w:rsidR="00FA33C7" w:rsidRPr="00A379EC" w:rsidRDefault="00FA33C7" w:rsidP="00AB5B25">
      <w:pPr>
        <w:pStyle w:val="TableSourcefootnotes"/>
        <w:numPr>
          <w:ilvl w:val="0"/>
          <w:numId w:val="38"/>
        </w:numPr>
        <w:tabs>
          <w:tab w:val="clear" w:pos="397"/>
          <w:tab w:val="left" w:pos="284"/>
        </w:tabs>
        <w:spacing w:before="0" w:after="0" w:line="240" w:lineRule="auto"/>
        <w:ind w:left="284" w:hanging="284"/>
      </w:pPr>
      <w:r w:rsidRPr="00A379EC">
        <w:t>The non-progression rate for a specific ‘cycle number’ is calculated as the number of women who did not return for further ART treatment cycles before 31</w:t>
      </w:r>
      <w:r w:rsidRPr="00E217FF">
        <w:rPr>
          <w:vertAlign w:val="superscript"/>
        </w:rPr>
        <w:t>st</w:t>
      </w:r>
      <w:r w:rsidRPr="00A379EC">
        <w:t xml:space="preserve"> December </w:t>
      </w:r>
      <w:r w:rsidR="00881FD0">
        <w:t>202</w:t>
      </w:r>
      <w:r w:rsidR="00A6384A">
        <w:t>1</w:t>
      </w:r>
      <w:r w:rsidR="00881FD0" w:rsidRPr="00A379EC">
        <w:t xml:space="preserve"> </w:t>
      </w:r>
      <w:r w:rsidRPr="00A379EC">
        <w:t xml:space="preserve">divided by the number of women who did not have a live </w:t>
      </w:r>
      <w:r w:rsidR="00EC42AE">
        <w:t>birth</w:t>
      </w:r>
      <w:r w:rsidRPr="00A379EC">
        <w:t xml:space="preserve"> in that ‘cycle number’. </w:t>
      </w:r>
    </w:p>
    <w:p w14:paraId="6AFABAC2" w14:textId="460B6189" w:rsidR="00C16CAB" w:rsidRDefault="00FA33C7" w:rsidP="00AB5B25">
      <w:pPr>
        <w:pStyle w:val="TableSourcefootnotes"/>
        <w:numPr>
          <w:ilvl w:val="0"/>
          <w:numId w:val="38"/>
        </w:numPr>
        <w:spacing w:before="0" w:after="0" w:line="240" w:lineRule="auto"/>
        <w:ind w:left="284" w:hanging="284"/>
      </w:pPr>
      <w:r w:rsidRPr="00A379EC">
        <w:t xml:space="preserve">The cumulative live </w:t>
      </w:r>
      <w:r w:rsidR="00EC42AE">
        <w:t>birth</w:t>
      </w:r>
      <w:r w:rsidRPr="00A379EC">
        <w:t xml:space="preserve"> rate for a specific ‘cycle number’ is calculated as the total number of live </w:t>
      </w:r>
      <w:r w:rsidR="00C736CE">
        <w:t>births</w:t>
      </w:r>
      <w:r w:rsidRPr="00A379EC">
        <w:t xml:space="preserve"> following this ‘cycle number’ and all previous cycles divided by the total number of women who started their first autologous fresh ART treatme</w:t>
      </w:r>
      <w:r>
        <w:t>nt cycle between 1</w:t>
      </w:r>
      <w:r w:rsidRPr="00E217FF">
        <w:rPr>
          <w:vertAlign w:val="superscript"/>
        </w:rPr>
        <w:t>st</w:t>
      </w:r>
      <w:r>
        <w:t xml:space="preserve"> January </w:t>
      </w:r>
      <w:r w:rsidR="00881FD0">
        <w:t>201</w:t>
      </w:r>
      <w:r w:rsidR="00A6384A">
        <w:t>9</w:t>
      </w:r>
      <w:r w:rsidR="00881FD0" w:rsidRPr="00A379EC">
        <w:t xml:space="preserve"> </w:t>
      </w:r>
      <w:r w:rsidRPr="00A379EC">
        <w:t>and 31</w:t>
      </w:r>
      <w:r w:rsidRPr="00E217FF">
        <w:rPr>
          <w:vertAlign w:val="superscript"/>
        </w:rPr>
        <w:t>st</w:t>
      </w:r>
      <w:r w:rsidRPr="00A379EC">
        <w:t xml:space="preserve"> December </w:t>
      </w:r>
      <w:r w:rsidR="00881FD0">
        <w:t>201</w:t>
      </w:r>
      <w:r w:rsidR="00A6384A">
        <w:t>9</w:t>
      </w:r>
      <w:r w:rsidRPr="00A379EC">
        <w:t xml:space="preserve">. </w:t>
      </w:r>
    </w:p>
    <w:p w14:paraId="7EEC6B11" w14:textId="77777777" w:rsidR="005E3A7E" w:rsidRDefault="005E3A7E" w:rsidP="005E3A7E">
      <w:pPr>
        <w:pStyle w:val="TableSourcefootnotes"/>
        <w:tabs>
          <w:tab w:val="clear" w:pos="397"/>
          <w:tab w:val="left" w:pos="142"/>
        </w:tabs>
        <w:spacing w:before="0" w:after="0" w:line="240" w:lineRule="auto"/>
        <w:rPr>
          <w:i/>
          <w:iCs/>
        </w:rPr>
      </w:pPr>
    </w:p>
    <w:p w14:paraId="4B7BEC6F" w14:textId="7B07E5EC" w:rsidR="00FA33C7" w:rsidRDefault="00FA33C7" w:rsidP="005E3A7E">
      <w:pPr>
        <w:pStyle w:val="TableSourcefootnotes"/>
        <w:tabs>
          <w:tab w:val="clear" w:pos="397"/>
          <w:tab w:val="left" w:pos="142"/>
        </w:tabs>
        <w:spacing w:before="0" w:after="0" w:line="240" w:lineRule="auto"/>
      </w:pPr>
      <w:r w:rsidRPr="00A379EC">
        <w:rPr>
          <w:i/>
          <w:iCs/>
        </w:rPr>
        <w:t>Note</w:t>
      </w:r>
      <w:r w:rsidRPr="00A379EC">
        <w:t>:</w:t>
      </w:r>
      <w:r w:rsidR="005E3A7E">
        <w:t xml:space="preserve"> </w:t>
      </w:r>
      <w:r w:rsidRPr="00A379EC">
        <w:t xml:space="preserve">Further treatment cycles after the </w:t>
      </w:r>
      <w:r w:rsidR="009F7EEC">
        <w:t>fifth</w:t>
      </w:r>
      <w:r w:rsidR="009F7EEC" w:rsidRPr="00A379EC">
        <w:t xml:space="preserve"> </w:t>
      </w:r>
      <w:r w:rsidRPr="00A379EC">
        <w:t xml:space="preserve">cycle and resulting live </w:t>
      </w:r>
      <w:r w:rsidR="00C736CE">
        <w:t>births</w:t>
      </w:r>
      <w:r w:rsidRPr="00A379EC">
        <w:t xml:space="preserve"> are not presented in this table due to small numbers. Data should be interpreted with caution due to small numbers in certain </w:t>
      </w:r>
      <w:r w:rsidRPr="00BD7D19">
        <w:t>cells and measure</w:t>
      </w:r>
      <w:r>
        <w:t>s</w:t>
      </w:r>
      <w:r w:rsidRPr="00BD7D19">
        <w:t xml:space="preserve"> of statistical variance are not supplied.</w:t>
      </w:r>
    </w:p>
    <w:p w14:paraId="7B678F84" w14:textId="77777777" w:rsidR="00EC6EB4" w:rsidRDefault="00EC6EB4" w:rsidP="00FA33C7">
      <w:pPr>
        <w:rPr>
          <w:b/>
          <w:bCs/>
        </w:rPr>
      </w:pPr>
    </w:p>
    <w:p w14:paraId="6C2A419A" w14:textId="5CB41BE1" w:rsidR="00FA33C7" w:rsidRDefault="00FA33C7" w:rsidP="00FA33C7">
      <w:r>
        <w:rPr>
          <w:b/>
          <w:bCs/>
        </w:rPr>
        <w:br w:type="page"/>
      </w:r>
    </w:p>
    <w:p w14:paraId="28ADDFDE" w14:textId="45BBEF02" w:rsidR="00F23A58" w:rsidRPr="00F23A58" w:rsidRDefault="00F23A58" w:rsidP="00B54834">
      <w:pPr>
        <w:pStyle w:val="Caption"/>
        <w:rPr>
          <w:lang w:eastAsia="en-AU"/>
        </w:rPr>
      </w:pPr>
      <w:bookmarkStart w:id="408" w:name="_Toc158026583"/>
      <w:r w:rsidRPr="00F23A58">
        <w:rPr>
          <w:lang w:eastAsia="en-AU"/>
        </w:rPr>
        <w:lastRenderedPageBreak/>
        <w:t>Table 34: Cycle-specific and cumulative live birth rates for women aged 40 years and over who started their first autologous fresh cycle (excluding freeze-all cycles</w:t>
      </w:r>
      <w:r w:rsidRPr="002576D9">
        <w:rPr>
          <w:vertAlign w:val="superscript"/>
          <w:lang w:eastAsia="en-AU"/>
        </w:rPr>
        <w:t>(</w:t>
      </w:r>
      <w:r w:rsidR="002B68A7">
        <w:rPr>
          <w:vertAlign w:val="superscript"/>
          <w:lang w:eastAsia="en-AU"/>
        </w:rPr>
        <w:t>a</w:t>
      </w:r>
      <w:r w:rsidRPr="002576D9">
        <w:rPr>
          <w:vertAlign w:val="superscript"/>
          <w:lang w:eastAsia="en-AU"/>
        </w:rPr>
        <w:t>)</w:t>
      </w:r>
      <w:r w:rsidRPr="00F23A58">
        <w:rPr>
          <w:lang w:eastAsia="en-AU"/>
        </w:rPr>
        <w:t>) between 1st January 201</w:t>
      </w:r>
      <w:r w:rsidR="002E7621">
        <w:rPr>
          <w:lang w:eastAsia="en-AU"/>
        </w:rPr>
        <w:t>9</w:t>
      </w:r>
      <w:r w:rsidRPr="00F23A58">
        <w:rPr>
          <w:lang w:eastAsia="en-AU"/>
        </w:rPr>
        <w:t xml:space="preserve"> and 31st December 201</w:t>
      </w:r>
      <w:r w:rsidR="002E7621">
        <w:rPr>
          <w:lang w:eastAsia="en-AU"/>
        </w:rPr>
        <w:t>9</w:t>
      </w:r>
      <w:r w:rsidRPr="00F23A58">
        <w:rPr>
          <w:lang w:eastAsia="en-AU"/>
        </w:rPr>
        <w:t>, New Zealand, 201</w:t>
      </w:r>
      <w:r w:rsidR="002E7621">
        <w:rPr>
          <w:lang w:eastAsia="en-AU"/>
        </w:rPr>
        <w:t>9</w:t>
      </w:r>
      <w:r w:rsidRPr="00F23A58">
        <w:rPr>
          <w:lang w:eastAsia="en-AU"/>
        </w:rPr>
        <w:t>-202</w:t>
      </w:r>
      <w:r w:rsidR="002E7621">
        <w:rPr>
          <w:lang w:eastAsia="en-AU"/>
        </w:rPr>
        <w:t>1</w:t>
      </w:r>
      <w:bookmarkEnd w:id="408"/>
    </w:p>
    <w:tbl>
      <w:tblPr>
        <w:tblW w:w="9072" w:type="dxa"/>
        <w:tblLayout w:type="fixed"/>
        <w:tblCellMar>
          <w:top w:w="17" w:type="dxa"/>
          <w:left w:w="17" w:type="dxa"/>
          <w:bottom w:w="17" w:type="dxa"/>
          <w:right w:w="17" w:type="dxa"/>
        </w:tblCellMar>
        <w:tblLook w:val="04A0" w:firstRow="1" w:lastRow="0" w:firstColumn="1" w:lastColumn="0" w:noHBand="0" w:noVBand="1"/>
      </w:tblPr>
      <w:tblGrid>
        <w:gridCol w:w="1296"/>
        <w:gridCol w:w="1296"/>
        <w:gridCol w:w="1296"/>
        <w:gridCol w:w="1296"/>
        <w:gridCol w:w="1296"/>
        <w:gridCol w:w="1296"/>
        <w:gridCol w:w="1296"/>
      </w:tblGrid>
      <w:tr w:rsidR="00F23A58" w:rsidRPr="00B55251" w14:paraId="27E1CE1D" w14:textId="77777777" w:rsidTr="001F6C35">
        <w:trPr>
          <w:trHeight w:val="227"/>
        </w:trPr>
        <w:tc>
          <w:tcPr>
            <w:tcW w:w="1296" w:type="dxa"/>
            <w:tcBorders>
              <w:top w:val="single" w:sz="12" w:space="0" w:color="auto"/>
              <w:left w:val="nil"/>
              <w:bottom w:val="single" w:sz="4" w:space="0" w:color="auto"/>
              <w:right w:val="nil"/>
            </w:tcBorders>
            <w:shd w:val="clear" w:color="auto" w:fill="auto"/>
            <w:vAlign w:val="bottom"/>
            <w:hideMark/>
          </w:tcPr>
          <w:p w14:paraId="31720744" w14:textId="11C6A7BF" w:rsidR="00F23A58" w:rsidRPr="00B55251" w:rsidRDefault="00F23A58" w:rsidP="001F6C35">
            <w:pPr>
              <w:spacing w:after="0" w:line="276" w:lineRule="auto"/>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Cycle number</w:t>
            </w:r>
            <w:r w:rsidRPr="00B55251">
              <w:rPr>
                <w:rFonts w:ascii="Arial" w:eastAsia="Times New Roman" w:hAnsi="Arial" w:cs="Arial"/>
                <w:b/>
                <w:bCs/>
                <w:color w:val="000000"/>
                <w:sz w:val="16"/>
                <w:szCs w:val="16"/>
                <w:vertAlign w:val="superscript"/>
                <w:lang w:eastAsia="en-AU"/>
              </w:rPr>
              <w:t>(</w:t>
            </w:r>
            <w:r w:rsidR="00752F77">
              <w:rPr>
                <w:rFonts w:ascii="Arial" w:eastAsia="Times New Roman" w:hAnsi="Arial" w:cs="Arial"/>
                <w:b/>
                <w:bCs/>
                <w:color w:val="000000"/>
                <w:sz w:val="16"/>
                <w:szCs w:val="16"/>
                <w:vertAlign w:val="superscript"/>
                <w:lang w:eastAsia="en-AU"/>
              </w:rPr>
              <w:t>b</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7E8D7758" w14:textId="77777777" w:rsidR="00F23A58" w:rsidRPr="00B55251" w:rsidRDefault="00F23A58"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starting cycle</w:t>
            </w:r>
          </w:p>
        </w:tc>
        <w:tc>
          <w:tcPr>
            <w:tcW w:w="1296" w:type="dxa"/>
            <w:tcBorders>
              <w:top w:val="single" w:sz="12" w:space="0" w:color="auto"/>
              <w:left w:val="nil"/>
              <w:bottom w:val="single" w:sz="4" w:space="0" w:color="auto"/>
              <w:right w:val="nil"/>
            </w:tcBorders>
            <w:shd w:val="clear" w:color="auto" w:fill="auto"/>
            <w:vAlign w:val="bottom"/>
            <w:hideMark/>
          </w:tcPr>
          <w:p w14:paraId="14285B4A" w14:textId="54FF5DAB" w:rsidR="00F23A58" w:rsidRPr="00B55251" w:rsidRDefault="00F23A58"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Number of women who had a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vertAlign w:val="superscript"/>
                <w:lang w:eastAsia="en-AU"/>
              </w:rPr>
              <w:t>(</w:t>
            </w:r>
            <w:r w:rsidR="00752F77">
              <w:rPr>
                <w:rFonts w:ascii="Arial" w:eastAsia="Times New Roman" w:hAnsi="Arial" w:cs="Arial"/>
                <w:b/>
                <w:bCs/>
                <w:color w:val="000000"/>
                <w:sz w:val="16"/>
                <w:szCs w:val="16"/>
                <w:vertAlign w:val="superscript"/>
                <w:lang w:eastAsia="en-AU"/>
              </w:rPr>
              <w:t>c</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6B42E425" w14:textId="5724F3B3" w:rsidR="00F23A58" w:rsidRPr="00B55251" w:rsidRDefault="00F23A58"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Cycle-specific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752F77">
              <w:rPr>
                <w:rFonts w:ascii="Arial" w:eastAsia="Times New Roman" w:hAnsi="Arial" w:cs="Arial"/>
                <w:b/>
                <w:bCs/>
                <w:color w:val="000000"/>
                <w:sz w:val="16"/>
                <w:szCs w:val="16"/>
                <w:vertAlign w:val="superscript"/>
                <w:lang w:eastAsia="en-AU"/>
              </w:rPr>
              <w:t>d</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00375D7A" w14:textId="77777777" w:rsidR="00F23A58" w:rsidRPr="00B55251" w:rsidRDefault="00F23A58"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who did not progress to next treatment</w:t>
            </w:r>
          </w:p>
        </w:tc>
        <w:tc>
          <w:tcPr>
            <w:tcW w:w="1296" w:type="dxa"/>
            <w:tcBorders>
              <w:top w:val="single" w:sz="12" w:space="0" w:color="auto"/>
              <w:left w:val="nil"/>
              <w:bottom w:val="single" w:sz="4" w:space="0" w:color="auto"/>
              <w:right w:val="nil"/>
            </w:tcBorders>
            <w:shd w:val="clear" w:color="auto" w:fill="auto"/>
            <w:vAlign w:val="bottom"/>
            <w:hideMark/>
          </w:tcPr>
          <w:p w14:paraId="6709B283" w14:textId="5E0D6BDC" w:rsidR="00F23A58" w:rsidRPr="00B55251" w:rsidRDefault="00F23A58"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Non-progression rate (%)</w:t>
            </w:r>
            <w:r w:rsidRPr="00B55251">
              <w:rPr>
                <w:rFonts w:ascii="Arial" w:eastAsia="Times New Roman" w:hAnsi="Arial" w:cs="Arial"/>
                <w:b/>
                <w:bCs/>
                <w:color w:val="000000"/>
                <w:sz w:val="16"/>
                <w:szCs w:val="16"/>
                <w:vertAlign w:val="superscript"/>
                <w:lang w:eastAsia="en-AU"/>
              </w:rPr>
              <w:t>(</w:t>
            </w:r>
            <w:r w:rsidR="00752F77">
              <w:rPr>
                <w:rFonts w:ascii="Arial" w:eastAsia="Times New Roman" w:hAnsi="Arial" w:cs="Arial"/>
                <w:b/>
                <w:bCs/>
                <w:color w:val="000000"/>
                <w:sz w:val="16"/>
                <w:szCs w:val="16"/>
                <w:vertAlign w:val="superscript"/>
                <w:lang w:eastAsia="en-AU"/>
              </w:rPr>
              <w:t>e</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7A123756" w14:textId="6028BA4F" w:rsidR="00F23A58" w:rsidRPr="00B55251" w:rsidRDefault="00F23A58" w:rsidP="001F6C3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Cumulative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752F77">
              <w:rPr>
                <w:rFonts w:ascii="Arial" w:eastAsia="Times New Roman" w:hAnsi="Arial" w:cs="Arial"/>
                <w:b/>
                <w:bCs/>
                <w:color w:val="000000"/>
                <w:sz w:val="16"/>
                <w:szCs w:val="16"/>
                <w:vertAlign w:val="superscript"/>
                <w:lang w:eastAsia="en-AU"/>
              </w:rPr>
              <w:t>f</w:t>
            </w:r>
            <w:r w:rsidRPr="00B55251">
              <w:rPr>
                <w:rFonts w:ascii="Arial" w:eastAsia="Times New Roman" w:hAnsi="Arial" w:cs="Arial"/>
                <w:b/>
                <w:bCs/>
                <w:color w:val="000000"/>
                <w:sz w:val="16"/>
                <w:szCs w:val="16"/>
                <w:vertAlign w:val="superscript"/>
                <w:lang w:eastAsia="en-AU"/>
              </w:rPr>
              <w:t>)</w:t>
            </w:r>
          </w:p>
        </w:tc>
      </w:tr>
      <w:tr w:rsidR="00BA2AA7" w14:paraId="465DD731" w14:textId="77777777" w:rsidTr="00555879">
        <w:trPr>
          <w:trHeight w:val="227"/>
        </w:trPr>
        <w:tc>
          <w:tcPr>
            <w:tcW w:w="1296" w:type="dxa"/>
            <w:tcBorders>
              <w:top w:val="single" w:sz="4" w:space="0" w:color="auto"/>
              <w:left w:val="nil"/>
              <w:bottom w:val="nil"/>
              <w:right w:val="nil"/>
            </w:tcBorders>
            <w:shd w:val="clear" w:color="auto" w:fill="auto"/>
            <w:noWrap/>
            <w:vAlign w:val="center"/>
            <w:hideMark/>
          </w:tcPr>
          <w:p w14:paraId="1CACE95B"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One</w:t>
            </w:r>
          </w:p>
        </w:tc>
        <w:tc>
          <w:tcPr>
            <w:tcW w:w="1296" w:type="dxa"/>
            <w:tcBorders>
              <w:top w:val="single" w:sz="4" w:space="0" w:color="auto"/>
              <w:left w:val="nil"/>
              <w:bottom w:val="nil"/>
              <w:right w:val="nil"/>
            </w:tcBorders>
            <w:shd w:val="clear" w:color="auto" w:fill="auto"/>
            <w:noWrap/>
            <w:vAlign w:val="bottom"/>
          </w:tcPr>
          <w:p w14:paraId="30811217" w14:textId="55CCEE07" w:rsidR="00BA2AA7" w:rsidRPr="00995100"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308</w:t>
            </w:r>
          </w:p>
        </w:tc>
        <w:tc>
          <w:tcPr>
            <w:tcW w:w="1296" w:type="dxa"/>
            <w:tcBorders>
              <w:top w:val="single" w:sz="4" w:space="0" w:color="auto"/>
              <w:left w:val="nil"/>
              <w:bottom w:val="nil"/>
              <w:right w:val="nil"/>
            </w:tcBorders>
            <w:shd w:val="clear" w:color="auto" w:fill="auto"/>
            <w:noWrap/>
            <w:vAlign w:val="bottom"/>
          </w:tcPr>
          <w:p w14:paraId="629FC183" w14:textId="31D45544" w:rsidR="00BA2AA7" w:rsidRPr="00995100"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31</w:t>
            </w:r>
          </w:p>
        </w:tc>
        <w:tc>
          <w:tcPr>
            <w:tcW w:w="1296" w:type="dxa"/>
            <w:tcBorders>
              <w:top w:val="single" w:sz="4" w:space="0" w:color="auto"/>
              <w:left w:val="nil"/>
              <w:bottom w:val="nil"/>
              <w:right w:val="nil"/>
            </w:tcBorders>
            <w:shd w:val="clear" w:color="auto" w:fill="auto"/>
            <w:noWrap/>
            <w:vAlign w:val="center"/>
          </w:tcPr>
          <w:p w14:paraId="25CFB188" w14:textId="39D7D98F"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10.1</w:t>
            </w:r>
          </w:p>
        </w:tc>
        <w:tc>
          <w:tcPr>
            <w:tcW w:w="1296" w:type="dxa"/>
            <w:tcBorders>
              <w:top w:val="single" w:sz="4" w:space="0" w:color="auto"/>
              <w:left w:val="nil"/>
              <w:bottom w:val="nil"/>
              <w:right w:val="nil"/>
            </w:tcBorders>
            <w:shd w:val="clear" w:color="auto" w:fill="auto"/>
            <w:noWrap/>
            <w:vAlign w:val="center"/>
          </w:tcPr>
          <w:p w14:paraId="2BDA7A4F" w14:textId="28C22435" w:rsidR="00BA2AA7"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102</w:t>
            </w:r>
          </w:p>
        </w:tc>
        <w:tc>
          <w:tcPr>
            <w:tcW w:w="1296" w:type="dxa"/>
            <w:tcBorders>
              <w:top w:val="single" w:sz="4" w:space="0" w:color="auto"/>
              <w:left w:val="nil"/>
              <w:bottom w:val="nil"/>
              <w:right w:val="nil"/>
            </w:tcBorders>
            <w:shd w:val="clear" w:color="auto" w:fill="auto"/>
            <w:noWrap/>
            <w:vAlign w:val="center"/>
          </w:tcPr>
          <w:p w14:paraId="7793029C" w14:textId="3AF3D641"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36.8</w:t>
            </w:r>
          </w:p>
        </w:tc>
        <w:tc>
          <w:tcPr>
            <w:tcW w:w="1296" w:type="dxa"/>
            <w:tcBorders>
              <w:top w:val="single" w:sz="4" w:space="0" w:color="auto"/>
              <w:left w:val="nil"/>
              <w:bottom w:val="nil"/>
              <w:right w:val="nil"/>
            </w:tcBorders>
            <w:shd w:val="clear" w:color="auto" w:fill="auto"/>
            <w:noWrap/>
            <w:vAlign w:val="center"/>
          </w:tcPr>
          <w:p w14:paraId="5DD819AD" w14:textId="376F3CA7"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10.1</w:t>
            </w:r>
          </w:p>
        </w:tc>
      </w:tr>
      <w:tr w:rsidR="00BA2AA7" w14:paraId="5ADB721D" w14:textId="77777777" w:rsidTr="00555879">
        <w:trPr>
          <w:trHeight w:val="227"/>
        </w:trPr>
        <w:tc>
          <w:tcPr>
            <w:tcW w:w="1296" w:type="dxa"/>
            <w:tcBorders>
              <w:top w:val="nil"/>
              <w:left w:val="nil"/>
              <w:bottom w:val="nil"/>
              <w:right w:val="nil"/>
            </w:tcBorders>
            <w:shd w:val="clear" w:color="auto" w:fill="auto"/>
            <w:noWrap/>
            <w:vAlign w:val="center"/>
            <w:hideMark/>
          </w:tcPr>
          <w:p w14:paraId="1915485F"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Two</w:t>
            </w:r>
          </w:p>
        </w:tc>
        <w:tc>
          <w:tcPr>
            <w:tcW w:w="1296" w:type="dxa"/>
            <w:tcBorders>
              <w:top w:val="nil"/>
              <w:left w:val="nil"/>
              <w:bottom w:val="nil"/>
              <w:right w:val="nil"/>
            </w:tcBorders>
            <w:shd w:val="clear" w:color="auto" w:fill="auto"/>
            <w:noWrap/>
            <w:vAlign w:val="bottom"/>
          </w:tcPr>
          <w:p w14:paraId="6086289F" w14:textId="41769F9F" w:rsidR="00BA2AA7" w:rsidRPr="00995100"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175</w:t>
            </w:r>
          </w:p>
        </w:tc>
        <w:tc>
          <w:tcPr>
            <w:tcW w:w="1296" w:type="dxa"/>
            <w:tcBorders>
              <w:top w:val="nil"/>
              <w:left w:val="nil"/>
              <w:bottom w:val="nil"/>
              <w:right w:val="nil"/>
            </w:tcBorders>
            <w:shd w:val="clear" w:color="auto" w:fill="auto"/>
            <w:noWrap/>
            <w:vAlign w:val="bottom"/>
          </w:tcPr>
          <w:p w14:paraId="15D139E0" w14:textId="7ED65F24" w:rsidR="00BA2AA7" w:rsidRPr="00995100"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21</w:t>
            </w:r>
          </w:p>
        </w:tc>
        <w:tc>
          <w:tcPr>
            <w:tcW w:w="1296" w:type="dxa"/>
            <w:tcBorders>
              <w:top w:val="nil"/>
              <w:left w:val="nil"/>
              <w:bottom w:val="nil"/>
              <w:right w:val="nil"/>
            </w:tcBorders>
            <w:shd w:val="clear" w:color="auto" w:fill="auto"/>
            <w:noWrap/>
            <w:vAlign w:val="center"/>
          </w:tcPr>
          <w:p w14:paraId="16A5FF40" w14:textId="010CD3C1"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12.0</w:t>
            </w:r>
          </w:p>
        </w:tc>
        <w:tc>
          <w:tcPr>
            <w:tcW w:w="1296" w:type="dxa"/>
            <w:tcBorders>
              <w:top w:val="nil"/>
              <w:left w:val="nil"/>
              <w:bottom w:val="nil"/>
              <w:right w:val="nil"/>
            </w:tcBorders>
            <w:shd w:val="clear" w:color="auto" w:fill="auto"/>
            <w:noWrap/>
            <w:vAlign w:val="center"/>
          </w:tcPr>
          <w:p w14:paraId="793DE88D" w14:textId="64244756" w:rsidR="00BA2AA7"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67</w:t>
            </w:r>
          </w:p>
        </w:tc>
        <w:tc>
          <w:tcPr>
            <w:tcW w:w="1296" w:type="dxa"/>
            <w:tcBorders>
              <w:top w:val="nil"/>
              <w:left w:val="nil"/>
              <w:bottom w:val="nil"/>
              <w:right w:val="nil"/>
            </w:tcBorders>
            <w:shd w:val="clear" w:color="auto" w:fill="auto"/>
            <w:noWrap/>
            <w:vAlign w:val="center"/>
          </w:tcPr>
          <w:p w14:paraId="570F732A" w14:textId="5ED19F3C"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43.5</w:t>
            </w:r>
          </w:p>
        </w:tc>
        <w:tc>
          <w:tcPr>
            <w:tcW w:w="1296" w:type="dxa"/>
            <w:tcBorders>
              <w:top w:val="nil"/>
              <w:left w:val="nil"/>
              <w:bottom w:val="nil"/>
              <w:right w:val="nil"/>
            </w:tcBorders>
            <w:shd w:val="clear" w:color="auto" w:fill="auto"/>
            <w:noWrap/>
            <w:vAlign w:val="center"/>
          </w:tcPr>
          <w:p w14:paraId="06C1FB89" w14:textId="2AD6A2CE"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16.9</w:t>
            </w:r>
          </w:p>
        </w:tc>
      </w:tr>
      <w:tr w:rsidR="00BA2AA7" w14:paraId="42AEFED1" w14:textId="77777777" w:rsidTr="00555879">
        <w:trPr>
          <w:trHeight w:val="227"/>
        </w:trPr>
        <w:tc>
          <w:tcPr>
            <w:tcW w:w="1296" w:type="dxa"/>
            <w:tcBorders>
              <w:top w:val="nil"/>
              <w:left w:val="nil"/>
              <w:bottom w:val="nil"/>
              <w:right w:val="nil"/>
            </w:tcBorders>
            <w:shd w:val="clear" w:color="auto" w:fill="auto"/>
            <w:noWrap/>
            <w:vAlign w:val="center"/>
            <w:hideMark/>
          </w:tcPr>
          <w:p w14:paraId="2FB596FB"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Three</w:t>
            </w:r>
          </w:p>
        </w:tc>
        <w:tc>
          <w:tcPr>
            <w:tcW w:w="1296" w:type="dxa"/>
            <w:tcBorders>
              <w:top w:val="nil"/>
              <w:left w:val="nil"/>
              <w:bottom w:val="nil"/>
              <w:right w:val="nil"/>
            </w:tcBorders>
            <w:shd w:val="clear" w:color="auto" w:fill="auto"/>
            <w:noWrap/>
            <w:vAlign w:val="bottom"/>
          </w:tcPr>
          <w:p w14:paraId="646DE9DB" w14:textId="073082CB" w:rsidR="00BA2AA7" w:rsidRPr="00995100"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87</w:t>
            </w:r>
          </w:p>
        </w:tc>
        <w:tc>
          <w:tcPr>
            <w:tcW w:w="1296" w:type="dxa"/>
            <w:tcBorders>
              <w:top w:val="nil"/>
              <w:left w:val="nil"/>
              <w:bottom w:val="nil"/>
              <w:right w:val="nil"/>
            </w:tcBorders>
            <w:shd w:val="clear" w:color="auto" w:fill="auto"/>
            <w:noWrap/>
            <w:vAlign w:val="bottom"/>
          </w:tcPr>
          <w:p w14:paraId="67B16C1E" w14:textId="6B1663EF" w:rsidR="00BA2AA7" w:rsidRPr="00995100"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14</w:t>
            </w:r>
          </w:p>
        </w:tc>
        <w:tc>
          <w:tcPr>
            <w:tcW w:w="1296" w:type="dxa"/>
            <w:tcBorders>
              <w:top w:val="nil"/>
              <w:left w:val="nil"/>
              <w:bottom w:val="nil"/>
              <w:right w:val="nil"/>
            </w:tcBorders>
            <w:shd w:val="clear" w:color="auto" w:fill="auto"/>
            <w:noWrap/>
            <w:vAlign w:val="center"/>
          </w:tcPr>
          <w:p w14:paraId="1C8DBAE1" w14:textId="5504BEE2"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16.1</w:t>
            </w:r>
          </w:p>
        </w:tc>
        <w:tc>
          <w:tcPr>
            <w:tcW w:w="1296" w:type="dxa"/>
            <w:tcBorders>
              <w:top w:val="nil"/>
              <w:left w:val="nil"/>
              <w:bottom w:val="nil"/>
              <w:right w:val="nil"/>
            </w:tcBorders>
            <w:shd w:val="clear" w:color="auto" w:fill="auto"/>
            <w:noWrap/>
            <w:vAlign w:val="center"/>
          </w:tcPr>
          <w:p w14:paraId="04470682" w14:textId="321BD612" w:rsidR="00BA2AA7"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31</w:t>
            </w:r>
          </w:p>
        </w:tc>
        <w:tc>
          <w:tcPr>
            <w:tcW w:w="1296" w:type="dxa"/>
            <w:tcBorders>
              <w:top w:val="nil"/>
              <w:left w:val="nil"/>
              <w:bottom w:val="nil"/>
              <w:right w:val="nil"/>
            </w:tcBorders>
            <w:shd w:val="clear" w:color="auto" w:fill="auto"/>
            <w:noWrap/>
            <w:vAlign w:val="center"/>
          </w:tcPr>
          <w:p w14:paraId="33D1689E" w14:textId="70F02E94"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42.5</w:t>
            </w:r>
          </w:p>
        </w:tc>
        <w:tc>
          <w:tcPr>
            <w:tcW w:w="1296" w:type="dxa"/>
            <w:tcBorders>
              <w:top w:val="nil"/>
              <w:left w:val="nil"/>
              <w:bottom w:val="nil"/>
              <w:right w:val="nil"/>
            </w:tcBorders>
            <w:shd w:val="clear" w:color="auto" w:fill="auto"/>
            <w:noWrap/>
            <w:vAlign w:val="center"/>
          </w:tcPr>
          <w:p w14:paraId="03A74281" w14:textId="4937CCE4"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21.4</w:t>
            </w:r>
          </w:p>
        </w:tc>
      </w:tr>
      <w:tr w:rsidR="00BA2AA7" w14:paraId="68458BA4" w14:textId="77777777" w:rsidTr="00555879">
        <w:trPr>
          <w:trHeight w:val="227"/>
        </w:trPr>
        <w:tc>
          <w:tcPr>
            <w:tcW w:w="1296" w:type="dxa"/>
            <w:tcBorders>
              <w:top w:val="nil"/>
              <w:left w:val="nil"/>
              <w:bottom w:val="nil"/>
              <w:right w:val="nil"/>
            </w:tcBorders>
            <w:shd w:val="clear" w:color="auto" w:fill="auto"/>
            <w:noWrap/>
            <w:vAlign w:val="center"/>
            <w:hideMark/>
          </w:tcPr>
          <w:p w14:paraId="4E727B5B"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Four</w:t>
            </w:r>
          </w:p>
        </w:tc>
        <w:tc>
          <w:tcPr>
            <w:tcW w:w="1296" w:type="dxa"/>
            <w:tcBorders>
              <w:top w:val="nil"/>
              <w:left w:val="nil"/>
              <w:bottom w:val="nil"/>
              <w:right w:val="nil"/>
            </w:tcBorders>
            <w:shd w:val="clear" w:color="auto" w:fill="auto"/>
            <w:noWrap/>
            <w:vAlign w:val="bottom"/>
          </w:tcPr>
          <w:p w14:paraId="18F32D53" w14:textId="7CBC1AAB" w:rsidR="00BA2AA7" w:rsidRPr="00995100"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42</w:t>
            </w:r>
          </w:p>
        </w:tc>
        <w:tc>
          <w:tcPr>
            <w:tcW w:w="1296" w:type="dxa"/>
            <w:tcBorders>
              <w:top w:val="nil"/>
              <w:left w:val="nil"/>
              <w:bottom w:val="nil"/>
              <w:right w:val="nil"/>
            </w:tcBorders>
            <w:shd w:val="clear" w:color="auto" w:fill="auto"/>
            <w:noWrap/>
            <w:vAlign w:val="bottom"/>
          </w:tcPr>
          <w:p w14:paraId="441E85C5" w14:textId="57581C23" w:rsidR="00BA2AA7" w:rsidRPr="00995100"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7</w:t>
            </w:r>
          </w:p>
        </w:tc>
        <w:tc>
          <w:tcPr>
            <w:tcW w:w="1296" w:type="dxa"/>
            <w:tcBorders>
              <w:top w:val="nil"/>
              <w:left w:val="nil"/>
              <w:bottom w:val="nil"/>
              <w:right w:val="nil"/>
            </w:tcBorders>
            <w:shd w:val="clear" w:color="auto" w:fill="auto"/>
            <w:noWrap/>
            <w:vAlign w:val="center"/>
          </w:tcPr>
          <w:p w14:paraId="61FEAE61" w14:textId="6A3C5B08"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16.7</w:t>
            </w:r>
          </w:p>
        </w:tc>
        <w:tc>
          <w:tcPr>
            <w:tcW w:w="1296" w:type="dxa"/>
            <w:tcBorders>
              <w:top w:val="nil"/>
              <w:left w:val="nil"/>
              <w:bottom w:val="nil"/>
              <w:right w:val="nil"/>
            </w:tcBorders>
            <w:shd w:val="clear" w:color="auto" w:fill="auto"/>
            <w:noWrap/>
            <w:vAlign w:val="center"/>
          </w:tcPr>
          <w:p w14:paraId="0274BAF3" w14:textId="287D2676" w:rsidR="00BA2AA7"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12</w:t>
            </w:r>
          </w:p>
        </w:tc>
        <w:tc>
          <w:tcPr>
            <w:tcW w:w="1296" w:type="dxa"/>
            <w:tcBorders>
              <w:top w:val="nil"/>
              <w:left w:val="nil"/>
              <w:bottom w:val="nil"/>
              <w:right w:val="nil"/>
            </w:tcBorders>
            <w:shd w:val="clear" w:color="auto" w:fill="auto"/>
            <w:noWrap/>
            <w:vAlign w:val="center"/>
          </w:tcPr>
          <w:p w14:paraId="5334AB7B" w14:textId="64394D90"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34.3</w:t>
            </w:r>
          </w:p>
        </w:tc>
        <w:tc>
          <w:tcPr>
            <w:tcW w:w="1296" w:type="dxa"/>
            <w:tcBorders>
              <w:top w:val="nil"/>
              <w:left w:val="nil"/>
              <w:bottom w:val="nil"/>
              <w:right w:val="nil"/>
            </w:tcBorders>
            <w:shd w:val="clear" w:color="auto" w:fill="auto"/>
            <w:noWrap/>
            <w:vAlign w:val="center"/>
          </w:tcPr>
          <w:p w14:paraId="26A37829" w14:textId="05617F35"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23.7</w:t>
            </w:r>
          </w:p>
        </w:tc>
      </w:tr>
      <w:tr w:rsidR="00BA2AA7" w14:paraId="4EA45694" w14:textId="77777777" w:rsidTr="00555879">
        <w:trPr>
          <w:trHeight w:val="227"/>
        </w:trPr>
        <w:tc>
          <w:tcPr>
            <w:tcW w:w="1296" w:type="dxa"/>
            <w:tcBorders>
              <w:top w:val="nil"/>
              <w:left w:val="nil"/>
              <w:bottom w:val="single" w:sz="12" w:space="0" w:color="auto"/>
              <w:right w:val="nil"/>
            </w:tcBorders>
            <w:shd w:val="clear" w:color="auto" w:fill="auto"/>
            <w:noWrap/>
            <w:vAlign w:val="center"/>
            <w:hideMark/>
          </w:tcPr>
          <w:p w14:paraId="4F0B0F1C"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Five</w:t>
            </w:r>
          </w:p>
        </w:tc>
        <w:tc>
          <w:tcPr>
            <w:tcW w:w="1296" w:type="dxa"/>
            <w:tcBorders>
              <w:top w:val="nil"/>
              <w:left w:val="nil"/>
              <w:bottom w:val="single" w:sz="12" w:space="0" w:color="auto"/>
              <w:right w:val="nil"/>
            </w:tcBorders>
            <w:shd w:val="clear" w:color="auto" w:fill="auto"/>
            <w:noWrap/>
            <w:vAlign w:val="bottom"/>
          </w:tcPr>
          <w:p w14:paraId="764F7AA9" w14:textId="0859CB54" w:rsidR="00BA2AA7" w:rsidRPr="00995100" w:rsidRDefault="00BA2AA7" w:rsidP="00BA2AA7">
            <w:pPr>
              <w:spacing w:after="0" w:line="276" w:lineRule="auto"/>
              <w:jc w:val="right"/>
              <w:rPr>
                <w:rFonts w:ascii="Arial" w:hAnsi="Arial" w:cs="Arial"/>
                <w:color w:val="000000"/>
                <w:sz w:val="16"/>
                <w:szCs w:val="16"/>
              </w:rPr>
            </w:pPr>
            <w:r>
              <w:rPr>
                <w:rFonts w:ascii="Arial" w:hAnsi="Arial" w:cs="Arial"/>
                <w:sz w:val="16"/>
                <w:szCs w:val="16"/>
              </w:rPr>
              <w:t>23</w:t>
            </w:r>
          </w:p>
        </w:tc>
        <w:tc>
          <w:tcPr>
            <w:tcW w:w="1296" w:type="dxa"/>
            <w:tcBorders>
              <w:top w:val="nil"/>
              <w:left w:val="nil"/>
              <w:bottom w:val="single" w:sz="12" w:space="0" w:color="auto"/>
              <w:right w:val="nil"/>
            </w:tcBorders>
            <w:shd w:val="clear" w:color="auto" w:fill="auto"/>
            <w:noWrap/>
            <w:vAlign w:val="bottom"/>
          </w:tcPr>
          <w:p w14:paraId="6221AF43" w14:textId="77DA1C65" w:rsidR="00BA2AA7" w:rsidRPr="00995100" w:rsidRDefault="00BA2AA7" w:rsidP="00BA2AA7">
            <w:pPr>
              <w:spacing w:after="0" w:line="276" w:lineRule="auto"/>
              <w:jc w:val="right"/>
              <w:rPr>
                <w:rFonts w:ascii="Arial" w:hAnsi="Arial" w:cs="Arial"/>
                <w:color w:val="000000"/>
                <w:sz w:val="16"/>
                <w:szCs w:val="16"/>
              </w:rPr>
            </w:pPr>
            <w:r>
              <w:rPr>
                <w:rFonts w:ascii="Arial" w:hAnsi="Arial" w:cs="Arial"/>
                <w:sz w:val="16"/>
                <w:szCs w:val="16"/>
              </w:rPr>
              <w:t>2</w:t>
            </w:r>
          </w:p>
        </w:tc>
        <w:tc>
          <w:tcPr>
            <w:tcW w:w="1296" w:type="dxa"/>
            <w:tcBorders>
              <w:top w:val="nil"/>
              <w:left w:val="nil"/>
              <w:bottom w:val="single" w:sz="12" w:space="0" w:color="auto"/>
              <w:right w:val="nil"/>
            </w:tcBorders>
            <w:shd w:val="clear" w:color="auto" w:fill="auto"/>
            <w:noWrap/>
            <w:vAlign w:val="center"/>
          </w:tcPr>
          <w:p w14:paraId="414D7F92" w14:textId="05804874"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8.7</w:t>
            </w:r>
          </w:p>
        </w:tc>
        <w:tc>
          <w:tcPr>
            <w:tcW w:w="1296" w:type="dxa"/>
            <w:tcBorders>
              <w:top w:val="nil"/>
              <w:left w:val="nil"/>
              <w:bottom w:val="single" w:sz="12" w:space="0" w:color="auto"/>
              <w:right w:val="nil"/>
            </w:tcBorders>
            <w:shd w:val="clear" w:color="auto" w:fill="auto"/>
            <w:noWrap/>
            <w:vAlign w:val="center"/>
          </w:tcPr>
          <w:p w14:paraId="5523E2E6" w14:textId="25684410"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9</w:t>
            </w:r>
          </w:p>
        </w:tc>
        <w:tc>
          <w:tcPr>
            <w:tcW w:w="1296" w:type="dxa"/>
            <w:tcBorders>
              <w:top w:val="nil"/>
              <w:left w:val="nil"/>
              <w:bottom w:val="single" w:sz="12" w:space="0" w:color="auto"/>
              <w:right w:val="nil"/>
            </w:tcBorders>
            <w:shd w:val="clear" w:color="auto" w:fill="auto"/>
            <w:noWrap/>
            <w:vAlign w:val="center"/>
          </w:tcPr>
          <w:p w14:paraId="5CC469BE" w14:textId="2C07DCF3"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42.9</w:t>
            </w:r>
          </w:p>
        </w:tc>
        <w:tc>
          <w:tcPr>
            <w:tcW w:w="1296" w:type="dxa"/>
            <w:tcBorders>
              <w:top w:val="nil"/>
              <w:left w:val="nil"/>
              <w:bottom w:val="single" w:sz="12" w:space="0" w:color="auto"/>
              <w:right w:val="nil"/>
            </w:tcBorders>
            <w:shd w:val="clear" w:color="auto" w:fill="auto"/>
            <w:noWrap/>
            <w:vAlign w:val="center"/>
          </w:tcPr>
          <w:p w14:paraId="76199635" w14:textId="44B42687" w:rsidR="00BA2AA7" w:rsidRDefault="00BA2AA7" w:rsidP="00BA2AA7">
            <w:pPr>
              <w:spacing w:after="0" w:line="276" w:lineRule="auto"/>
              <w:jc w:val="right"/>
              <w:rPr>
                <w:rFonts w:ascii="Arial" w:hAnsi="Arial" w:cs="Arial"/>
                <w:color w:val="000000"/>
                <w:sz w:val="16"/>
                <w:szCs w:val="16"/>
              </w:rPr>
            </w:pPr>
            <w:r>
              <w:rPr>
                <w:rFonts w:ascii="Arial" w:hAnsi="Arial" w:cs="Arial"/>
                <w:sz w:val="16"/>
                <w:szCs w:val="16"/>
              </w:rPr>
              <w:t>24.4</w:t>
            </w:r>
          </w:p>
        </w:tc>
      </w:tr>
    </w:tbl>
    <w:p w14:paraId="20158D0E" w14:textId="77777777" w:rsidR="00F23A58" w:rsidRDefault="00F23A58" w:rsidP="00F23A58">
      <w:pPr>
        <w:pStyle w:val="TableSourcefootnotes"/>
        <w:tabs>
          <w:tab w:val="clear" w:pos="397"/>
          <w:tab w:val="left" w:pos="284"/>
        </w:tabs>
        <w:spacing w:before="0" w:after="0" w:line="240" w:lineRule="auto"/>
      </w:pPr>
    </w:p>
    <w:p w14:paraId="434621A2" w14:textId="12CF4547" w:rsidR="00C90294" w:rsidRDefault="00C90294" w:rsidP="00814AD1">
      <w:pPr>
        <w:pStyle w:val="TableSourcefootnotes"/>
        <w:numPr>
          <w:ilvl w:val="0"/>
          <w:numId w:val="25"/>
        </w:numPr>
        <w:tabs>
          <w:tab w:val="clear" w:pos="397"/>
          <w:tab w:val="left" w:pos="284"/>
        </w:tabs>
        <w:spacing w:before="0" w:after="0" w:line="240" w:lineRule="auto"/>
        <w:ind w:left="284" w:hanging="284"/>
      </w:pPr>
      <w:r>
        <w:t>F</w:t>
      </w:r>
      <w:r w:rsidRPr="00C16CAB">
        <w:t>reeze-all cycles are fresh ART treatment cycles where all oocytes or embryos are cryopreserved</w:t>
      </w:r>
      <w:r>
        <w:t>,</w:t>
      </w:r>
      <w:r w:rsidRPr="00C16CAB">
        <w:t xml:space="preserve"> and an embryo transfer does not take place</w:t>
      </w:r>
      <w:r>
        <w:t>.</w:t>
      </w:r>
    </w:p>
    <w:p w14:paraId="39D0D69E" w14:textId="491FF9F5" w:rsidR="00FA33C7" w:rsidRPr="00A379EC" w:rsidRDefault="00FA33C7" w:rsidP="00814AD1">
      <w:pPr>
        <w:pStyle w:val="TableSourcefootnotes"/>
        <w:numPr>
          <w:ilvl w:val="0"/>
          <w:numId w:val="25"/>
        </w:numPr>
        <w:tabs>
          <w:tab w:val="clear" w:pos="397"/>
          <w:tab w:val="left" w:pos="284"/>
        </w:tabs>
        <w:spacing w:before="0" w:after="0" w:line="240" w:lineRule="auto"/>
        <w:ind w:left="284" w:hanging="284"/>
      </w:pPr>
      <w:r>
        <w:t>Cycle one represents a woman’s first autologous (</w:t>
      </w:r>
      <w:r w:rsidR="00971360">
        <w:t>excluding</w:t>
      </w:r>
      <w:r>
        <w:t xml:space="preserve"> </w:t>
      </w:r>
      <w:r w:rsidRPr="00E217FF">
        <w:rPr>
          <w:iCs/>
        </w:rPr>
        <w:t>freeze-all</w:t>
      </w:r>
      <w:r>
        <w:t>)</w:t>
      </w:r>
      <w:r w:rsidRPr="00A379EC">
        <w:t xml:space="preserve"> fresh ART treatment cycle between 1</w:t>
      </w:r>
      <w:r w:rsidRPr="00E217FF">
        <w:rPr>
          <w:vertAlign w:val="superscript"/>
        </w:rPr>
        <w:t>st</w:t>
      </w:r>
      <w:r w:rsidRPr="00A379EC">
        <w:t xml:space="preserve"> January </w:t>
      </w:r>
      <w:r w:rsidR="00881FD0">
        <w:t>201</w:t>
      </w:r>
      <w:r w:rsidR="002E7621">
        <w:t>9</w:t>
      </w:r>
      <w:r w:rsidR="00881FD0">
        <w:t xml:space="preserve"> </w:t>
      </w:r>
      <w:r w:rsidRPr="00A379EC">
        <w:t>and 31</w:t>
      </w:r>
      <w:r w:rsidRPr="00E217FF">
        <w:rPr>
          <w:vertAlign w:val="superscript"/>
        </w:rPr>
        <w:t>st</w:t>
      </w:r>
      <w:r w:rsidRPr="00A379EC">
        <w:t xml:space="preserve"> December </w:t>
      </w:r>
      <w:r w:rsidR="00881FD0">
        <w:t>201</w:t>
      </w:r>
      <w:r w:rsidR="002E7621">
        <w:t>9</w:t>
      </w:r>
      <w:r>
        <w:t xml:space="preserve">. Cycles two to five could be either a fresh or thaw cycle (excluding </w:t>
      </w:r>
      <w:r w:rsidRPr="00E217FF">
        <w:rPr>
          <w:iCs/>
        </w:rPr>
        <w:t>freeze-all</w:t>
      </w:r>
      <w:r w:rsidRPr="001B4AFD">
        <w:rPr>
          <w:iCs/>
        </w:rPr>
        <w:t xml:space="preserve"> cycles</w:t>
      </w:r>
      <w:r>
        <w:t>)</w:t>
      </w:r>
      <w:r w:rsidRPr="00A379EC">
        <w:t xml:space="preserve"> </w:t>
      </w:r>
      <w:r>
        <w:t>undertaken by a woman</w:t>
      </w:r>
      <w:r w:rsidRPr="00A379EC">
        <w:t xml:space="preserve"> until 31</w:t>
      </w:r>
      <w:r w:rsidRPr="00E217FF">
        <w:rPr>
          <w:vertAlign w:val="superscript"/>
        </w:rPr>
        <w:t>st</w:t>
      </w:r>
      <w:r w:rsidRPr="00A379EC">
        <w:t xml:space="preserve"> December </w:t>
      </w:r>
      <w:r w:rsidR="00881FD0">
        <w:t>202</w:t>
      </w:r>
      <w:r w:rsidR="002E7621">
        <w:t>1</w:t>
      </w:r>
      <w:r w:rsidR="00881FD0" w:rsidRPr="00A379EC">
        <w:t xml:space="preserve"> </w:t>
      </w:r>
      <w:r w:rsidRPr="00A379EC">
        <w:t xml:space="preserve">or </w:t>
      </w:r>
      <w:r w:rsidR="00EC42AE">
        <w:t>birth</w:t>
      </w:r>
      <w:r w:rsidRPr="00A379EC">
        <w:t xml:space="preserve"> of a liveborn baby up to </w:t>
      </w:r>
      <w:r>
        <w:t xml:space="preserve">and including </w:t>
      </w:r>
      <w:r w:rsidR="00783BBD">
        <w:t>31</w:t>
      </w:r>
      <w:r w:rsidR="00783BBD" w:rsidRPr="00E217FF">
        <w:rPr>
          <w:vertAlign w:val="superscript"/>
        </w:rPr>
        <w:t>st</w:t>
      </w:r>
      <w:r w:rsidR="00783BBD">
        <w:t xml:space="preserve"> October </w:t>
      </w:r>
      <w:r w:rsidR="00881FD0">
        <w:t>202</w:t>
      </w:r>
      <w:r w:rsidR="002E7621">
        <w:t>2</w:t>
      </w:r>
      <w:r w:rsidRPr="00A379EC">
        <w:t xml:space="preserve">. </w:t>
      </w:r>
    </w:p>
    <w:p w14:paraId="1BC63DBF" w14:textId="536FF177" w:rsidR="00FA33C7" w:rsidRPr="00A379EC" w:rsidRDefault="00FA33C7" w:rsidP="00814AD1">
      <w:pPr>
        <w:pStyle w:val="TableSourcefootnotes"/>
        <w:numPr>
          <w:ilvl w:val="0"/>
          <w:numId w:val="25"/>
        </w:numPr>
        <w:spacing w:before="0" w:after="0" w:line="240" w:lineRule="auto"/>
        <w:ind w:left="284" w:hanging="284"/>
      </w:pPr>
      <w:r w:rsidRPr="00A379EC">
        <w:t xml:space="preserve">A live </w:t>
      </w:r>
      <w:r w:rsidR="00EC42AE">
        <w:t>birth</w:t>
      </w:r>
      <w:r w:rsidRPr="00A379EC">
        <w:t xml:space="preserve"> is the </w:t>
      </w:r>
      <w:r w:rsidR="00EC42AE">
        <w:t>birth</w:t>
      </w:r>
      <w:r w:rsidRPr="00A379EC">
        <w:t xml:space="preserve"> of one or more liveborn infants, with the birth of twins or higher order multiple</w:t>
      </w:r>
      <w:r>
        <w:t xml:space="preserve">s counted as one live </w:t>
      </w:r>
      <w:r w:rsidR="00EC42AE">
        <w:t>birth</w:t>
      </w:r>
      <w:r>
        <w:t>.</w:t>
      </w:r>
    </w:p>
    <w:p w14:paraId="1F3B93C4" w14:textId="6297394E" w:rsidR="00FA33C7" w:rsidRPr="00A379EC" w:rsidRDefault="00FA33C7" w:rsidP="00814AD1">
      <w:pPr>
        <w:pStyle w:val="TableSourcefootnotes"/>
        <w:numPr>
          <w:ilvl w:val="0"/>
          <w:numId w:val="25"/>
        </w:numPr>
        <w:tabs>
          <w:tab w:val="clear" w:pos="397"/>
          <w:tab w:val="left" w:pos="284"/>
        </w:tabs>
        <w:spacing w:before="0" w:after="0" w:line="240" w:lineRule="auto"/>
        <w:ind w:left="284" w:hanging="284"/>
      </w:pPr>
      <w:r w:rsidRPr="00A379EC">
        <w:t xml:space="preserve">The cycle-specific live </w:t>
      </w:r>
      <w:r w:rsidR="00EC42AE">
        <w:t>birth</w:t>
      </w:r>
      <w:r w:rsidRPr="00A379EC">
        <w:t xml:space="preserve"> rate is calculated as the number of live </w:t>
      </w:r>
      <w:r w:rsidR="00C736CE">
        <w:t>births</w:t>
      </w:r>
      <w:r w:rsidRPr="00A379EC">
        <w:t xml:space="preserve"> resulting from a specific ‘cycle number’ divided by the number of women who undertook that same ‘cycle number’. </w:t>
      </w:r>
    </w:p>
    <w:p w14:paraId="4BA095B4" w14:textId="6AC514C0" w:rsidR="00FA33C7" w:rsidRPr="00A379EC" w:rsidRDefault="00FA33C7" w:rsidP="00814AD1">
      <w:pPr>
        <w:pStyle w:val="TableSourcefootnotes"/>
        <w:numPr>
          <w:ilvl w:val="0"/>
          <w:numId w:val="25"/>
        </w:numPr>
        <w:tabs>
          <w:tab w:val="clear" w:pos="397"/>
          <w:tab w:val="left" w:pos="284"/>
        </w:tabs>
        <w:spacing w:before="0" w:after="0" w:line="240" w:lineRule="auto"/>
        <w:ind w:left="284" w:hanging="284"/>
      </w:pPr>
      <w:r w:rsidRPr="00A379EC">
        <w:t>The non-progression rate for a specific ‘cycle number’ is calculated as the number of women who did not return for further ART treatment cycles before 31</w:t>
      </w:r>
      <w:r w:rsidRPr="00E217FF">
        <w:rPr>
          <w:vertAlign w:val="superscript"/>
        </w:rPr>
        <w:t>st</w:t>
      </w:r>
      <w:r w:rsidRPr="00A379EC">
        <w:t xml:space="preserve"> December </w:t>
      </w:r>
      <w:r w:rsidR="00881FD0">
        <w:t>202</w:t>
      </w:r>
      <w:r w:rsidR="002E7621">
        <w:t>1</w:t>
      </w:r>
      <w:r w:rsidR="00881FD0" w:rsidRPr="00A379EC">
        <w:t xml:space="preserve"> </w:t>
      </w:r>
      <w:r w:rsidRPr="00A379EC">
        <w:t xml:space="preserve">divided by the number of women who did not have a live </w:t>
      </w:r>
      <w:r w:rsidR="00EC42AE">
        <w:t>birth</w:t>
      </w:r>
      <w:r w:rsidRPr="00A379EC">
        <w:t xml:space="preserve"> in that ‘cycle number’. </w:t>
      </w:r>
    </w:p>
    <w:p w14:paraId="5263F1DE" w14:textId="6CBAEBC8" w:rsidR="00C16CAB" w:rsidRDefault="00FA33C7" w:rsidP="00814AD1">
      <w:pPr>
        <w:pStyle w:val="TableSourcefootnotes"/>
        <w:numPr>
          <w:ilvl w:val="0"/>
          <w:numId w:val="25"/>
        </w:numPr>
        <w:spacing w:before="0" w:after="0" w:line="240" w:lineRule="auto"/>
        <w:ind w:left="284" w:hanging="284"/>
      </w:pPr>
      <w:r w:rsidRPr="00A379EC">
        <w:t xml:space="preserve">The cumulative live </w:t>
      </w:r>
      <w:r w:rsidR="00EC42AE">
        <w:t>birth</w:t>
      </w:r>
      <w:r w:rsidRPr="00A379EC">
        <w:t xml:space="preserve"> rate for a specific ‘cycle number’ is calculated as the total number of live </w:t>
      </w:r>
      <w:r w:rsidR="00C736CE">
        <w:t>births</w:t>
      </w:r>
      <w:r w:rsidRPr="00A379EC">
        <w:t xml:space="preserve"> following this ‘cycle number’ and all previous cycles divided by the total number of women who started their first autologous fresh ART treatme</w:t>
      </w:r>
      <w:r>
        <w:t>nt cycle between 1</w:t>
      </w:r>
      <w:r w:rsidRPr="00E217FF">
        <w:rPr>
          <w:vertAlign w:val="superscript"/>
        </w:rPr>
        <w:t>st</w:t>
      </w:r>
      <w:r>
        <w:t xml:space="preserve"> January </w:t>
      </w:r>
      <w:r w:rsidR="00881FD0">
        <w:t>201</w:t>
      </w:r>
      <w:r w:rsidR="002E7621">
        <w:t>9</w:t>
      </w:r>
      <w:r w:rsidR="00881FD0" w:rsidRPr="00A379EC">
        <w:t xml:space="preserve"> </w:t>
      </w:r>
      <w:r w:rsidRPr="00A379EC">
        <w:t>and 31</w:t>
      </w:r>
      <w:r w:rsidRPr="00E217FF">
        <w:rPr>
          <w:vertAlign w:val="superscript"/>
        </w:rPr>
        <w:t>st</w:t>
      </w:r>
      <w:r w:rsidRPr="00A379EC">
        <w:t xml:space="preserve"> December </w:t>
      </w:r>
      <w:r w:rsidR="00881FD0">
        <w:t>201</w:t>
      </w:r>
      <w:r w:rsidR="002E7621">
        <w:t>9</w:t>
      </w:r>
      <w:r w:rsidRPr="00A379EC">
        <w:t xml:space="preserve">. </w:t>
      </w:r>
    </w:p>
    <w:p w14:paraId="425F93D2" w14:textId="77777777" w:rsidR="005E3A7E" w:rsidRDefault="005E3A7E" w:rsidP="005E3A7E">
      <w:pPr>
        <w:pStyle w:val="TableSourcefootnotes"/>
        <w:tabs>
          <w:tab w:val="clear" w:pos="397"/>
          <w:tab w:val="left" w:pos="426"/>
        </w:tabs>
        <w:spacing w:before="0" w:after="0" w:line="240" w:lineRule="auto"/>
        <w:rPr>
          <w:i/>
          <w:iCs/>
        </w:rPr>
      </w:pPr>
    </w:p>
    <w:p w14:paraId="7A5A3F99" w14:textId="471A832F" w:rsidR="00FA33C7" w:rsidRPr="00EF19F1" w:rsidRDefault="00FA33C7" w:rsidP="005E3A7E">
      <w:pPr>
        <w:pStyle w:val="TableSourcefootnotes"/>
        <w:tabs>
          <w:tab w:val="clear" w:pos="397"/>
          <w:tab w:val="left" w:pos="426"/>
        </w:tabs>
        <w:spacing w:before="0" w:after="0" w:line="240" w:lineRule="auto"/>
      </w:pPr>
      <w:r w:rsidRPr="00A379EC">
        <w:rPr>
          <w:i/>
          <w:iCs/>
        </w:rPr>
        <w:t>Note</w:t>
      </w:r>
      <w:r w:rsidRPr="00A379EC">
        <w:t>:</w:t>
      </w:r>
      <w:r w:rsidRPr="00A379EC">
        <w:tab/>
        <w:t>Further treatment cycles after the</w:t>
      </w:r>
      <w:r w:rsidR="009F7EEC">
        <w:t xml:space="preserve"> fifth</w:t>
      </w:r>
      <w:r w:rsidRPr="00A379EC">
        <w:t xml:space="preserve"> cycle and resulting live </w:t>
      </w:r>
      <w:r w:rsidR="00C736CE">
        <w:t>births</w:t>
      </w:r>
      <w:r w:rsidRPr="00A379EC">
        <w:t xml:space="preserve"> are not presented in this table due to small numbers. Data should be interpreted with caution due to small numbers in certain </w:t>
      </w:r>
      <w:r w:rsidRPr="00BD7D19">
        <w:t>cells and measure</w:t>
      </w:r>
      <w:r>
        <w:t>s</w:t>
      </w:r>
      <w:r w:rsidRPr="00BD7D19">
        <w:t xml:space="preserve"> of statistical variance are not supplied.</w:t>
      </w:r>
    </w:p>
    <w:p w14:paraId="1964EF6C" w14:textId="77777777" w:rsidR="00F23A58" w:rsidRDefault="00F23A58" w:rsidP="00FA33C7">
      <w:pPr>
        <w:pStyle w:val="NPESUbodytext"/>
        <w:rPr>
          <w:i/>
          <w:iCs/>
          <w:sz w:val="14"/>
        </w:rPr>
      </w:pPr>
    </w:p>
    <w:p w14:paraId="7346B7D5" w14:textId="689613B1" w:rsidR="00FA33C7" w:rsidRDefault="00FA33C7" w:rsidP="00FA33C7">
      <w:pPr>
        <w:pStyle w:val="NPESUbodytext"/>
        <w:rPr>
          <w:i/>
          <w:iCs/>
          <w:sz w:val="14"/>
        </w:rPr>
      </w:pPr>
      <w:r>
        <w:rPr>
          <w:i/>
          <w:iCs/>
          <w:sz w:val="14"/>
        </w:rPr>
        <w:br w:type="page"/>
      </w:r>
    </w:p>
    <w:p w14:paraId="6894ABD9" w14:textId="0CD5D05E" w:rsidR="00740D98" w:rsidRPr="00360E75" w:rsidRDefault="00740D98" w:rsidP="00814AD1">
      <w:pPr>
        <w:pStyle w:val="Heading1"/>
        <w:numPr>
          <w:ilvl w:val="0"/>
          <w:numId w:val="3"/>
        </w:numPr>
        <w:ind w:left="851" w:hanging="491"/>
        <w:rPr>
          <w:rFonts w:cs="Arial"/>
        </w:rPr>
      </w:pPr>
      <w:bookmarkStart w:id="409" w:name="_Toc159568726"/>
      <w:r w:rsidRPr="00360E75">
        <w:rPr>
          <w:rFonts w:cs="Arial"/>
        </w:rPr>
        <w:lastRenderedPageBreak/>
        <w:t>Cumulative success rates for women undertaking autologous treatment 201</w:t>
      </w:r>
      <w:r w:rsidR="00C631F5">
        <w:rPr>
          <w:rFonts w:cs="Arial"/>
        </w:rPr>
        <w:t>8</w:t>
      </w:r>
      <w:r w:rsidRPr="00360E75">
        <w:rPr>
          <w:rFonts w:cs="Arial"/>
        </w:rPr>
        <w:t>-</w:t>
      </w:r>
      <w:r>
        <w:rPr>
          <w:rFonts w:cs="Arial"/>
        </w:rPr>
        <w:t>202</w:t>
      </w:r>
      <w:r w:rsidR="00C631F5">
        <w:rPr>
          <w:rFonts w:cs="Arial"/>
        </w:rPr>
        <w:t>1</w:t>
      </w:r>
      <w:bookmarkEnd w:id="409"/>
    </w:p>
    <w:p w14:paraId="2A91A10A" w14:textId="477E83EC" w:rsidR="00740D98" w:rsidRPr="004E03FD" w:rsidRDefault="00740D98" w:rsidP="00740D98">
      <w:pPr>
        <w:pStyle w:val="NPESUbodytext"/>
      </w:pPr>
      <w:r w:rsidRPr="004E03FD">
        <w:t>This section presents information on all women who started their first autologous fresh ART treatment cycle between 1</w:t>
      </w:r>
      <w:r w:rsidRPr="00E217FF">
        <w:rPr>
          <w:vertAlign w:val="superscript"/>
        </w:rPr>
        <w:t>st</w:t>
      </w:r>
      <w:r w:rsidRPr="004E03FD">
        <w:t xml:space="preserve"> January </w:t>
      </w:r>
      <w:r>
        <w:t>201</w:t>
      </w:r>
      <w:r w:rsidR="00C631F5">
        <w:t>8</w:t>
      </w:r>
      <w:r w:rsidRPr="004E03FD">
        <w:t xml:space="preserve"> and 31</w:t>
      </w:r>
      <w:r w:rsidRPr="00E217FF">
        <w:rPr>
          <w:vertAlign w:val="superscript"/>
        </w:rPr>
        <w:t>st</w:t>
      </w:r>
      <w:r w:rsidRPr="004E03FD">
        <w:t xml:space="preserve"> December </w:t>
      </w:r>
      <w:r>
        <w:t>201</w:t>
      </w:r>
      <w:r w:rsidR="00C631F5">
        <w:t>8</w:t>
      </w:r>
      <w:r w:rsidRPr="004E03FD">
        <w:t xml:space="preserve">. </w:t>
      </w:r>
      <w:r w:rsidRPr="00BD6AE6">
        <w:t xml:space="preserve">The </w:t>
      </w:r>
      <w:r w:rsidRPr="00ED412B">
        <w:t>f</w:t>
      </w:r>
      <w:r w:rsidRPr="00BD6AE6">
        <w:t>irst cycle</w:t>
      </w:r>
      <w:r>
        <w:t xml:space="preserve"> is</w:t>
      </w:r>
      <w:r w:rsidRPr="00BD6AE6">
        <w:t xml:space="preserve"> i</w:t>
      </w:r>
      <w:r>
        <w:t>dentified</w:t>
      </w:r>
      <w:r w:rsidRPr="00BD6AE6">
        <w:t xml:space="preserve"> </w:t>
      </w:r>
      <w:r>
        <w:t>according to first stimulation</w:t>
      </w:r>
      <w:r w:rsidRPr="00BD6AE6">
        <w:t xml:space="preserve"> data reported </w:t>
      </w:r>
      <w:r>
        <w:t>by</w:t>
      </w:r>
      <w:r w:rsidRPr="00BD6AE6">
        <w:t xml:space="preserve"> clinic</w:t>
      </w:r>
      <w:r w:rsidRPr="00ED412B">
        <w:t>s</w:t>
      </w:r>
      <w:r w:rsidRPr="00BD6AE6">
        <w:t xml:space="preserve"> </w:t>
      </w:r>
      <w:r>
        <w:t>plus</w:t>
      </w:r>
      <w:r w:rsidRPr="00BD6AE6">
        <w:t xml:space="preserve"> the first occurrence of the woman’s autologous</w:t>
      </w:r>
      <w:r>
        <w:t xml:space="preserve"> fresh cycle in 201</w:t>
      </w:r>
      <w:r w:rsidR="00C631F5">
        <w:t>8</w:t>
      </w:r>
      <w:r>
        <w:t xml:space="preserve">. </w:t>
      </w:r>
      <w:r w:rsidRPr="004E03FD">
        <w:t>Women were followed from the start of their first autologous fresh cycle through subsequent fresh and thaw cycles</w:t>
      </w:r>
      <w:r>
        <w:t xml:space="preserve">, excluding </w:t>
      </w:r>
      <w:r w:rsidRPr="00E217FF">
        <w:rPr>
          <w:iCs/>
        </w:rPr>
        <w:t>freeze-all</w:t>
      </w:r>
      <w:r>
        <w:t xml:space="preserve"> cycles,</w:t>
      </w:r>
      <w:r w:rsidRPr="004E03FD">
        <w:t xml:space="preserve"> until 31</w:t>
      </w:r>
      <w:r w:rsidRPr="00E217FF">
        <w:rPr>
          <w:vertAlign w:val="superscript"/>
        </w:rPr>
        <w:t>st</w:t>
      </w:r>
      <w:r w:rsidRPr="004E03FD">
        <w:t xml:space="preserve"> December </w:t>
      </w:r>
      <w:r>
        <w:t>202</w:t>
      </w:r>
      <w:r w:rsidR="00C631F5">
        <w:t>1</w:t>
      </w:r>
      <w:r w:rsidRPr="004E03FD">
        <w:t xml:space="preserve"> or until they achieved a live </w:t>
      </w:r>
      <w:r>
        <w:t>birth</w:t>
      </w:r>
      <w:r w:rsidRPr="004E03FD">
        <w:t xml:space="preserve"> (a </w:t>
      </w:r>
      <w:r>
        <w:t>birth</w:t>
      </w:r>
      <w:r w:rsidRPr="004E03FD">
        <w:t xml:space="preserve"> of at least one liveborn baby) up to and including </w:t>
      </w:r>
      <w:r>
        <w:t>31</w:t>
      </w:r>
      <w:r w:rsidRPr="00E217FF">
        <w:rPr>
          <w:vertAlign w:val="superscript"/>
        </w:rPr>
        <w:t>st</w:t>
      </w:r>
      <w:r>
        <w:t xml:space="preserve"> October 202</w:t>
      </w:r>
      <w:r w:rsidR="00223548">
        <w:t>2</w:t>
      </w:r>
      <w:r w:rsidRPr="004E03FD">
        <w:t>. This longitudinal perspective provides a measure of the outcomes of successive ART treatment cycles undertaken by the same woman</w:t>
      </w:r>
      <w:r>
        <w:t xml:space="preserve"> up to her first birth following ART treatment</w:t>
      </w:r>
      <w:r w:rsidRPr="004E03FD">
        <w:t xml:space="preserve">. These women might have had additional treatment cycles after </w:t>
      </w:r>
      <w:r>
        <w:t>202</w:t>
      </w:r>
      <w:r w:rsidR="00C631F5">
        <w:t>1</w:t>
      </w:r>
      <w:r w:rsidRPr="004E03FD">
        <w:t xml:space="preserve"> and their treatment information and resulting outcomes will be captured in subsequent annual reports. Therefore, in this dynamic cohort of women undergoing their first autologous fresh ART treatment between 1</w:t>
      </w:r>
      <w:r w:rsidRPr="00E217FF">
        <w:rPr>
          <w:vertAlign w:val="superscript"/>
        </w:rPr>
        <w:t>st</w:t>
      </w:r>
      <w:r w:rsidRPr="004E03FD">
        <w:t xml:space="preserve"> January </w:t>
      </w:r>
      <w:r>
        <w:t>201</w:t>
      </w:r>
      <w:r w:rsidR="00C631F5">
        <w:t>8</w:t>
      </w:r>
      <w:r w:rsidRPr="004E03FD">
        <w:t xml:space="preserve"> and 31</w:t>
      </w:r>
      <w:r w:rsidRPr="00E217FF">
        <w:rPr>
          <w:vertAlign w:val="superscript"/>
        </w:rPr>
        <w:t>st</w:t>
      </w:r>
      <w:r w:rsidRPr="004E03FD">
        <w:t xml:space="preserve"> December </w:t>
      </w:r>
      <w:r>
        <w:t>201</w:t>
      </w:r>
      <w:r w:rsidR="00C631F5">
        <w:t>8</w:t>
      </w:r>
      <w:r w:rsidRPr="004E03FD">
        <w:t>, the cumulative success rates may increase over time as women return for treatment at a later date.</w:t>
      </w:r>
    </w:p>
    <w:p w14:paraId="2FDBC41E" w14:textId="35D54957" w:rsidR="00740D98" w:rsidRPr="00C14357" w:rsidRDefault="00740D98" w:rsidP="00740D98">
      <w:pPr>
        <w:pStyle w:val="NPESUbodytext"/>
      </w:pPr>
      <w:r w:rsidRPr="00C14357">
        <w:t xml:space="preserve">ART treatment cycles presented in Tables </w:t>
      </w:r>
      <w:r w:rsidR="00CC3397">
        <w:t>3</w:t>
      </w:r>
      <w:r w:rsidR="00690B1B">
        <w:t>6</w:t>
      </w:r>
      <w:r w:rsidR="00CC3397" w:rsidRPr="00C14357">
        <w:t xml:space="preserve"> </w:t>
      </w:r>
      <w:r w:rsidRPr="00C14357">
        <w:t xml:space="preserve">to </w:t>
      </w:r>
      <w:r w:rsidR="00CC3397">
        <w:t>40</w:t>
      </w:r>
      <w:r w:rsidR="00CC3397" w:rsidRPr="00C14357">
        <w:t xml:space="preserve"> </w:t>
      </w:r>
      <w:r w:rsidRPr="00C14357">
        <w:t>include all initiated autologous fresh and thaw cycles</w:t>
      </w:r>
      <w:r>
        <w:t xml:space="preserve">, excluding </w:t>
      </w:r>
      <w:r w:rsidRPr="00E217FF">
        <w:rPr>
          <w:iCs/>
        </w:rPr>
        <w:t>freeze-all</w:t>
      </w:r>
      <w:r>
        <w:t xml:space="preserve"> cycles</w:t>
      </w:r>
      <w:r w:rsidRPr="00C14357">
        <w:t xml:space="preserve">. Cycles which were cancelled at any stage and did not proceed to oocyte collection or embryo transfer are included. </w:t>
      </w:r>
      <w:r>
        <w:t>D</w:t>
      </w:r>
      <w:r w:rsidRPr="00C14357">
        <w:t>onor sperm insemination cycles, oocyte/embryo recipient cycles, oocyte/embryo donation cycles, surrogacy arrangement cycles</w:t>
      </w:r>
      <w:r w:rsidR="00AC29AB">
        <w:t>,</w:t>
      </w:r>
      <w:r w:rsidRPr="00C14357">
        <w:t xml:space="preserve"> and gamete intrafallopian transfer </w:t>
      </w:r>
      <w:r>
        <w:t xml:space="preserve">(GIFT) </w:t>
      </w:r>
      <w:r w:rsidRPr="00C14357">
        <w:t>cycles</w:t>
      </w:r>
      <w:r>
        <w:t xml:space="preserve"> are not included</w:t>
      </w:r>
      <w:r w:rsidRPr="00C14357">
        <w:t>. A pregnancy that end</w:t>
      </w:r>
      <w:r>
        <w:t>s</w:t>
      </w:r>
      <w:r w:rsidRPr="00C14357">
        <w:t xml:space="preserve"> before 20 weeks </w:t>
      </w:r>
      <w:r>
        <w:t xml:space="preserve">gestation </w:t>
      </w:r>
      <w:r w:rsidRPr="00C14357">
        <w:t xml:space="preserve">or </w:t>
      </w:r>
      <w:r>
        <w:t xml:space="preserve">a </w:t>
      </w:r>
      <w:r w:rsidRPr="00C14357">
        <w:t xml:space="preserve">stillbirth </w:t>
      </w:r>
      <w:r>
        <w:t>are</w:t>
      </w:r>
      <w:r w:rsidRPr="00C14357">
        <w:t xml:space="preserve"> not counted as a live </w:t>
      </w:r>
      <w:r>
        <w:t>birth</w:t>
      </w:r>
      <w:r w:rsidRPr="00C14357">
        <w:t>.</w:t>
      </w:r>
    </w:p>
    <w:p w14:paraId="1CFF7151" w14:textId="0FDA4862" w:rsidR="00740D98" w:rsidRPr="0083290C" w:rsidRDefault="00740D98" w:rsidP="00740D98">
      <w:pPr>
        <w:pStyle w:val="NPESUbodytext"/>
      </w:pPr>
      <w:r w:rsidRPr="00C14357">
        <w:t xml:space="preserve">Table </w:t>
      </w:r>
      <w:r w:rsidR="00CC3397">
        <w:t>35</w:t>
      </w:r>
      <w:r w:rsidR="00CC3397" w:rsidRPr="00C14357">
        <w:t xml:space="preserve"> </w:t>
      </w:r>
      <w:r w:rsidRPr="00C14357">
        <w:t xml:space="preserve">presents the number of cycles by women’s age group. Tables </w:t>
      </w:r>
      <w:r w:rsidR="00CC3397">
        <w:t>36</w:t>
      </w:r>
      <w:r w:rsidR="00CC3397" w:rsidRPr="00C14357">
        <w:t xml:space="preserve"> </w:t>
      </w:r>
      <w:r w:rsidRPr="00C14357">
        <w:t xml:space="preserve">to </w:t>
      </w:r>
      <w:r w:rsidR="00CC3397">
        <w:t>40</w:t>
      </w:r>
      <w:r w:rsidR="00CC3397" w:rsidRPr="00C14357">
        <w:t xml:space="preserve"> </w:t>
      </w:r>
      <w:r w:rsidRPr="00C14357">
        <w:t>present cycle-</w:t>
      </w:r>
      <w:r w:rsidRPr="00127C85">
        <w:t xml:space="preserve">specific live </w:t>
      </w:r>
      <w:r>
        <w:t>birth</w:t>
      </w:r>
      <w:r w:rsidRPr="00127C85">
        <w:t xml:space="preserve"> rates, non-progression rates</w:t>
      </w:r>
      <w:r w:rsidR="00AC29AB">
        <w:t>,</w:t>
      </w:r>
      <w:r w:rsidRPr="00127C85">
        <w:t xml:space="preserve"> and cumulative li</w:t>
      </w:r>
      <w:r>
        <w:t xml:space="preserve">ve birth rates for all age groups </w:t>
      </w:r>
      <w:r w:rsidRPr="00127C85">
        <w:t xml:space="preserve">and women aged </w:t>
      </w:r>
      <w:r>
        <w:t xml:space="preserve">under </w:t>
      </w:r>
      <w:r w:rsidRPr="00127C85">
        <w:t>30</w:t>
      </w:r>
      <w:r>
        <w:t xml:space="preserve"> years</w:t>
      </w:r>
      <w:r w:rsidRPr="00127C85">
        <w:t xml:space="preserve">, </w:t>
      </w:r>
      <w:r>
        <w:t xml:space="preserve">between </w:t>
      </w:r>
      <w:r w:rsidRPr="00127C85">
        <w:t>30-34</w:t>
      </w:r>
      <w:r>
        <w:t xml:space="preserve"> years</w:t>
      </w:r>
      <w:r w:rsidRPr="00127C85">
        <w:t xml:space="preserve">, </w:t>
      </w:r>
      <w:r>
        <w:t xml:space="preserve">between </w:t>
      </w:r>
      <w:r w:rsidRPr="00127C85">
        <w:t>35-39</w:t>
      </w:r>
      <w:r>
        <w:t xml:space="preserve"> years</w:t>
      </w:r>
      <w:r w:rsidRPr="00127C85">
        <w:t xml:space="preserve"> and</w:t>
      </w:r>
      <w:r>
        <w:t xml:space="preserve"> over </w:t>
      </w:r>
      <w:r w:rsidRPr="00127C85">
        <w:t>40</w:t>
      </w:r>
      <w:r>
        <w:t xml:space="preserve"> years</w:t>
      </w:r>
      <w:r w:rsidRPr="00127C85">
        <w:t xml:space="preserve">. </w:t>
      </w:r>
    </w:p>
    <w:p w14:paraId="0EAAEFAB" w14:textId="77777777" w:rsidR="00740D98" w:rsidRPr="00EF7C6B" w:rsidRDefault="00740D98" w:rsidP="00740D98">
      <w:pPr>
        <w:pStyle w:val="Heading4"/>
        <w:rPr>
          <w:highlight w:val="yellow"/>
        </w:rPr>
      </w:pPr>
      <w:r w:rsidRPr="0083290C">
        <w:t>Definition</w:t>
      </w:r>
      <w:r>
        <w:t>s and calculations</w:t>
      </w:r>
    </w:p>
    <w:p w14:paraId="4EB93249" w14:textId="5B97CAD3" w:rsidR="00740D98" w:rsidRDefault="00740D98" w:rsidP="00814AD1">
      <w:pPr>
        <w:pStyle w:val="NPESUbodytext"/>
        <w:numPr>
          <w:ilvl w:val="0"/>
          <w:numId w:val="19"/>
        </w:numPr>
      </w:pPr>
      <w:r>
        <w:t>The c</w:t>
      </w:r>
      <w:r w:rsidRPr="007364C5">
        <w:t xml:space="preserve">ycle-specific live </w:t>
      </w:r>
      <w:r>
        <w:t>birth</w:t>
      </w:r>
      <w:r w:rsidRPr="007364C5">
        <w:t xml:space="preserve"> rate for a specific </w:t>
      </w:r>
      <w:r>
        <w:t xml:space="preserve">number of </w:t>
      </w:r>
      <w:r w:rsidRPr="007364C5">
        <w:t>cycl</w:t>
      </w:r>
      <w:r>
        <w:t>es</w:t>
      </w:r>
      <w:r w:rsidRPr="007364C5">
        <w:t xml:space="preserve"> is calculated as the number of live </w:t>
      </w:r>
      <w:r>
        <w:t>births</w:t>
      </w:r>
      <w:r w:rsidRPr="007364C5">
        <w:t xml:space="preserve"> resulting from </w:t>
      </w:r>
      <w:r>
        <w:t xml:space="preserve">the </w:t>
      </w:r>
      <w:r w:rsidRPr="007364C5">
        <w:t xml:space="preserve">specific </w:t>
      </w:r>
      <w:r>
        <w:t xml:space="preserve">number of </w:t>
      </w:r>
      <w:r w:rsidRPr="007364C5">
        <w:t>cycle</w:t>
      </w:r>
      <w:r>
        <w:t>s</w:t>
      </w:r>
      <w:r w:rsidRPr="007364C5">
        <w:t xml:space="preserve"> divided by the number of women who undertook that </w:t>
      </w:r>
      <w:r>
        <w:t>cycle number</w:t>
      </w:r>
      <w:r w:rsidRPr="007364C5">
        <w:t>. For instance</w:t>
      </w:r>
      <w:r>
        <w:t xml:space="preserve">, in Table </w:t>
      </w:r>
      <w:r w:rsidR="00491A66">
        <w:t>36</w:t>
      </w:r>
      <w:r w:rsidRPr="007364C5">
        <w:t>, the cycle</w:t>
      </w:r>
      <w:r>
        <w:t>-</w:t>
      </w:r>
      <w:r w:rsidRPr="007364C5">
        <w:t>specific</w:t>
      </w:r>
      <w:r>
        <w:t xml:space="preserve"> live birth</w:t>
      </w:r>
      <w:r w:rsidRPr="007364C5">
        <w:t xml:space="preserve"> rate of </w:t>
      </w:r>
      <w:r w:rsidR="00C631F5">
        <w:t>25.7</w:t>
      </w:r>
      <w:r w:rsidRPr="007364C5">
        <w:t xml:space="preserve">% for </w:t>
      </w:r>
      <w:r>
        <w:t>cycle number three represents</w:t>
      </w:r>
      <w:r w:rsidRPr="007364C5">
        <w:t xml:space="preserve"> the proportion of women who undertook a third cycle and achieved a live </w:t>
      </w:r>
      <w:r>
        <w:t>birth</w:t>
      </w:r>
      <w:r w:rsidRPr="007364C5">
        <w:t xml:space="preserve"> in that cycle</w:t>
      </w:r>
      <w:r>
        <w:t>.</w:t>
      </w:r>
    </w:p>
    <w:p w14:paraId="31CAF915" w14:textId="487496C2" w:rsidR="00740D98" w:rsidRDefault="00740D98" w:rsidP="00814AD1">
      <w:pPr>
        <w:pStyle w:val="NPESUbodytext"/>
        <w:numPr>
          <w:ilvl w:val="0"/>
          <w:numId w:val="19"/>
        </w:numPr>
      </w:pPr>
      <w:r>
        <w:t>The n</w:t>
      </w:r>
      <w:r w:rsidRPr="00A379EC">
        <w:t>on-p</w:t>
      </w:r>
      <w:r>
        <w:t xml:space="preserve">rogression rate for a specific </w:t>
      </w:r>
      <w:r w:rsidRPr="00A379EC">
        <w:t>cycle is calculated as the number of women who did not return for further ART treatment cycles before 31</w:t>
      </w:r>
      <w:r w:rsidRPr="00E217FF">
        <w:rPr>
          <w:vertAlign w:val="superscript"/>
        </w:rPr>
        <w:t>st</w:t>
      </w:r>
      <w:r w:rsidRPr="00A379EC">
        <w:t xml:space="preserve"> December </w:t>
      </w:r>
      <w:r>
        <w:t>202</w:t>
      </w:r>
      <w:r w:rsidR="00C631F5">
        <w:t>1</w:t>
      </w:r>
      <w:r w:rsidRPr="00A379EC">
        <w:t xml:space="preserve"> divided by the number of women who did no</w:t>
      </w:r>
      <w:r>
        <w:t xml:space="preserve">t have a live birth in that </w:t>
      </w:r>
      <w:r w:rsidRPr="00A379EC">
        <w:t xml:space="preserve">cycle. For example, the non-progression rate of </w:t>
      </w:r>
      <w:r w:rsidR="00C631F5">
        <w:t>20.7</w:t>
      </w:r>
      <w:r w:rsidRPr="00A379EC">
        <w:t xml:space="preserve">% for </w:t>
      </w:r>
      <w:r>
        <w:t xml:space="preserve">a third </w:t>
      </w:r>
      <w:r w:rsidRPr="00A379EC">
        <w:t xml:space="preserve">cycle </w:t>
      </w:r>
      <w:r>
        <w:t>represents</w:t>
      </w:r>
      <w:r w:rsidRPr="00A379EC">
        <w:t xml:space="preserve"> the proportion of women who did not achieve a live </w:t>
      </w:r>
      <w:r>
        <w:t>birth</w:t>
      </w:r>
      <w:r w:rsidRPr="00A379EC">
        <w:t xml:space="preserve"> in </w:t>
      </w:r>
      <w:r>
        <w:t xml:space="preserve">their third </w:t>
      </w:r>
      <w:r w:rsidRPr="00A379EC">
        <w:t xml:space="preserve">cycle and did not progress to a fourth cycle (Table </w:t>
      </w:r>
      <w:r w:rsidR="00491A66">
        <w:t>36</w:t>
      </w:r>
      <w:r w:rsidRPr="00A379EC">
        <w:t xml:space="preserve">). </w:t>
      </w:r>
      <w:r>
        <w:t>The r</w:t>
      </w:r>
      <w:r w:rsidRPr="00A379EC">
        <w:t xml:space="preserve">easons </w:t>
      </w:r>
      <w:r>
        <w:t>surrounding a woman’s or couple’s choice to not return to or progress with further treatment</w:t>
      </w:r>
      <w:r w:rsidRPr="00A379EC">
        <w:t xml:space="preserve">, </w:t>
      </w:r>
      <w:r>
        <w:t>include</w:t>
      </w:r>
      <w:r w:rsidRPr="00A379EC">
        <w:t xml:space="preserve"> poor prognosis, natural pregnancy, migration, financi</w:t>
      </w:r>
      <w:r>
        <w:t>al</w:t>
      </w:r>
      <w:r w:rsidRPr="00A379EC">
        <w:t>, psychological</w:t>
      </w:r>
      <w:r>
        <w:t>,</w:t>
      </w:r>
      <w:r w:rsidRPr="00A379EC">
        <w:t xml:space="preserve"> and other unrelated reasons</w:t>
      </w:r>
      <w:r>
        <w:t>; these</w:t>
      </w:r>
      <w:r w:rsidRPr="00A379EC">
        <w:t xml:space="preserve"> are not collected by ANZARD.</w:t>
      </w:r>
    </w:p>
    <w:p w14:paraId="52C256F2" w14:textId="61CF1CE0" w:rsidR="00740D98" w:rsidRDefault="00740D98" w:rsidP="00740D98">
      <w:pPr>
        <w:pStyle w:val="NPESUbodytext"/>
        <w:ind w:left="720"/>
      </w:pPr>
      <w:r>
        <w:t>The c</w:t>
      </w:r>
      <w:r w:rsidRPr="00A379EC">
        <w:t xml:space="preserve">umulative live </w:t>
      </w:r>
      <w:r>
        <w:t>birth</w:t>
      </w:r>
      <w:r w:rsidRPr="00A379EC">
        <w:t xml:space="preserve"> rate for a specific </w:t>
      </w:r>
      <w:r>
        <w:t xml:space="preserve">cycle </w:t>
      </w:r>
      <w:r w:rsidRPr="00A379EC">
        <w:t xml:space="preserve">is calculated as the total number of </w:t>
      </w:r>
      <w:r>
        <w:t xml:space="preserve">live births following this </w:t>
      </w:r>
      <w:r w:rsidRPr="00A379EC">
        <w:t>cycle</w:t>
      </w:r>
      <w:r>
        <w:t xml:space="preserve"> </w:t>
      </w:r>
      <w:r w:rsidRPr="00A379EC">
        <w:t>and all previous cycles divided by the total number of women who started their first autologous fresh ART treatment cycle between 1</w:t>
      </w:r>
      <w:r w:rsidRPr="00E217FF">
        <w:rPr>
          <w:vertAlign w:val="superscript"/>
        </w:rPr>
        <w:t>st</w:t>
      </w:r>
      <w:r w:rsidRPr="00A379EC">
        <w:t xml:space="preserve"> </w:t>
      </w:r>
      <w:r w:rsidRPr="00A379EC">
        <w:lastRenderedPageBreak/>
        <w:t xml:space="preserve">January </w:t>
      </w:r>
      <w:r>
        <w:t>201</w:t>
      </w:r>
      <w:r w:rsidR="00C631F5">
        <w:t>8</w:t>
      </w:r>
      <w:r>
        <w:t xml:space="preserve"> </w:t>
      </w:r>
      <w:r w:rsidRPr="00A379EC">
        <w:t>and 31</w:t>
      </w:r>
      <w:r w:rsidRPr="00E217FF">
        <w:rPr>
          <w:vertAlign w:val="superscript"/>
        </w:rPr>
        <w:t>st</w:t>
      </w:r>
      <w:r w:rsidRPr="00A379EC">
        <w:t xml:space="preserve"> December </w:t>
      </w:r>
      <w:r>
        <w:t>201</w:t>
      </w:r>
      <w:r w:rsidR="00C631F5">
        <w:t>8</w:t>
      </w:r>
      <w:r w:rsidRPr="00A379EC">
        <w:t xml:space="preserve">. For example, the cumulative live </w:t>
      </w:r>
      <w:r>
        <w:t>birth</w:t>
      </w:r>
      <w:r w:rsidRPr="00A379EC">
        <w:t xml:space="preserve"> rate of </w:t>
      </w:r>
      <w:r w:rsidR="00C631F5">
        <w:t>55.3</w:t>
      </w:r>
      <w:r w:rsidRPr="00A379EC">
        <w:t xml:space="preserve">% for </w:t>
      </w:r>
      <w:r>
        <w:t xml:space="preserve">the third </w:t>
      </w:r>
      <w:r w:rsidRPr="00A379EC">
        <w:t xml:space="preserve">cycle </w:t>
      </w:r>
      <w:r>
        <w:t xml:space="preserve">represents </w:t>
      </w:r>
      <w:r w:rsidRPr="00A379EC">
        <w:t xml:space="preserve">the proportion of women who started ART treatment in </w:t>
      </w:r>
      <w:r>
        <w:t>201</w:t>
      </w:r>
      <w:r w:rsidR="00C631F5">
        <w:t>8</w:t>
      </w:r>
      <w:r w:rsidRPr="00A379EC">
        <w:t xml:space="preserve"> and achieved a live </w:t>
      </w:r>
      <w:r>
        <w:t>birth</w:t>
      </w:r>
      <w:r w:rsidRPr="00A379EC">
        <w:t xml:space="preserve"> following their first </w:t>
      </w:r>
      <w:r>
        <w:t>three</w:t>
      </w:r>
      <w:r w:rsidRPr="00A379EC">
        <w:t xml:space="preserve"> cycles (Table </w:t>
      </w:r>
      <w:r w:rsidR="000B3BD3">
        <w:t>36</w:t>
      </w:r>
      <w:r w:rsidRPr="00A379EC">
        <w:t>).</w:t>
      </w:r>
      <w:r>
        <w:t xml:space="preserve"> Note that only the first birth to a woman is counted in cumulative live birth rates.</w:t>
      </w:r>
    </w:p>
    <w:p w14:paraId="7A0A81AA" w14:textId="7AC5D4FB" w:rsidR="00D433A6" w:rsidRDefault="00740D98" w:rsidP="00D433A6">
      <w:pPr>
        <w:pStyle w:val="Caption"/>
        <w:spacing w:before="60" w:line="260" w:lineRule="atLeast"/>
        <w:rPr>
          <w:rFonts w:eastAsia="Times New Roman"/>
          <w:lang w:eastAsia="en-AU"/>
        </w:rPr>
      </w:pPr>
      <w:r>
        <w:rPr>
          <w:rFonts w:cs="Arial"/>
        </w:rPr>
        <w:br w:type="page"/>
      </w:r>
      <w:bookmarkStart w:id="410" w:name="_Toc158026584"/>
      <w:r w:rsidR="000A47B5">
        <w:rPr>
          <w:rFonts w:eastAsia="Times New Roman"/>
          <w:lang w:eastAsia="en-AU"/>
        </w:rPr>
        <w:lastRenderedPageBreak/>
        <w:t>Table 35</w:t>
      </w:r>
      <w:r w:rsidR="00690B1B">
        <w:rPr>
          <w:rFonts w:eastAsia="Times New Roman"/>
          <w:lang w:eastAsia="en-AU"/>
        </w:rPr>
        <w:t xml:space="preserve">: </w:t>
      </w:r>
      <w:r w:rsidR="00690B1B" w:rsidRPr="00FC1B7D">
        <w:rPr>
          <w:rFonts w:eastAsia="Times New Roman"/>
          <w:lang w:eastAsia="en-AU"/>
        </w:rPr>
        <w:t xml:space="preserve">Number of cycles by women’s age group for all women who started their first autologous fresh cycle </w:t>
      </w:r>
      <w:r w:rsidR="00690B1B">
        <w:rPr>
          <w:rFonts w:eastAsia="Times New Roman"/>
          <w:lang w:eastAsia="en-AU"/>
        </w:rPr>
        <w:t xml:space="preserve">(excluding </w:t>
      </w:r>
      <w:r w:rsidR="00690B1B" w:rsidRPr="00E217FF">
        <w:rPr>
          <w:rFonts w:eastAsia="Times New Roman"/>
          <w:iCs/>
          <w:lang w:eastAsia="en-AU"/>
        </w:rPr>
        <w:t>freeze-all</w:t>
      </w:r>
      <w:r w:rsidR="00690B1B" w:rsidRPr="00C46BF4">
        <w:rPr>
          <w:rFonts w:eastAsia="Times New Roman"/>
          <w:iCs/>
          <w:lang w:eastAsia="en-AU"/>
        </w:rPr>
        <w:t xml:space="preserve"> </w:t>
      </w:r>
      <w:r w:rsidR="00690B1B">
        <w:rPr>
          <w:rFonts w:eastAsia="Times New Roman"/>
          <w:lang w:eastAsia="en-AU"/>
        </w:rPr>
        <w:t>cycles</w:t>
      </w:r>
      <w:r w:rsidR="00690B1B" w:rsidRPr="00B55251">
        <w:rPr>
          <w:rFonts w:eastAsia="Times New Roman" w:cs="Arial"/>
          <w:color w:val="000000"/>
          <w:sz w:val="16"/>
          <w:szCs w:val="16"/>
          <w:vertAlign w:val="superscript"/>
          <w:lang w:eastAsia="en-AU"/>
        </w:rPr>
        <w:t>(a)</w:t>
      </w:r>
      <w:r w:rsidR="00690B1B">
        <w:rPr>
          <w:rFonts w:eastAsia="Times New Roman"/>
          <w:lang w:eastAsia="en-AU"/>
        </w:rPr>
        <w:t xml:space="preserve">) </w:t>
      </w:r>
      <w:r w:rsidR="00690B1B" w:rsidRPr="00FC1B7D">
        <w:rPr>
          <w:rFonts w:eastAsia="Times New Roman"/>
          <w:lang w:eastAsia="en-AU"/>
        </w:rPr>
        <w:t>between 1</w:t>
      </w:r>
      <w:r w:rsidR="00690B1B" w:rsidRPr="00E217FF">
        <w:rPr>
          <w:rFonts w:eastAsia="Times New Roman"/>
          <w:vertAlign w:val="superscript"/>
          <w:lang w:eastAsia="en-AU"/>
        </w:rPr>
        <w:t>st</w:t>
      </w:r>
      <w:r w:rsidR="00690B1B" w:rsidRPr="00FC1B7D">
        <w:rPr>
          <w:rFonts w:eastAsia="Times New Roman"/>
          <w:lang w:eastAsia="en-AU"/>
        </w:rPr>
        <w:t xml:space="preserve"> January </w:t>
      </w:r>
      <w:r w:rsidR="00690B1B">
        <w:rPr>
          <w:rFonts w:eastAsia="Times New Roman"/>
          <w:lang w:eastAsia="en-AU"/>
        </w:rPr>
        <w:t>201</w:t>
      </w:r>
      <w:r w:rsidR="00C631F5">
        <w:rPr>
          <w:rFonts w:eastAsia="Times New Roman"/>
          <w:lang w:eastAsia="en-AU"/>
        </w:rPr>
        <w:t>8</w:t>
      </w:r>
      <w:r w:rsidR="00690B1B">
        <w:rPr>
          <w:rFonts w:eastAsia="Times New Roman"/>
          <w:lang w:eastAsia="en-AU"/>
        </w:rPr>
        <w:t xml:space="preserve"> and 31</w:t>
      </w:r>
      <w:r w:rsidR="00690B1B" w:rsidRPr="00E217FF">
        <w:rPr>
          <w:rFonts w:eastAsia="Times New Roman"/>
          <w:vertAlign w:val="superscript"/>
          <w:lang w:eastAsia="en-AU"/>
        </w:rPr>
        <w:t>st</w:t>
      </w:r>
      <w:r w:rsidR="00690B1B">
        <w:rPr>
          <w:rFonts w:eastAsia="Times New Roman"/>
          <w:lang w:eastAsia="en-AU"/>
        </w:rPr>
        <w:t xml:space="preserve"> December 201</w:t>
      </w:r>
      <w:r w:rsidR="00C631F5">
        <w:rPr>
          <w:rFonts w:eastAsia="Times New Roman"/>
          <w:lang w:eastAsia="en-AU"/>
        </w:rPr>
        <w:t>8</w:t>
      </w:r>
      <w:r w:rsidR="00690B1B" w:rsidRPr="00FC1B7D">
        <w:rPr>
          <w:rFonts w:eastAsia="Times New Roman"/>
          <w:lang w:eastAsia="en-AU"/>
        </w:rPr>
        <w:t>, New Zealand</w:t>
      </w:r>
      <w:bookmarkEnd w:id="410"/>
    </w:p>
    <w:tbl>
      <w:tblPr>
        <w:tblW w:w="8931" w:type="dxa"/>
        <w:tblLook w:val="04A0" w:firstRow="1" w:lastRow="0" w:firstColumn="1" w:lastColumn="0" w:noHBand="0" w:noVBand="1"/>
      </w:tblPr>
      <w:tblGrid>
        <w:gridCol w:w="2268"/>
        <w:gridCol w:w="960"/>
        <w:gridCol w:w="1450"/>
        <w:gridCol w:w="1559"/>
        <w:gridCol w:w="1418"/>
        <w:gridCol w:w="1276"/>
      </w:tblGrid>
      <w:tr w:rsidR="00D433A6" w:rsidRPr="00D433A6" w14:paraId="180FFFB2" w14:textId="77777777" w:rsidTr="003D6A05">
        <w:trPr>
          <w:trHeight w:val="227"/>
        </w:trPr>
        <w:tc>
          <w:tcPr>
            <w:tcW w:w="2268" w:type="dxa"/>
            <w:vMerge w:val="restart"/>
            <w:tcBorders>
              <w:top w:val="single" w:sz="12" w:space="0" w:color="auto"/>
              <w:left w:val="nil"/>
              <w:bottom w:val="single" w:sz="8" w:space="0" w:color="000000"/>
              <w:right w:val="nil"/>
            </w:tcBorders>
            <w:shd w:val="clear" w:color="auto" w:fill="auto"/>
            <w:vAlign w:val="bottom"/>
            <w:hideMark/>
          </w:tcPr>
          <w:p w14:paraId="001D61FB" w14:textId="77777777" w:rsidR="00D433A6" w:rsidRPr="00D433A6" w:rsidRDefault="00D433A6" w:rsidP="003D6A05">
            <w:pPr>
              <w:spacing w:after="0" w:line="276" w:lineRule="auto"/>
              <w:rPr>
                <w:rFonts w:ascii="Arial" w:eastAsia="Times New Roman" w:hAnsi="Arial" w:cs="Arial"/>
                <w:b/>
                <w:bCs/>
                <w:color w:val="000000"/>
                <w:sz w:val="16"/>
                <w:szCs w:val="16"/>
                <w:lang w:eastAsia="en-AU"/>
              </w:rPr>
            </w:pPr>
            <w:r w:rsidRPr="00D433A6">
              <w:rPr>
                <w:rFonts w:ascii="Arial" w:eastAsia="Times New Roman" w:hAnsi="Arial" w:cs="Arial"/>
                <w:b/>
                <w:bCs/>
                <w:color w:val="000000"/>
                <w:sz w:val="16"/>
                <w:szCs w:val="16"/>
                <w:lang w:eastAsia="en-AU"/>
              </w:rPr>
              <w:t xml:space="preserve">Cycle number </w:t>
            </w:r>
          </w:p>
        </w:tc>
        <w:tc>
          <w:tcPr>
            <w:tcW w:w="6663" w:type="dxa"/>
            <w:gridSpan w:val="5"/>
            <w:tcBorders>
              <w:top w:val="single" w:sz="12" w:space="0" w:color="auto"/>
              <w:left w:val="nil"/>
              <w:bottom w:val="single" w:sz="4" w:space="0" w:color="auto"/>
              <w:right w:val="nil"/>
            </w:tcBorders>
            <w:shd w:val="clear" w:color="auto" w:fill="auto"/>
            <w:vAlign w:val="center"/>
            <w:hideMark/>
          </w:tcPr>
          <w:p w14:paraId="02447A2F" w14:textId="77777777" w:rsidR="00D433A6" w:rsidRPr="00D433A6" w:rsidRDefault="00D433A6" w:rsidP="003D6A05">
            <w:pPr>
              <w:spacing w:after="0" w:line="276" w:lineRule="auto"/>
              <w:jc w:val="center"/>
              <w:rPr>
                <w:rFonts w:ascii="Arial" w:eastAsia="Times New Roman" w:hAnsi="Arial" w:cs="Arial"/>
                <w:b/>
                <w:bCs/>
                <w:color w:val="000000"/>
                <w:sz w:val="16"/>
                <w:szCs w:val="16"/>
                <w:lang w:eastAsia="en-AU"/>
              </w:rPr>
            </w:pPr>
            <w:r w:rsidRPr="00D433A6">
              <w:rPr>
                <w:rFonts w:ascii="Arial" w:eastAsia="Times New Roman" w:hAnsi="Arial" w:cs="Arial"/>
                <w:b/>
                <w:bCs/>
                <w:color w:val="000000"/>
                <w:sz w:val="16"/>
                <w:szCs w:val="16"/>
                <w:lang w:eastAsia="en-AU"/>
              </w:rPr>
              <w:t>Age group (years)</w:t>
            </w:r>
            <w:r w:rsidRPr="00D433A6">
              <w:rPr>
                <w:rFonts w:ascii="Arial" w:eastAsia="Times New Roman" w:hAnsi="Arial" w:cs="Arial"/>
                <w:b/>
                <w:bCs/>
                <w:color w:val="000000"/>
                <w:sz w:val="16"/>
                <w:szCs w:val="16"/>
                <w:vertAlign w:val="superscript"/>
                <w:lang w:eastAsia="en-AU"/>
              </w:rPr>
              <w:t>(b)</w:t>
            </w:r>
          </w:p>
        </w:tc>
      </w:tr>
      <w:tr w:rsidR="00D433A6" w:rsidRPr="00D433A6" w14:paraId="7E5DB64F" w14:textId="77777777" w:rsidTr="003D6A05">
        <w:trPr>
          <w:trHeight w:val="227"/>
        </w:trPr>
        <w:tc>
          <w:tcPr>
            <w:tcW w:w="2268" w:type="dxa"/>
            <w:vMerge/>
            <w:tcBorders>
              <w:top w:val="single" w:sz="8" w:space="0" w:color="auto"/>
              <w:left w:val="nil"/>
              <w:bottom w:val="single" w:sz="4" w:space="0" w:color="auto"/>
              <w:right w:val="nil"/>
            </w:tcBorders>
            <w:vAlign w:val="center"/>
            <w:hideMark/>
          </w:tcPr>
          <w:p w14:paraId="38D10E5E" w14:textId="77777777" w:rsidR="00D433A6" w:rsidRPr="00D433A6" w:rsidRDefault="00D433A6" w:rsidP="003D6A05">
            <w:pPr>
              <w:spacing w:after="0" w:line="276" w:lineRule="auto"/>
              <w:rPr>
                <w:rFonts w:ascii="Arial" w:eastAsia="Times New Roman" w:hAnsi="Arial" w:cs="Arial"/>
                <w:b/>
                <w:bCs/>
                <w:color w:val="000000"/>
                <w:sz w:val="16"/>
                <w:szCs w:val="16"/>
                <w:lang w:eastAsia="en-AU"/>
              </w:rPr>
            </w:pPr>
          </w:p>
        </w:tc>
        <w:tc>
          <w:tcPr>
            <w:tcW w:w="960" w:type="dxa"/>
            <w:tcBorders>
              <w:top w:val="single" w:sz="4" w:space="0" w:color="auto"/>
              <w:left w:val="nil"/>
              <w:bottom w:val="single" w:sz="4" w:space="0" w:color="auto"/>
              <w:right w:val="nil"/>
            </w:tcBorders>
            <w:shd w:val="clear" w:color="auto" w:fill="auto"/>
            <w:vAlign w:val="center"/>
            <w:hideMark/>
          </w:tcPr>
          <w:p w14:paraId="47210760" w14:textId="77777777" w:rsidR="00D433A6" w:rsidRPr="00D433A6" w:rsidRDefault="00D433A6" w:rsidP="003D6A05">
            <w:pPr>
              <w:spacing w:after="0" w:line="276" w:lineRule="auto"/>
              <w:jc w:val="right"/>
              <w:rPr>
                <w:rFonts w:ascii="Arial" w:eastAsia="Times New Roman" w:hAnsi="Arial" w:cs="Arial"/>
                <w:b/>
                <w:bCs/>
                <w:color w:val="000000"/>
                <w:sz w:val="16"/>
                <w:szCs w:val="16"/>
                <w:lang w:eastAsia="en-AU"/>
              </w:rPr>
            </w:pPr>
            <w:r w:rsidRPr="00D433A6">
              <w:rPr>
                <w:rFonts w:ascii="Arial" w:eastAsia="Times New Roman" w:hAnsi="Arial" w:cs="Arial"/>
                <w:b/>
                <w:bCs/>
                <w:color w:val="000000"/>
                <w:sz w:val="16"/>
                <w:szCs w:val="16"/>
                <w:lang w:eastAsia="en-AU"/>
              </w:rPr>
              <w:t>&lt; 30</w:t>
            </w:r>
          </w:p>
        </w:tc>
        <w:tc>
          <w:tcPr>
            <w:tcW w:w="1450" w:type="dxa"/>
            <w:tcBorders>
              <w:top w:val="single" w:sz="4" w:space="0" w:color="auto"/>
              <w:left w:val="nil"/>
              <w:bottom w:val="single" w:sz="4" w:space="0" w:color="auto"/>
              <w:right w:val="nil"/>
            </w:tcBorders>
            <w:shd w:val="clear" w:color="auto" w:fill="auto"/>
            <w:vAlign w:val="center"/>
            <w:hideMark/>
          </w:tcPr>
          <w:p w14:paraId="5924BA27" w14:textId="77777777" w:rsidR="00D433A6" w:rsidRPr="00D433A6" w:rsidRDefault="00D433A6" w:rsidP="003D6A05">
            <w:pPr>
              <w:spacing w:after="0" w:line="276" w:lineRule="auto"/>
              <w:jc w:val="right"/>
              <w:rPr>
                <w:rFonts w:ascii="Arial" w:eastAsia="Times New Roman" w:hAnsi="Arial" w:cs="Arial"/>
                <w:b/>
                <w:bCs/>
                <w:color w:val="000000"/>
                <w:sz w:val="16"/>
                <w:szCs w:val="16"/>
                <w:lang w:eastAsia="en-AU"/>
              </w:rPr>
            </w:pPr>
            <w:r w:rsidRPr="00D433A6">
              <w:rPr>
                <w:rFonts w:ascii="Arial" w:eastAsia="Times New Roman" w:hAnsi="Arial" w:cs="Arial"/>
                <w:b/>
                <w:bCs/>
                <w:color w:val="000000"/>
                <w:sz w:val="16"/>
                <w:szCs w:val="16"/>
                <w:lang w:eastAsia="en-AU"/>
              </w:rPr>
              <w:t>30-34</w:t>
            </w:r>
          </w:p>
        </w:tc>
        <w:tc>
          <w:tcPr>
            <w:tcW w:w="1559" w:type="dxa"/>
            <w:tcBorders>
              <w:top w:val="single" w:sz="4" w:space="0" w:color="auto"/>
              <w:left w:val="nil"/>
              <w:bottom w:val="single" w:sz="4" w:space="0" w:color="auto"/>
              <w:right w:val="nil"/>
            </w:tcBorders>
            <w:shd w:val="clear" w:color="auto" w:fill="auto"/>
            <w:vAlign w:val="center"/>
            <w:hideMark/>
          </w:tcPr>
          <w:p w14:paraId="7106408F" w14:textId="77777777" w:rsidR="00D433A6" w:rsidRPr="00D433A6" w:rsidRDefault="00D433A6" w:rsidP="003D6A05">
            <w:pPr>
              <w:spacing w:after="0" w:line="276" w:lineRule="auto"/>
              <w:jc w:val="right"/>
              <w:rPr>
                <w:rFonts w:ascii="Arial" w:eastAsia="Times New Roman" w:hAnsi="Arial" w:cs="Arial"/>
                <w:b/>
                <w:bCs/>
                <w:color w:val="000000"/>
                <w:sz w:val="16"/>
                <w:szCs w:val="16"/>
                <w:lang w:eastAsia="en-AU"/>
              </w:rPr>
            </w:pPr>
            <w:r w:rsidRPr="00D433A6">
              <w:rPr>
                <w:rFonts w:ascii="Arial" w:eastAsia="Times New Roman" w:hAnsi="Arial" w:cs="Arial"/>
                <w:b/>
                <w:bCs/>
                <w:color w:val="000000"/>
                <w:sz w:val="16"/>
                <w:szCs w:val="16"/>
                <w:lang w:eastAsia="en-AU"/>
              </w:rPr>
              <w:t>35-39</w:t>
            </w:r>
          </w:p>
        </w:tc>
        <w:tc>
          <w:tcPr>
            <w:tcW w:w="1418" w:type="dxa"/>
            <w:tcBorders>
              <w:top w:val="single" w:sz="4" w:space="0" w:color="auto"/>
              <w:left w:val="nil"/>
              <w:bottom w:val="single" w:sz="4" w:space="0" w:color="auto"/>
              <w:right w:val="nil"/>
            </w:tcBorders>
            <w:shd w:val="clear" w:color="auto" w:fill="auto"/>
            <w:vAlign w:val="center"/>
            <w:hideMark/>
          </w:tcPr>
          <w:p w14:paraId="17E7985A" w14:textId="77777777" w:rsidR="00D433A6" w:rsidRPr="00D433A6" w:rsidRDefault="00D433A6" w:rsidP="003D6A05">
            <w:pPr>
              <w:spacing w:after="0" w:line="276" w:lineRule="auto"/>
              <w:jc w:val="right"/>
              <w:rPr>
                <w:rFonts w:ascii="Arial" w:eastAsia="Times New Roman" w:hAnsi="Arial" w:cs="Arial"/>
                <w:b/>
                <w:bCs/>
                <w:color w:val="000000"/>
                <w:sz w:val="16"/>
                <w:szCs w:val="16"/>
                <w:lang w:eastAsia="en-AU"/>
              </w:rPr>
            </w:pPr>
            <w:r w:rsidRPr="00D433A6">
              <w:rPr>
                <w:rFonts w:ascii="Arial" w:eastAsia="Times New Roman" w:hAnsi="Arial" w:cs="Arial"/>
                <w:b/>
                <w:bCs/>
                <w:color w:val="000000"/>
                <w:sz w:val="16"/>
                <w:szCs w:val="16"/>
                <w:lang w:eastAsia="en-AU"/>
              </w:rPr>
              <w:t>≥ 40</w:t>
            </w:r>
          </w:p>
        </w:tc>
        <w:tc>
          <w:tcPr>
            <w:tcW w:w="1276" w:type="dxa"/>
            <w:tcBorders>
              <w:top w:val="single" w:sz="4" w:space="0" w:color="auto"/>
              <w:left w:val="nil"/>
              <w:bottom w:val="single" w:sz="4" w:space="0" w:color="auto"/>
              <w:right w:val="nil"/>
            </w:tcBorders>
            <w:shd w:val="clear" w:color="auto" w:fill="auto"/>
            <w:vAlign w:val="center"/>
            <w:hideMark/>
          </w:tcPr>
          <w:p w14:paraId="2ACC657A" w14:textId="77777777" w:rsidR="00D433A6" w:rsidRPr="00D433A6" w:rsidRDefault="00D433A6" w:rsidP="003D6A05">
            <w:pPr>
              <w:spacing w:after="0" w:line="276" w:lineRule="auto"/>
              <w:jc w:val="right"/>
              <w:rPr>
                <w:rFonts w:ascii="Arial" w:eastAsia="Times New Roman" w:hAnsi="Arial" w:cs="Arial"/>
                <w:b/>
                <w:bCs/>
                <w:color w:val="000000"/>
                <w:sz w:val="16"/>
                <w:szCs w:val="16"/>
                <w:lang w:eastAsia="en-AU"/>
              </w:rPr>
            </w:pPr>
            <w:r w:rsidRPr="00D433A6">
              <w:rPr>
                <w:rFonts w:ascii="Arial" w:eastAsia="Times New Roman" w:hAnsi="Arial" w:cs="Arial"/>
                <w:b/>
                <w:bCs/>
                <w:color w:val="000000"/>
                <w:sz w:val="16"/>
                <w:szCs w:val="16"/>
                <w:lang w:eastAsia="en-AU"/>
              </w:rPr>
              <w:t>All</w:t>
            </w:r>
          </w:p>
        </w:tc>
      </w:tr>
      <w:tr w:rsidR="00D433A6" w:rsidRPr="00D433A6" w14:paraId="1C03A549" w14:textId="77777777" w:rsidTr="003D6A05">
        <w:trPr>
          <w:trHeight w:val="227"/>
        </w:trPr>
        <w:tc>
          <w:tcPr>
            <w:tcW w:w="2268" w:type="dxa"/>
            <w:tcBorders>
              <w:top w:val="nil"/>
              <w:left w:val="nil"/>
              <w:bottom w:val="nil"/>
              <w:right w:val="nil"/>
            </w:tcBorders>
            <w:shd w:val="clear" w:color="auto" w:fill="auto"/>
            <w:noWrap/>
            <w:vAlign w:val="bottom"/>
            <w:hideMark/>
          </w:tcPr>
          <w:p w14:paraId="6C27EF5B" w14:textId="77777777" w:rsidR="00D433A6" w:rsidRPr="00D433A6" w:rsidRDefault="00D433A6" w:rsidP="003D6A05">
            <w:pPr>
              <w:spacing w:after="0" w:line="276" w:lineRule="auto"/>
              <w:rPr>
                <w:rFonts w:ascii="Arial" w:eastAsia="Times New Roman" w:hAnsi="Arial" w:cs="Arial"/>
                <w:color w:val="000000"/>
                <w:sz w:val="16"/>
                <w:szCs w:val="16"/>
                <w:lang w:eastAsia="en-AU"/>
              </w:rPr>
            </w:pPr>
          </w:p>
        </w:tc>
        <w:tc>
          <w:tcPr>
            <w:tcW w:w="6663" w:type="dxa"/>
            <w:gridSpan w:val="5"/>
            <w:tcBorders>
              <w:top w:val="single" w:sz="4" w:space="0" w:color="auto"/>
              <w:left w:val="nil"/>
              <w:bottom w:val="nil"/>
              <w:right w:val="nil"/>
            </w:tcBorders>
            <w:shd w:val="clear" w:color="auto" w:fill="auto"/>
            <w:noWrap/>
            <w:vAlign w:val="center"/>
            <w:hideMark/>
          </w:tcPr>
          <w:p w14:paraId="53165D3C" w14:textId="77777777" w:rsidR="00D433A6" w:rsidRPr="00D433A6" w:rsidRDefault="00D433A6" w:rsidP="003D6A05">
            <w:pPr>
              <w:spacing w:after="0" w:line="276" w:lineRule="auto"/>
              <w:jc w:val="center"/>
              <w:rPr>
                <w:rFonts w:ascii="Arial" w:eastAsia="Times New Roman" w:hAnsi="Arial" w:cs="Arial"/>
                <w:b/>
                <w:color w:val="000000"/>
                <w:sz w:val="16"/>
                <w:szCs w:val="16"/>
                <w:lang w:eastAsia="en-AU"/>
              </w:rPr>
            </w:pPr>
            <w:r w:rsidRPr="00D433A6">
              <w:rPr>
                <w:rFonts w:ascii="Arial" w:eastAsia="Times New Roman" w:hAnsi="Arial" w:cs="Arial"/>
                <w:b/>
                <w:color w:val="000000"/>
                <w:sz w:val="16"/>
                <w:szCs w:val="16"/>
                <w:lang w:eastAsia="en-AU"/>
              </w:rPr>
              <w:t>n</w:t>
            </w:r>
          </w:p>
        </w:tc>
      </w:tr>
      <w:tr w:rsidR="00BA2AA7" w:rsidRPr="00D433A6" w14:paraId="5F1A8902" w14:textId="77777777" w:rsidTr="003D6A05">
        <w:trPr>
          <w:trHeight w:val="227"/>
        </w:trPr>
        <w:tc>
          <w:tcPr>
            <w:tcW w:w="2268" w:type="dxa"/>
            <w:tcBorders>
              <w:top w:val="nil"/>
              <w:left w:val="nil"/>
              <w:bottom w:val="nil"/>
              <w:right w:val="nil"/>
            </w:tcBorders>
            <w:shd w:val="clear" w:color="auto" w:fill="auto"/>
            <w:vAlign w:val="center"/>
            <w:hideMark/>
          </w:tcPr>
          <w:p w14:paraId="52E896DE" w14:textId="77777777" w:rsidR="00BA2AA7" w:rsidRPr="00D433A6" w:rsidRDefault="00BA2AA7" w:rsidP="00BA2AA7">
            <w:pPr>
              <w:spacing w:after="0" w:line="276" w:lineRule="auto"/>
              <w:rPr>
                <w:rFonts w:ascii="Arial" w:eastAsia="Times New Roman" w:hAnsi="Arial" w:cs="Arial"/>
                <w:color w:val="000000"/>
                <w:sz w:val="16"/>
                <w:szCs w:val="16"/>
                <w:lang w:eastAsia="en-AU"/>
              </w:rPr>
            </w:pPr>
            <w:r w:rsidRPr="00D433A6">
              <w:rPr>
                <w:rFonts w:ascii="Arial" w:eastAsia="Times New Roman" w:hAnsi="Arial" w:cs="Arial"/>
                <w:color w:val="000000"/>
                <w:sz w:val="16"/>
                <w:szCs w:val="16"/>
                <w:lang w:eastAsia="en-AU"/>
              </w:rPr>
              <w:t>One</w:t>
            </w:r>
          </w:p>
        </w:tc>
        <w:tc>
          <w:tcPr>
            <w:tcW w:w="960" w:type="dxa"/>
            <w:tcBorders>
              <w:top w:val="nil"/>
              <w:left w:val="nil"/>
              <w:bottom w:val="nil"/>
              <w:right w:val="nil"/>
            </w:tcBorders>
            <w:shd w:val="clear" w:color="auto" w:fill="auto"/>
            <w:noWrap/>
            <w:vAlign w:val="bottom"/>
          </w:tcPr>
          <w:p w14:paraId="3FF0A913" w14:textId="12888AB0"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121</w:t>
            </w:r>
          </w:p>
        </w:tc>
        <w:tc>
          <w:tcPr>
            <w:tcW w:w="1450" w:type="dxa"/>
            <w:tcBorders>
              <w:top w:val="nil"/>
              <w:left w:val="nil"/>
              <w:bottom w:val="nil"/>
              <w:right w:val="nil"/>
            </w:tcBorders>
            <w:shd w:val="clear" w:color="auto" w:fill="auto"/>
            <w:noWrap/>
            <w:vAlign w:val="bottom"/>
          </w:tcPr>
          <w:p w14:paraId="0E93235C" w14:textId="1B3D2BD3"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287</w:t>
            </w:r>
          </w:p>
        </w:tc>
        <w:tc>
          <w:tcPr>
            <w:tcW w:w="1559" w:type="dxa"/>
            <w:tcBorders>
              <w:top w:val="nil"/>
              <w:left w:val="nil"/>
              <w:bottom w:val="nil"/>
              <w:right w:val="nil"/>
            </w:tcBorders>
            <w:shd w:val="clear" w:color="auto" w:fill="auto"/>
            <w:noWrap/>
            <w:vAlign w:val="bottom"/>
          </w:tcPr>
          <w:p w14:paraId="3DC031A6" w14:textId="14C705BC"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275</w:t>
            </w:r>
          </w:p>
        </w:tc>
        <w:tc>
          <w:tcPr>
            <w:tcW w:w="1418" w:type="dxa"/>
            <w:tcBorders>
              <w:top w:val="nil"/>
              <w:left w:val="nil"/>
              <w:bottom w:val="nil"/>
              <w:right w:val="nil"/>
            </w:tcBorders>
            <w:shd w:val="clear" w:color="auto" w:fill="auto"/>
            <w:noWrap/>
            <w:vAlign w:val="bottom"/>
          </w:tcPr>
          <w:p w14:paraId="113D941C" w14:textId="3233CD19"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145</w:t>
            </w:r>
          </w:p>
        </w:tc>
        <w:tc>
          <w:tcPr>
            <w:tcW w:w="1276" w:type="dxa"/>
            <w:tcBorders>
              <w:top w:val="nil"/>
              <w:left w:val="nil"/>
              <w:bottom w:val="nil"/>
              <w:right w:val="nil"/>
            </w:tcBorders>
            <w:shd w:val="clear" w:color="auto" w:fill="auto"/>
            <w:noWrap/>
            <w:vAlign w:val="bottom"/>
          </w:tcPr>
          <w:p w14:paraId="0267B1BE" w14:textId="084FFCB8" w:rsidR="00BA2AA7" w:rsidRPr="00AA3DEE" w:rsidRDefault="00BA2AA7" w:rsidP="00BA2AA7">
            <w:pPr>
              <w:spacing w:after="0" w:line="276" w:lineRule="auto"/>
              <w:jc w:val="right"/>
              <w:rPr>
                <w:rFonts w:ascii="Arial" w:hAnsi="Arial" w:cs="Arial"/>
                <w:color w:val="000000"/>
                <w:sz w:val="16"/>
                <w:szCs w:val="16"/>
              </w:rPr>
            </w:pPr>
            <w:r w:rsidRPr="00487E53">
              <w:rPr>
                <w:rFonts w:ascii="Arial" w:hAnsi="Arial" w:cs="Arial"/>
                <w:color w:val="000000"/>
                <w:sz w:val="16"/>
                <w:szCs w:val="16"/>
              </w:rPr>
              <w:t>828</w:t>
            </w:r>
          </w:p>
        </w:tc>
      </w:tr>
      <w:tr w:rsidR="00BA2AA7" w:rsidRPr="00D433A6" w14:paraId="16E9B458" w14:textId="77777777" w:rsidTr="003D6A05">
        <w:trPr>
          <w:trHeight w:val="227"/>
        </w:trPr>
        <w:tc>
          <w:tcPr>
            <w:tcW w:w="2268" w:type="dxa"/>
            <w:tcBorders>
              <w:top w:val="nil"/>
              <w:left w:val="nil"/>
              <w:bottom w:val="nil"/>
              <w:right w:val="nil"/>
            </w:tcBorders>
            <w:shd w:val="clear" w:color="auto" w:fill="auto"/>
            <w:vAlign w:val="center"/>
            <w:hideMark/>
          </w:tcPr>
          <w:p w14:paraId="1806FA68" w14:textId="77777777" w:rsidR="00BA2AA7" w:rsidRPr="00D433A6" w:rsidRDefault="00BA2AA7" w:rsidP="00BA2AA7">
            <w:pPr>
              <w:spacing w:after="0" w:line="276" w:lineRule="auto"/>
              <w:rPr>
                <w:rFonts w:ascii="Arial" w:eastAsia="Times New Roman" w:hAnsi="Arial" w:cs="Arial"/>
                <w:color w:val="000000"/>
                <w:sz w:val="16"/>
                <w:szCs w:val="16"/>
                <w:lang w:eastAsia="en-AU"/>
              </w:rPr>
            </w:pPr>
            <w:r w:rsidRPr="00D433A6">
              <w:rPr>
                <w:rFonts w:ascii="Arial" w:eastAsia="Times New Roman" w:hAnsi="Arial" w:cs="Arial"/>
                <w:color w:val="000000"/>
                <w:sz w:val="16"/>
                <w:szCs w:val="16"/>
                <w:lang w:eastAsia="en-AU"/>
              </w:rPr>
              <w:t>Two</w:t>
            </w:r>
          </w:p>
        </w:tc>
        <w:tc>
          <w:tcPr>
            <w:tcW w:w="960" w:type="dxa"/>
            <w:tcBorders>
              <w:top w:val="nil"/>
              <w:left w:val="nil"/>
              <w:bottom w:val="nil"/>
              <w:right w:val="nil"/>
            </w:tcBorders>
            <w:shd w:val="clear" w:color="auto" w:fill="auto"/>
            <w:noWrap/>
            <w:vAlign w:val="bottom"/>
          </w:tcPr>
          <w:p w14:paraId="5EC128BE" w14:textId="7F9EE100"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46</w:t>
            </w:r>
          </w:p>
        </w:tc>
        <w:tc>
          <w:tcPr>
            <w:tcW w:w="1450" w:type="dxa"/>
            <w:tcBorders>
              <w:top w:val="nil"/>
              <w:left w:val="nil"/>
              <w:bottom w:val="nil"/>
              <w:right w:val="nil"/>
            </w:tcBorders>
            <w:shd w:val="clear" w:color="auto" w:fill="auto"/>
            <w:noWrap/>
            <w:vAlign w:val="bottom"/>
          </w:tcPr>
          <w:p w14:paraId="3344ED5F" w14:textId="0D2ACC1E"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188</w:t>
            </w:r>
          </w:p>
        </w:tc>
        <w:tc>
          <w:tcPr>
            <w:tcW w:w="1559" w:type="dxa"/>
            <w:tcBorders>
              <w:top w:val="nil"/>
              <w:left w:val="nil"/>
              <w:bottom w:val="nil"/>
              <w:right w:val="nil"/>
            </w:tcBorders>
            <w:shd w:val="clear" w:color="auto" w:fill="auto"/>
            <w:noWrap/>
            <w:vAlign w:val="bottom"/>
          </w:tcPr>
          <w:p w14:paraId="76532203" w14:textId="3DE54BFA"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165</w:t>
            </w:r>
          </w:p>
        </w:tc>
        <w:tc>
          <w:tcPr>
            <w:tcW w:w="1418" w:type="dxa"/>
            <w:tcBorders>
              <w:top w:val="nil"/>
              <w:left w:val="nil"/>
              <w:bottom w:val="nil"/>
              <w:right w:val="nil"/>
            </w:tcBorders>
            <w:shd w:val="clear" w:color="auto" w:fill="auto"/>
            <w:noWrap/>
            <w:vAlign w:val="bottom"/>
          </w:tcPr>
          <w:p w14:paraId="6E4CB862" w14:textId="20A08EB0"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69</w:t>
            </w:r>
          </w:p>
        </w:tc>
        <w:tc>
          <w:tcPr>
            <w:tcW w:w="1276" w:type="dxa"/>
            <w:tcBorders>
              <w:top w:val="nil"/>
              <w:left w:val="nil"/>
              <w:bottom w:val="nil"/>
              <w:right w:val="nil"/>
            </w:tcBorders>
            <w:shd w:val="clear" w:color="auto" w:fill="auto"/>
            <w:noWrap/>
            <w:vAlign w:val="bottom"/>
          </w:tcPr>
          <w:p w14:paraId="104A8C01" w14:textId="4A8EB9BF" w:rsidR="00BA2AA7" w:rsidRPr="00AA3DEE" w:rsidRDefault="00BA2AA7" w:rsidP="00BA2AA7">
            <w:pPr>
              <w:spacing w:after="0" w:line="276" w:lineRule="auto"/>
              <w:jc w:val="right"/>
              <w:rPr>
                <w:rFonts w:ascii="Arial" w:hAnsi="Arial" w:cs="Arial"/>
                <w:color w:val="000000"/>
                <w:sz w:val="16"/>
                <w:szCs w:val="16"/>
              </w:rPr>
            </w:pPr>
            <w:r w:rsidRPr="00487E53">
              <w:rPr>
                <w:rFonts w:ascii="Arial" w:hAnsi="Arial" w:cs="Arial"/>
                <w:color w:val="000000"/>
                <w:sz w:val="16"/>
                <w:szCs w:val="16"/>
              </w:rPr>
              <w:t>468</w:t>
            </w:r>
          </w:p>
        </w:tc>
      </w:tr>
      <w:tr w:rsidR="00BA2AA7" w:rsidRPr="00D433A6" w14:paraId="577FEE94" w14:textId="77777777" w:rsidTr="003D6A05">
        <w:trPr>
          <w:trHeight w:val="227"/>
        </w:trPr>
        <w:tc>
          <w:tcPr>
            <w:tcW w:w="2268" w:type="dxa"/>
            <w:tcBorders>
              <w:top w:val="nil"/>
              <w:left w:val="nil"/>
              <w:bottom w:val="nil"/>
              <w:right w:val="nil"/>
            </w:tcBorders>
            <w:shd w:val="clear" w:color="auto" w:fill="auto"/>
            <w:vAlign w:val="center"/>
            <w:hideMark/>
          </w:tcPr>
          <w:p w14:paraId="1EB84D5E" w14:textId="77777777" w:rsidR="00BA2AA7" w:rsidRPr="00D433A6" w:rsidRDefault="00BA2AA7" w:rsidP="00BA2AA7">
            <w:pPr>
              <w:spacing w:after="0" w:line="276" w:lineRule="auto"/>
              <w:rPr>
                <w:rFonts w:ascii="Arial" w:eastAsia="Times New Roman" w:hAnsi="Arial" w:cs="Arial"/>
                <w:color w:val="000000"/>
                <w:sz w:val="16"/>
                <w:szCs w:val="16"/>
                <w:lang w:eastAsia="en-AU"/>
              </w:rPr>
            </w:pPr>
            <w:r w:rsidRPr="00D433A6">
              <w:rPr>
                <w:rFonts w:ascii="Arial" w:eastAsia="Times New Roman" w:hAnsi="Arial" w:cs="Arial"/>
                <w:color w:val="000000"/>
                <w:sz w:val="16"/>
                <w:szCs w:val="16"/>
                <w:lang w:eastAsia="en-AU"/>
              </w:rPr>
              <w:t>Three</w:t>
            </w:r>
          </w:p>
        </w:tc>
        <w:tc>
          <w:tcPr>
            <w:tcW w:w="960" w:type="dxa"/>
            <w:tcBorders>
              <w:top w:val="nil"/>
              <w:left w:val="nil"/>
              <w:bottom w:val="nil"/>
              <w:right w:val="nil"/>
            </w:tcBorders>
            <w:shd w:val="clear" w:color="auto" w:fill="auto"/>
            <w:noWrap/>
            <w:vAlign w:val="bottom"/>
          </w:tcPr>
          <w:p w14:paraId="1F7CC7DF" w14:textId="6078BCFC"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37</w:t>
            </w:r>
          </w:p>
        </w:tc>
        <w:tc>
          <w:tcPr>
            <w:tcW w:w="1450" w:type="dxa"/>
            <w:tcBorders>
              <w:top w:val="nil"/>
              <w:left w:val="nil"/>
              <w:bottom w:val="nil"/>
              <w:right w:val="nil"/>
            </w:tcBorders>
            <w:shd w:val="clear" w:color="auto" w:fill="auto"/>
            <w:noWrap/>
            <w:vAlign w:val="bottom"/>
          </w:tcPr>
          <w:p w14:paraId="110C7CBF" w14:textId="12F6FF45"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88</w:t>
            </w:r>
          </w:p>
        </w:tc>
        <w:tc>
          <w:tcPr>
            <w:tcW w:w="1559" w:type="dxa"/>
            <w:tcBorders>
              <w:top w:val="nil"/>
              <w:left w:val="nil"/>
              <w:bottom w:val="nil"/>
              <w:right w:val="nil"/>
            </w:tcBorders>
            <w:shd w:val="clear" w:color="auto" w:fill="auto"/>
            <w:noWrap/>
            <w:vAlign w:val="bottom"/>
          </w:tcPr>
          <w:p w14:paraId="271A70D9" w14:textId="28ABA6E0"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89</w:t>
            </w:r>
          </w:p>
        </w:tc>
        <w:tc>
          <w:tcPr>
            <w:tcW w:w="1418" w:type="dxa"/>
            <w:tcBorders>
              <w:top w:val="nil"/>
              <w:left w:val="nil"/>
              <w:bottom w:val="nil"/>
              <w:right w:val="nil"/>
            </w:tcBorders>
            <w:shd w:val="clear" w:color="auto" w:fill="auto"/>
            <w:noWrap/>
            <w:vAlign w:val="bottom"/>
          </w:tcPr>
          <w:p w14:paraId="3C67F6EB" w14:textId="5C2DAAAD"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29</w:t>
            </w:r>
          </w:p>
        </w:tc>
        <w:tc>
          <w:tcPr>
            <w:tcW w:w="1276" w:type="dxa"/>
            <w:tcBorders>
              <w:top w:val="nil"/>
              <w:left w:val="nil"/>
              <w:bottom w:val="nil"/>
              <w:right w:val="nil"/>
            </w:tcBorders>
            <w:shd w:val="clear" w:color="auto" w:fill="auto"/>
            <w:noWrap/>
            <w:vAlign w:val="bottom"/>
          </w:tcPr>
          <w:p w14:paraId="7B787726" w14:textId="5EF99DBD" w:rsidR="00BA2AA7" w:rsidRPr="00AA3DEE" w:rsidRDefault="00BA2AA7" w:rsidP="00BA2AA7">
            <w:pPr>
              <w:spacing w:after="0" w:line="276" w:lineRule="auto"/>
              <w:jc w:val="right"/>
              <w:rPr>
                <w:rFonts w:ascii="Arial" w:hAnsi="Arial" w:cs="Arial"/>
                <w:color w:val="000000"/>
                <w:sz w:val="16"/>
                <w:szCs w:val="16"/>
              </w:rPr>
            </w:pPr>
            <w:r w:rsidRPr="00487E53">
              <w:rPr>
                <w:rFonts w:ascii="Arial" w:hAnsi="Arial" w:cs="Arial"/>
                <w:color w:val="000000"/>
                <w:sz w:val="16"/>
                <w:szCs w:val="16"/>
              </w:rPr>
              <w:t>243</w:t>
            </w:r>
          </w:p>
        </w:tc>
      </w:tr>
      <w:tr w:rsidR="00BA2AA7" w:rsidRPr="00D433A6" w14:paraId="7CDB6BF4" w14:textId="77777777" w:rsidTr="003D6A05">
        <w:trPr>
          <w:trHeight w:val="227"/>
        </w:trPr>
        <w:tc>
          <w:tcPr>
            <w:tcW w:w="2268" w:type="dxa"/>
            <w:tcBorders>
              <w:top w:val="nil"/>
              <w:left w:val="nil"/>
              <w:bottom w:val="nil"/>
              <w:right w:val="nil"/>
            </w:tcBorders>
            <w:shd w:val="clear" w:color="auto" w:fill="auto"/>
            <w:vAlign w:val="center"/>
            <w:hideMark/>
          </w:tcPr>
          <w:p w14:paraId="61F094AE" w14:textId="77777777" w:rsidR="00BA2AA7" w:rsidRPr="00D433A6" w:rsidRDefault="00BA2AA7" w:rsidP="00BA2AA7">
            <w:pPr>
              <w:spacing w:after="0" w:line="276" w:lineRule="auto"/>
              <w:rPr>
                <w:rFonts w:ascii="Arial" w:eastAsia="Times New Roman" w:hAnsi="Arial" w:cs="Arial"/>
                <w:color w:val="000000"/>
                <w:sz w:val="16"/>
                <w:szCs w:val="16"/>
                <w:lang w:eastAsia="en-AU"/>
              </w:rPr>
            </w:pPr>
            <w:r w:rsidRPr="00D433A6">
              <w:rPr>
                <w:rFonts w:ascii="Arial" w:eastAsia="Times New Roman" w:hAnsi="Arial" w:cs="Arial"/>
                <w:color w:val="000000"/>
                <w:sz w:val="16"/>
                <w:szCs w:val="16"/>
                <w:lang w:eastAsia="en-AU"/>
              </w:rPr>
              <w:t>Four</w:t>
            </w:r>
          </w:p>
        </w:tc>
        <w:tc>
          <w:tcPr>
            <w:tcW w:w="960" w:type="dxa"/>
            <w:tcBorders>
              <w:top w:val="nil"/>
              <w:left w:val="nil"/>
              <w:bottom w:val="nil"/>
              <w:right w:val="nil"/>
            </w:tcBorders>
            <w:shd w:val="clear" w:color="auto" w:fill="auto"/>
            <w:noWrap/>
            <w:vAlign w:val="bottom"/>
          </w:tcPr>
          <w:p w14:paraId="6584CD25" w14:textId="29255545"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11</w:t>
            </w:r>
          </w:p>
        </w:tc>
        <w:tc>
          <w:tcPr>
            <w:tcW w:w="1450" w:type="dxa"/>
            <w:tcBorders>
              <w:top w:val="nil"/>
              <w:left w:val="nil"/>
              <w:bottom w:val="nil"/>
              <w:right w:val="nil"/>
            </w:tcBorders>
            <w:shd w:val="clear" w:color="auto" w:fill="auto"/>
            <w:noWrap/>
            <w:vAlign w:val="bottom"/>
          </w:tcPr>
          <w:p w14:paraId="32BF00E6" w14:textId="18450A57"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50</w:t>
            </w:r>
          </w:p>
        </w:tc>
        <w:tc>
          <w:tcPr>
            <w:tcW w:w="1559" w:type="dxa"/>
            <w:tcBorders>
              <w:top w:val="nil"/>
              <w:left w:val="nil"/>
              <w:bottom w:val="nil"/>
              <w:right w:val="nil"/>
            </w:tcBorders>
            <w:shd w:val="clear" w:color="auto" w:fill="auto"/>
            <w:noWrap/>
            <w:vAlign w:val="bottom"/>
          </w:tcPr>
          <w:p w14:paraId="64924614" w14:textId="2BAA7004"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63</w:t>
            </w:r>
          </w:p>
        </w:tc>
        <w:tc>
          <w:tcPr>
            <w:tcW w:w="1418" w:type="dxa"/>
            <w:tcBorders>
              <w:top w:val="nil"/>
              <w:left w:val="nil"/>
              <w:bottom w:val="nil"/>
              <w:right w:val="nil"/>
            </w:tcBorders>
            <w:shd w:val="clear" w:color="auto" w:fill="auto"/>
            <w:noWrap/>
            <w:vAlign w:val="bottom"/>
          </w:tcPr>
          <w:p w14:paraId="5A9754E4" w14:textId="44981D13"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21</w:t>
            </w:r>
          </w:p>
        </w:tc>
        <w:tc>
          <w:tcPr>
            <w:tcW w:w="1276" w:type="dxa"/>
            <w:tcBorders>
              <w:top w:val="nil"/>
              <w:left w:val="nil"/>
              <w:bottom w:val="nil"/>
              <w:right w:val="nil"/>
            </w:tcBorders>
            <w:shd w:val="clear" w:color="auto" w:fill="auto"/>
            <w:noWrap/>
            <w:vAlign w:val="bottom"/>
          </w:tcPr>
          <w:p w14:paraId="7AA090AE" w14:textId="1AA030A8" w:rsidR="00BA2AA7" w:rsidRPr="00AA3DEE" w:rsidRDefault="00BA2AA7" w:rsidP="00BA2AA7">
            <w:pPr>
              <w:spacing w:after="0" w:line="276" w:lineRule="auto"/>
              <w:jc w:val="right"/>
              <w:rPr>
                <w:rFonts w:ascii="Arial" w:hAnsi="Arial" w:cs="Arial"/>
                <w:color w:val="000000"/>
                <w:sz w:val="16"/>
                <w:szCs w:val="16"/>
              </w:rPr>
            </w:pPr>
            <w:r w:rsidRPr="00487E53">
              <w:rPr>
                <w:rFonts w:ascii="Arial" w:hAnsi="Arial" w:cs="Arial"/>
                <w:color w:val="000000"/>
                <w:sz w:val="16"/>
                <w:szCs w:val="16"/>
              </w:rPr>
              <w:t>145</w:t>
            </w:r>
          </w:p>
        </w:tc>
      </w:tr>
      <w:tr w:rsidR="00BA2AA7" w:rsidRPr="00D433A6" w14:paraId="1959794A" w14:textId="77777777" w:rsidTr="003D6A05">
        <w:trPr>
          <w:trHeight w:val="227"/>
        </w:trPr>
        <w:tc>
          <w:tcPr>
            <w:tcW w:w="2268" w:type="dxa"/>
            <w:tcBorders>
              <w:top w:val="nil"/>
              <w:left w:val="nil"/>
              <w:bottom w:val="nil"/>
              <w:right w:val="nil"/>
            </w:tcBorders>
            <w:shd w:val="clear" w:color="auto" w:fill="auto"/>
            <w:vAlign w:val="center"/>
            <w:hideMark/>
          </w:tcPr>
          <w:p w14:paraId="08C95C84" w14:textId="77777777" w:rsidR="00BA2AA7" w:rsidRPr="00D433A6" w:rsidRDefault="00BA2AA7" w:rsidP="00BA2AA7">
            <w:pPr>
              <w:spacing w:after="0" w:line="276" w:lineRule="auto"/>
              <w:rPr>
                <w:rFonts w:ascii="Arial" w:eastAsia="Times New Roman" w:hAnsi="Arial" w:cs="Arial"/>
                <w:color w:val="000000"/>
                <w:sz w:val="16"/>
                <w:szCs w:val="16"/>
                <w:lang w:eastAsia="en-AU"/>
              </w:rPr>
            </w:pPr>
            <w:r w:rsidRPr="00D433A6">
              <w:rPr>
                <w:rFonts w:ascii="Arial" w:eastAsia="Times New Roman" w:hAnsi="Arial" w:cs="Arial"/>
                <w:color w:val="000000"/>
                <w:sz w:val="16"/>
                <w:szCs w:val="16"/>
                <w:lang w:eastAsia="en-AU"/>
              </w:rPr>
              <w:t>Five or more</w:t>
            </w:r>
          </w:p>
        </w:tc>
        <w:tc>
          <w:tcPr>
            <w:tcW w:w="960" w:type="dxa"/>
            <w:tcBorders>
              <w:top w:val="nil"/>
              <w:left w:val="nil"/>
              <w:bottom w:val="nil"/>
              <w:right w:val="nil"/>
            </w:tcBorders>
            <w:shd w:val="clear" w:color="auto" w:fill="auto"/>
            <w:noWrap/>
            <w:vAlign w:val="bottom"/>
          </w:tcPr>
          <w:p w14:paraId="2FEEE495" w14:textId="0E774CD7"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19</w:t>
            </w:r>
          </w:p>
        </w:tc>
        <w:tc>
          <w:tcPr>
            <w:tcW w:w="1450" w:type="dxa"/>
            <w:tcBorders>
              <w:top w:val="nil"/>
              <w:left w:val="nil"/>
              <w:bottom w:val="nil"/>
              <w:right w:val="nil"/>
            </w:tcBorders>
            <w:shd w:val="clear" w:color="auto" w:fill="auto"/>
            <w:noWrap/>
            <w:vAlign w:val="bottom"/>
          </w:tcPr>
          <w:p w14:paraId="7AC3FD8B" w14:textId="11CB833D"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71</w:t>
            </w:r>
          </w:p>
        </w:tc>
        <w:tc>
          <w:tcPr>
            <w:tcW w:w="1559" w:type="dxa"/>
            <w:tcBorders>
              <w:top w:val="nil"/>
              <w:left w:val="nil"/>
              <w:bottom w:val="nil"/>
              <w:right w:val="nil"/>
            </w:tcBorders>
            <w:shd w:val="clear" w:color="auto" w:fill="auto"/>
            <w:noWrap/>
            <w:vAlign w:val="bottom"/>
          </w:tcPr>
          <w:p w14:paraId="4BE2C065" w14:textId="4776784D"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87</w:t>
            </w:r>
          </w:p>
        </w:tc>
        <w:tc>
          <w:tcPr>
            <w:tcW w:w="1418" w:type="dxa"/>
            <w:tcBorders>
              <w:top w:val="nil"/>
              <w:left w:val="nil"/>
              <w:bottom w:val="nil"/>
              <w:right w:val="nil"/>
            </w:tcBorders>
            <w:shd w:val="clear" w:color="auto" w:fill="auto"/>
            <w:noWrap/>
            <w:vAlign w:val="bottom"/>
          </w:tcPr>
          <w:p w14:paraId="54FBC91E" w14:textId="26F20435" w:rsidR="00BA2AA7" w:rsidRPr="00D433A6"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27</w:t>
            </w:r>
          </w:p>
        </w:tc>
        <w:tc>
          <w:tcPr>
            <w:tcW w:w="1276" w:type="dxa"/>
            <w:tcBorders>
              <w:top w:val="nil"/>
              <w:left w:val="nil"/>
              <w:bottom w:val="nil"/>
              <w:right w:val="nil"/>
            </w:tcBorders>
            <w:shd w:val="clear" w:color="auto" w:fill="auto"/>
            <w:noWrap/>
            <w:vAlign w:val="bottom"/>
          </w:tcPr>
          <w:p w14:paraId="5A5F695A" w14:textId="2D981DC0" w:rsidR="00BA2AA7" w:rsidRPr="00AA3DEE" w:rsidRDefault="00BA2AA7" w:rsidP="00BA2AA7">
            <w:pPr>
              <w:spacing w:after="0" w:line="276" w:lineRule="auto"/>
              <w:jc w:val="right"/>
              <w:rPr>
                <w:rFonts w:ascii="Arial" w:hAnsi="Arial" w:cs="Arial"/>
                <w:color w:val="000000"/>
                <w:sz w:val="16"/>
                <w:szCs w:val="16"/>
              </w:rPr>
            </w:pPr>
            <w:r w:rsidRPr="00487E53">
              <w:rPr>
                <w:rFonts w:ascii="Arial" w:hAnsi="Arial" w:cs="Arial"/>
                <w:color w:val="000000"/>
                <w:sz w:val="16"/>
                <w:szCs w:val="16"/>
              </w:rPr>
              <w:t>204</w:t>
            </w:r>
          </w:p>
        </w:tc>
      </w:tr>
      <w:tr w:rsidR="00BA2AA7" w:rsidRPr="00D433A6" w14:paraId="751052F3" w14:textId="77777777" w:rsidTr="003D6A05">
        <w:trPr>
          <w:trHeight w:val="227"/>
        </w:trPr>
        <w:tc>
          <w:tcPr>
            <w:tcW w:w="2268" w:type="dxa"/>
            <w:tcBorders>
              <w:top w:val="nil"/>
              <w:left w:val="nil"/>
              <w:bottom w:val="nil"/>
              <w:right w:val="nil"/>
            </w:tcBorders>
            <w:shd w:val="clear" w:color="auto" w:fill="auto"/>
            <w:vAlign w:val="center"/>
            <w:hideMark/>
          </w:tcPr>
          <w:p w14:paraId="188ECC53" w14:textId="77777777" w:rsidR="00BA2AA7" w:rsidRPr="00D433A6" w:rsidRDefault="00BA2AA7" w:rsidP="00BA2AA7">
            <w:pPr>
              <w:spacing w:after="0" w:line="276" w:lineRule="auto"/>
              <w:rPr>
                <w:rFonts w:ascii="Arial" w:eastAsia="Times New Roman" w:hAnsi="Arial" w:cs="Arial"/>
                <w:b/>
                <w:bCs/>
                <w:color w:val="000000"/>
                <w:sz w:val="16"/>
                <w:szCs w:val="16"/>
                <w:lang w:eastAsia="en-AU"/>
              </w:rPr>
            </w:pPr>
            <w:r w:rsidRPr="00D433A6">
              <w:rPr>
                <w:rFonts w:ascii="Arial" w:eastAsia="Times New Roman" w:hAnsi="Arial" w:cs="Arial"/>
                <w:b/>
                <w:bCs/>
                <w:color w:val="000000"/>
                <w:sz w:val="16"/>
                <w:szCs w:val="16"/>
                <w:lang w:eastAsia="en-AU"/>
              </w:rPr>
              <w:t>Total</w:t>
            </w:r>
          </w:p>
        </w:tc>
        <w:tc>
          <w:tcPr>
            <w:tcW w:w="960" w:type="dxa"/>
            <w:tcBorders>
              <w:top w:val="nil"/>
              <w:left w:val="nil"/>
              <w:bottom w:val="nil"/>
              <w:right w:val="nil"/>
            </w:tcBorders>
            <w:shd w:val="clear" w:color="auto" w:fill="auto"/>
            <w:noWrap/>
            <w:vAlign w:val="bottom"/>
          </w:tcPr>
          <w:p w14:paraId="394147B9" w14:textId="3FBA26F1" w:rsidR="00BA2AA7" w:rsidRPr="00D433A6" w:rsidRDefault="00BA2AA7" w:rsidP="00BA2AA7">
            <w:pPr>
              <w:spacing w:after="0" w:line="276" w:lineRule="auto"/>
              <w:jc w:val="right"/>
              <w:rPr>
                <w:rFonts w:ascii="Arial" w:hAnsi="Arial" w:cs="Arial"/>
                <w:b/>
                <w:bCs/>
                <w:color w:val="000000"/>
                <w:sz w:val="16"/>
                <w:szCs w:val="16"/>
              </w:rPr>
            </w:pPr>
            <w:r>
              <w:rPr>
                <w:rFonts w:ascii="Arial" w:hAnsi="Arial" w:cs="Arial"/>
                <w:b/>
                <w:bCs/>
                <w:color w:val="000000"/>
                <w:sz w:val="16"/>
                <w:szCs w:val="16"/>
              </w:rPr>
              <w:t>234</w:t>
            </w:r>
          </w:p>
        </w:tc>
        <w:tc>
          <w:tcPr>
            <w:tcW w:w="1450" w:type="dxa"/>
            <w:tcBorders>
              <w:top w:val="nil"/>
              <w:left w:val="nil"/>
              <w:bottom w:val="nil"/>
              <w:right w:val="nil"/>
            </w:tcBorders>
            <w:shd w:val="clear" w:color="auto" w:fill="auto"/>
            <w:noWrap/>
            <w:vAlign w:val="bottom"/>
          </w:tcPr>
          <w:p w14:paraId="18694732" w14:textId="6374BD5F" w:rsidR="00BA2AA7" w:rsidRPr="00D433A6" w:rsidRDefault="00BA2AA7" w:rsidP="00BA2AA7">
            <w:pPr>
              <w:spacing w:after="0" w:line="276" w:lineRule="auto"/>
              <w:jc w:val="right"/>
              <w:rPr>
                <w:rFonts w:ascii="Arial" w:hAnsi="Arial" w:cs="Arial"/>
                <w:b/>
                <w:bCs/>
                <w:color w:val="000000"/>
                <w:sz w:val="16"/>
                <w:szCs w:val="16"/>
              </w:rPr>
            </w:pPr>
            <w:r>
              <w:rPr>
                <w:rFonts w:ascii="Arial" w:hAnsi="Arial" w:cs="Arial"/>
                <w:b/>
                <w:bCs/>
                <w:color w:val="000000"/>
                <w:sz w:val="16"/>
                <w:szCs w:val="16"/>
              </w:rPr>
              <w:t>684</w:t>
            </w:r>
          </w:p>
        </w:tc>
        <w:tc>
          <w:tcPr>
            <w:tcW w:w="1559" w:type="dxa"/>
            <w:tcBorders>
              <w:top w:val="nil"/>
              <w:left w:val="nil"/>
              <w:bottom w:val="nil"/>
              <w:right w:val="nil"/>
            </w:tcBorders>
            <w:shd w:val="clear" w:color="auto" w:fill="auto"/>
            <w:noWrap/>
            <w:vAlign w:val="bottom"/>
          </w:tcPr>
          <w:p w14:paraId="19DD0B7A" w14:textId="1091CCD7" w:rsidR="00BA2AA7" w:rsidRPr="00D433A6" w:rsidRDefault="00BA2AA7" w:rsidP="00BA2AA7">
            <w:pPr>
              <w:spacing w:after="0" w:line="276" w:lineRule="auto"/>
              <w:jc w:val="right"/>
              <w:rPr>
                <w:rFonts w:ascii="Arial" w:hAnsi="Arial" w:cs="Arial"/>
                <w:b/>
                <w:bCs/>
                <w:color w:val="000000"/>
                <w:sz w:val="16"/>
                <w:szCs w:val="16"/>
              </w:rPr>
            </w:pPr>
            <w:r>
              <w:rPr>
                <w:rFonts w:ascii="Arial" w:hAnsi="Arial" w:cs="Arial"/>
                <w:b/>
                <w:bCs/>
                <w:color w:val="000000"/>
                <w:sz w:val="16"/>
                <w:szCs w:val="16"/>
              </w:rPr>
              <w:t>679</w:t>
            </w:r>
          </w:p>
        </w:tc>
        <w:tc>
          <w:tcPr>
            <w:tcW w:w="1418" w:type="dxa"/>
            <w:tcBorders>
              <w:top w:val="nil"/>
              <w:left w:val="nil"/>
              <w:bottom w:val="nil"/>
              <w:right w:val="nil"/>
            </w:tcBorders>
            <w:shd w:val="clear" w:color="auto" w:fill="auto"/>
            <w:noWrap/>
            <w:vAlign w:val="bottom"/>
          </w:tcPr>
          <w:p w14:paraId="500E17A5" w14:textId="446C1A17" w:rsidR="00BA2AA7" w:rsidRPr="00D433A6" w:rsidRDefault="00BA2AA7" w:rsidP="00BA2AA7">
            <w:pPr>
              <w:spacing w:after="0" w:line="276" w:lineRule="auto"/>
              <w:jc w:val="right"/>
              <w:rPr>
                <w:rFonts w:ascii="Arial" w:hAnsi="Arial" w:cs="Arial"/>
                <w:b/>
                <w:bCs/>
                <w:color w:val="000000"/>
                <w:sz w:val="16"/>
                <w:szCs w:val="16"/>
              </w:rPr>
            </w:pPr>
            <w:r>
              <w:rPr>
                <w:rFonts w:ascii="Arial" w:hAnsi="Arial" w:cs="Arial"/>
                <w:b/>
                <w:bCs/>
                <w:color w:val="000000"/>
                <w:sz w:val="16"/>
                <w:szCs w:val="16"/>
              </w:rPr>
              <w:t>291</w:t>
            </w:r>
          </w:p>
        </w:tc>
        <w:tc>
          <w:tcPr>
            <w:tcW w:w="1276" w:type="dxa"/>
            <w:tcBorders>
              <w:top w:val="nil"/>
              <w:left w:val="nil"/>
              <w:bottom w:val="nil"/>
              <w:right w:val="nil"/>
            </w:tcBorders>
            <w:shd w:val="clear" w:color="auto" w:fill="auto"/>
            <w:noWrap/>
            <w:vAlign w:val="bottom"/>
          </w:tcPr>
          <w:p w14:paraId="47ADE3FE" w14:textId="0231B0DD" w:rsidR="00BA2AA7" w:rsidRPr="00D433A6" w:rsidRDefault="00BA2AA7" w:rsidP="00BA2AA7">
            <w:pPr>
              <w:spacing w:after="0" w:line="276" w:lineRule="auto"/>
              <w:jc w:val="right"/>
              <w:rPr>
                <w:rFonts w:ascii="Arial" w:hAnsi="Arial" w:cs="Arial"/>
                <w:b/>
                <w:bCs/>
                <w:color w:val="000000"/>
                <w:sz w:val="16"/>
                <w:szCs w:val="16"/>
              </w:rPr>
            </w:pPr>
            <w:r>
              <w:rPr>
                <w:rFonts w:ascii="Arial" w:hAnsi="Arial" w:cs="Arial"/>
                <w:b/>
                <w:bCs/>
                <w:color w:val="000000"/>
                <w:sz w:val="16"/>
                <w:szCs w:val="16"/>
              </w:rPr>
              <w:t>1,888</w:t>
            </w:r>
          </w:p>
        </w:tc>
      </w:tr>
      <w:tr w:rsidR="00D433A6" w:rsidRPr="00D433A6" w14:paraId="62F072B6" w14:textId="77777777" w:rsidTr="003D6A05">
        <w:trPr>
          <w:trHeight w:val="227"/>
        </w:trPr>
        <w:tc>
          <w:tcPr>
            <w:tcW w:w="2268" w:type="dxa"/>
            <w:tcBorders>
              <w:top w:val="nil"/>
              <w:left w:val="nil"/>
              <w:bottom w:val="nil"/>
              <w:right w:val="nil"/>
            </w:tcBorders>
            <w:shd w:val="clear" w:color="auto" w:fill="auto"/>
            <w:noWrap/>
            <w:vAlign w:val="center"/>
            <w:hideMark/>
          </w:tcPr>
          <w:p w14:paraId="0E4B1FA7" w14:textId="77777777" w:rsidR="00D433A6" w:rsidRPr="00D433A6" w:rsidRDefault="00D433A6" w:rsidP="003D6A05">
            <w:pPr>
              <w:spacing w:after="0" w:line="276" w:lineRule="auto"/>
              <w:rPr>
                <w:rFonts w:ascii="Arial" w:eastAsia="Times New Roman" w:hAnsi="Arial" w:cs="Arial"/>
                <w:b/>
                <w:bCs/>
                <w:color w:val="000000"/>
                <w:sz w:val="16"/>
                <w:szCs w:val="16"/>
                <w:lang w:eastAsia="en-AU"/>
              </w:rPr>
            </w:pPr>
          </w:p>
        </w:tc>
        <w:tc>
          <w:tcPr>
            <w:tcW w:w="6663" w:type="dxa"/>
            <w:gridSpan w:val="5"/>
            <w:tcBorders>
              <w:top w:val="nil"/>
              <w:left w:val="nil"/>
              <w:bottom w:val="nil"/>
              <w:right w:val="nil"/>
            </w:tcBorders>
            <w:shd w:val="clear" w:color="auto" w:fill="auto"/>
            <w:vAlign w:val="center"/>
          </w:tcPr>
          <w:p w14:paraId="730A0861" w14:textId="77777777" w:rsidR="00D433A6" w:rsidRPr="00D433A6" w:rsidRDefault="00D433A6" w:rsidP="003D6A05">
            <w:pPr>
              <w:spacing w:after="0" w:line="276" w:lineRule="auto"/>
              <w:jc w:val="center"/>
              <w:rPr>
                <w:rFonts w:ascii="Arial" w:eastAsia="Times New Roman" w:hAnsi="Arial" w:cs="Arial"/>
                <w:b/>
                <w:bCs/>
                <w:color w:val="000000"/>
                <w:sz w:val="16"/>
                <w:szCs w:val="16"/>
                <w:lang w:eastAsia="en-AU"/>
              </w:rPr>
            </w:pPr>
            <w:r w:rsidRPr="00D433A6">
              <w:rPr>
                <w:rFonts w:ascii="Arial" w:eastAsia="Times New Roman" w:hAnsi="Arial" w:cs="Arial"/>
                <w:b/>
                <w:bCs/>
                <w:color w:val="000000"/>
                <w:sz w:val="16"/>
                <w:szCs w:val="16"/>
                <w:lang w:eastAsia="en-AU"/>
              </w:rPr>
              <w:t>%</w:t>
            </w:r>
          </w:p>
        </w:tc>
      </w:tr>
      <w:tr w:rsidR="00BA2AA7" w:rsidRPr="00D433A6" w14:paraId="7835D65D" w14:textId="77777777" w:rsidTr="003D6A05">
        <w:trPr>
          <w:trHeight w:val="227"/>
        </w:trPr>
        <w:tc>
          <w:tcPr>
            <w:tcW w:w="2268" w:type="dxa"/>
            <w:tcBorders>
              <w:top w:val="nil"/>
              <w:left w:val="nil"/>
              <w:bottom w:val="nil"/>
              <w:right w:val="nil"/>
            </w:tcBorders>
            <w:shd w:val="clear" w:color="auto" w:fill="auto"/>
            <w:vAlign w:val="center"/>
            <w:hideMark/>
          </w:tcPr>
          <w:p w14:paraId="3D6DAB86" w14:textId="77777777" w:rsidR="00BA2AA7" w:rsidRPr="00D433A6" w:rsidRDefault="00BA2AA7" w:rsidP="00BA2AA7">
            <w:pPr>
              <w:spacing w:after="0" w:line="276" w:lineRule="auto"/>
              <w:rPr>
                <w:rFonts w:ascii="Arial" w:eastAsia="Times New Roman" w:hAnsi="Arial" w:cs="Arial"/>
                <w:color w:val="000000"/>
                <w:sz w:val="16"/>
                <w:szCs w:val="16"/>
                <w:lang w:eastAsia="en-AU"/>
              </w:rPr>
            </w:pPr>
            <w:r w:rsidRPr="00D433A6">
              <w:rPr>
                <w:rFonts w:ascii="Arial" w:eastAsia="Times New Roman" w:hAnsi="Arial" w:cs="Arial"/>
                <w:color w:val="000000"/>
                <w:sz w:val="16"/>
                <w:szCs w:val="16"/>
                <w:lang w:eastAsia="en-AU"/>
              </w:rPr>
              <w:t>One</w:t>
            </w:r>
          </w:p>
        </w:tc>
        <w:tc>
          <w:tcPr>
            <w:tcW w:w="960" w:type="dxa"/>
            <w:tcBorders>
              <w:top w:val="nil"/>
              <w:left w:val="nil"/>
              <w:bottom w:val="nil"/>
              <w:right w:val="nil"/>
            </w:tcBorders>
            <w:shd w:val="clear" w:color="auto" w:fill="auto"/>
            <w:noWrap/>
            <w:vAlign w:val="bottom"/>
          </w:tcPr>
          <w:p w14:paraId="335A13BD" w14:textId="475AACDB"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51.7</w:t>
            </w:r>
          </w:p>
        </w:tc>
        <w:tc>
          <w:tcPr>
            <w:tcW w:w="1450" w:type="dxa"/>
            <w:tcBorders>
              <w:top w:val="nil"/>
              <w:left w:val="nil"/>
              <w:bottom w:val="nil"/>
              <w:right w:val="nil"/>
            </w:tcBorders>
            <w:shd w:val="clear" w:color="auto" w:fill="auto"/>
            <w:noWrap/>
            <w:vAlign w:val="bottom"/>
          </w:tcPr>
          <w:p w14:paraId="21B40E42" w14:textId="7CA62B98"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42.0</w:t>
            </w:r>
          </w:p>
        </w:tc>
        <w:tc>
          <w:tcPr>
            <w:tcW w:w="1559" w:type="dxa"/>
            <w:tcBorders>
              <w:top w:val="nil"/>
              <w:left w:val="nil"/>
              <w:bottom w:val="nil"/>
              <w:right w:val="nil"/>
            </w:tcBorders>
            <w:shd w:val="clear" w:color="auto" w:fill="auto"/>
            <w:noWrap/>
            <w:vAlign w:val="bottom"/>
          </w:tcPr>
          <w:p w14:paraId="1393B03A" w14:textId="0DE3557E"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40.5</w:t>
            </w:r>
          </w:p>
        </w:tc>
        <w:tc>
          <w:tcPr>
            <w:tcW w:w="1418" w:type="dxa"/>
            <w:tcBorders>
              <w:top w:val="nil"/>
              <w:left w:val="nil"/>
              <w:bottom w:val="nil"/>
              <w:right w:val="nil"/>
            </w:tcBorders>
            <w:shd w:val="clear" w:color="auto" w:fill="auto"/>
            <w:noWrap/>
            <w:vAlign w:val="bottom"/>
          </w:tcPr>
          <w:p w14:paraId="23DC6808" w14:textId="65536C35"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49.8</w:t>
            </w:r>
          </w:p>
        </w:tc>
        <w:tc>
          <w:tcPr>
            <w:tcW w:w="1276" w:type="dxa"/>
            <w:tcBorders>
              <w:top w:val="nil"/>
              <w:left w:val="nil"/>
              <w:bottom w:val="nil"/>
              <w:right w:val="nil"/>
            </w:tcBorders>
            <w:shd w:val="clear" w:color="auto" w:fill="auto"/>
            <w:noWrap/>
            <w:vAlign w:val="bottom"/>
          </w:tcPr>
          <w:p w14:paraId="598FAEE8" w14:textId="4C6B1840"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43.9</w:t>
            </w:r>
          </w:p>
        </w:tc>
      </w:tr>
      <w:tr w:rsidR="00BA2AA7" w:rsidRPr="00D433A6" w14:paraId="252668A5" w14:textId="77777777" w:rsidTr="003D6A05">
        <w:trPr>
          <w:trHeight w:val="227"/>
        </w:trPr>
        <w:tc>
          <w:tcPr>
            <w:tcW w:w="2268" w:type="dxa"/>
            <w:tcBorders>
              <w:top w:val="nil"/>
              <w:left w:val="nil"/>
              <w:bottom w:val="nil"/>
              <w:right w:val="nil"/>
            </w:tcBorders>
            <w:shd w:val="clear" w:color="auto" w:fill="auto"/>
            <w:vAlign w:val="center"/>
            <w:hideMark/>
          </w:tcPr>
          <w:p w14:paraId="446DB70E" w14:textId="77777777" w:rsidR="00BA2AA7" w:rsidRPr="00D433A6" w:rsidRDefault="00BA2AA7" w:rsidP="00BA2AA7">
            <w:pPr>
              <w:spacing w:after="0" w:line="276" w:lineRule="auto"/>
              <w:rPr>
                <w:rFonts w:ascii="Arial" w:eastAsia="Times New Roman" w:hAnsi="Arial" w:cs="Arial"/>
                <w:color w:val="000000"/>
                <w:sz w:val="16"/>
                <w:szCs w:val="16"/>
                <w:lang w:eastAsia="en-AU"/>
              </w:rPr>
            </w:pPr>
            <w:r w:rsidRPr="00D433A6">
              <w:rPr>
                <w:rFonts w:ascii="Arial" w:eastAsia="Times New Roman" w:hAnsi="Arial" w:cs="Arial"/>
                <w:color w:val="000000"/>
                <w:sz w:val="16"/>
                <w:szCs w:val="16"/>
                <w:lang w:eastAsia="en-AU"/>
              </w:rPr>
              <w:t>Two</w:t>
            </w:r>
          </w:p>
        </w:tc>
        <w:tc>
          <w:tcPr>
            <w:tcW w:w="960" w:type="dxa"/>
            <w:tcBorders>
              <w:top w:val="nil"/>
              <w:left w:val="nil"/>
              <w:bottom w:val="nil"/>
              <w:right w:val="nil"/>
            </w:tcBorders>
            <w:shd w:val="clear" w:color="auto" w:fill="auto"/>
            <w:noWrap/>
            <w:vAlign w:val="bottom"/>
          </w:tcPr>
          <w:p w14:paraId="401464EF" w14:textId="438E37C6"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19.7</w:t>
            </w:r>
          </w:p>
        </w:tc>
        <w:tc>
          <w:tcPr>
            <w:tcW w:w="1450" w:type="dxa"/>
            <w:tcBorders>
              <w:top w:val="nil"/>
              <w:left w:val="nil"/>
              <w:bottom w:val="nil"/>
              <w:right w:val="nil"/>
            </w:tcBorders>
            <w:shd w:val="clear" w:color="auto" w:fill="auto"/>
            <w:noWrap/>
            <w:vAlign w:val="bottom"/>
          </w:tcPr>
          <w:p w14:paraId="6970FE49" w14:textId="41FE8FAE"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27.5</w:t>
            </w:r>
          </w:p>
        </w:tc>
        <w:tc>
          <w:tcPr>
            <w:tcW w:w="1559" w:type="dxa"/>
            <w:tcBorders>
              <w:top w:val="nil"/>
              <w:left w:val="nil"/>
              <w:bottom w:val="nil"/>
              <w:right w:val="nil"/>
            </w:tcBorders>
            <w:shd w:val="clear" w:color="auto" w:fill="auto"/>
            <w:noWrap/>
            <w:vAlign w:val="bottom"/>
          </w:tcPr>
          <w:p w14:paraId="2ED83214" w14:textId="5DDADD80"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24.3</w:t>
            </w:r>
          </w:p>
        </w:tc>
        <w:tc>
          <w:tcPr>
            <w:tcW w:w="1418" w:type="dxa"/>
            <w:tcBorders>
              <w:top w:val="nil"/>
              <w:left w:val="nil"/>
              <w:bottom w:val="nil"/>
              <w:right w:val="nil"/>
            </w:tcBorders>
            <w:shd w:val="clear" w:color="auto" w:fill="auto"/>
            <w:noWrap/>
            <w:vAlign w:val="bottom"/>
          </w:tcPr>
          <w:p w14:paraId="3705F0E6" w14:textId="307068CB"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23.7</w:t>
            </w:r>
          </w:p>
        </w:tc>
        <w:tc>
          <w:tcPr>
            <w:tcW w:w="1276" w:type="dxa"/>
            <w:tcBorders>
              <w:top w:val="nil"/>
              <w:left w:val="nil"/>
              <w:bottom w:val="nil"/>
              <w:right w:val="nil"/>
            </w:tcBorders>
            <w:shd w:val="clear" w:color="auto" w:fill="auto"/>
            <w:noWrap/>
            <w:vAlign w:val="bottom"/>
          </w:tcPr>
          <w:p w14:paraId="79F773E7" w14:textId="6370FFCC"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24.8</w:t>
            </w:r>
          </w:p>
        </w:tc>
      </w:tr>
      <w:tr w:rsidR="00BA2AA7" w:rsidRPr="00D433A6" w14:paraId="03D549A6" w14:textId="77777777" w:rsidTr="003D6A05">
        <w:trPr>
          <w:trHeight w:val="227"/>
        </w:trPr>
        <w:tc>
          <w:tcPr>
            <w:tcW w:w="2268" w:type="dxa"/>
            <w:tcBorders>
              <w:top w:val="nil"/>
              <w:left w:val="nil"/>
              <w:bottom w:val="nil"/>
              <w:right w:val="nil"/>
            </w:tcBorders>
            <w:shd w:val="clear" w:color="auto" w:fill="auto"/>
            <w:vAlign w:val="center"/>
            <w:hideMark/>
          </w:tcPr>
          <w:p w14:paraId="4D894201" w14:textId="77777777" w:rsidR="00BA2AA7" w:rsidRPr="00D433A6" w:rsidRDefault="00BA2AA7" w:rsidP="00BA2AA7">
            <w:pPr>
              <w:spacing w:after="0" w:line="276" w:lineRule="auto"/>
              <w:rPr>
                <w:rFonts w:ascii="Arial" w:eastAsia="Times New Roman" w:hAnsi="Arial" w:cs="Arial"/>
                <w:color w:val="000000"/>
                <w:sz w:val="16"/>
                <w:szCs w:val="16"/>
                <w:lang w:eastAsia="en-AU"/>
              </w:rPr>
            </w:pPr>
            <w:r w:rsidRPr="00D433A6">
              <w:rPr>
                <w:rFonts w:ascii="Arial" w:eastAsia="Times New Roman" w:hAnsi="Arial" w:cs="Arial"/>
                <w:color w:val="000000"/>
                <w:sz w:val="16"/>
                <w:szCs w:val="16"/>
                <w:lang w:eastAsia="en-AU"/>
              </w:rPr>
              <w:t>Three</w:t>
            </w:r>
          </w:p>
        </w:tc>
        <w:tc>
          <w:tcPr>
            <w:tcW w:w="960" w:type="dxa"/>
            <w:tcBorders>
              <w:top w:val="nil"/>
              <w:left w:val="nil"/>
              <w:bottom w:val="nil"/>
              <w:right w:val="nil"/>
            </w:tcBorders>
            <w:shd w:val="clear" w:color="auto" w:fill="auto"/>
            <w:noWrap/>
            <w:vAlign w:val="bottom"/>
          </w:tcPr>
          <w:p w14:paraId="25B605D1" w14:textId="01121CF7"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15.8</w:t>
            </w:r>
          </w:p>
        </w:tc>
        <w:tc>
          <w:tcPr>
            <w:tcW w:w="1450" w:type="dxa"/>
            <w:tcBorders>
              <w:top w:val="nil"/>
              <w:left w:val="nil"/>
              <w:bottom w:val="nil"/>
              <w:right w:val="nil"/>
            </w:tcBorders>
            <w:shd w:val="clear" w:color="auto" w:fill="auto"/>
            <w:noWrap/>
            <w:vAlign w:val="bottom"/>
          </w:tcPr>
          <w:p w14:paraId="5309FA84" w14:textId="2EEDD9C4"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12.9</w:t>
            </w:r>
          </w:p>
        </w:tc>
        <w:tc>
          <w:tcPr>
            <w:tcW w:w="1559" w:type="dxa"/>
            <w:tcBorders>
              <w:top w:val="nil"/>
              <w:left w:val="nil"/>
              <w:bottom w:val="nil"/>
              <w:right w:val="nil"/>
            </w:tcBorders>
            <w:shd w:val="clear" w:color="auto" w:fill="auto"/>
            <w:noWrap/>
            <w:vAlign w:val="bottom"/>
          </w:tcPr>
          <w:p w14:paraId="40DC80C1" w14:textId="75C80A38"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13.1</w:t>
            </w:r>
          </w:p>
        </w:tc>
        <w:tc>
          <w:tcPr>
            <w:tcW w:w="1418" w:type="dxa"/>
            <w:tcBorders>
              <w:top w:val="nil"/>
              <w:left w:val="nil"/>
              <w:bottom w:val="nil"/>
              <w:right w:val="nil"/>
            </w:tcBorders>
            <w:shd w:val="clear" w:color="auto" w:fill="auto"/>
            <w:noWrap/>
            <w:vAlign w:val="bottom"/>
          </w:tcPr>
          <w:p w14:paraId="66444E0B" w14:textId="163CFFC5"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10.0</w:t>
            </w:r>
          </w:p>
        </w:tc>
        <w:tc>
          <w:tcPr>
            <w:tcW w:w="1276" w:type="dxa"/>
            <w:tcBorders>
              <w:top w:val="nil"/>
              <w:left w:val="nil"/>
              <w:bottom w:val="nil"/>
              <w:right w:val="nil"/>
            </w:tcBorders>
            <w:shd w:val="clear" w:color="auto" w:fill="auto"/>
            <w:noWrap/>
            <w:vAlign w:val="bottom"/>
          </w:tcPr>
          <w:p w14:paraId="6572E558" w14:textId="3D2CD659"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12.9</w:t>
            </w:r>
          </w:p>
        </w:tc>
      </w:tr>
      <w:tr w:rsidR="00BA2AA7" w:rsidRPr="00D433A6" w14:paraId="1ACC4092" w14:textId="77777777" w:rsidTr="003D6A05">
        <w:trPr>
          <w:trHeight w:val="227"/>
        </w:trPr>
        <w:tc>
          <w:tcPr>
            <w:tcW w:w="2268" w:type="dxa"/>
            <w:tcBorders>
              <w:top w:val="nil"/>
              <w:left w:val="nil"/>
              <w:bottom w:val="nil"/>
              <w:right w:val="nil"/>
            </w:tcBorders>
            <w:shd w:val="clear" w:color="auto" w:fill="auto"/>
            <w:vAlign w:val="center"/>
            <w:hideMark/>
          </w:tcPr>
          <w:p w14:paraId="28770F44" w14:textId="77777777" w:rsidR="00BA2AA7" w:rsidRPr="00D433A6" w:rsidRDefault="00BA2AA7" w:rsidP="00BA2AA7">
            <w:pPr>
              <w:spacing w:after="0" w:line="276" w:lineRule="auto"/>
              <w:rPr>
                <w:rFonts w:ascii="Arial" w:eastAsia="Times New Roman" w:hAnsi="Arial" w:cs="Arial"/>
                <w:color w:val="000000"/>
                <w:sz w:val="16"/>
                <w:szCs w:val="16"/>
                <w:lang w:eastAsia="en-AU"/>
              </w:rPr>
            </w:pPr>
            <w:r w:rsidRPr="00D433A6">
              <w:rPr>
                <w:rFonts w:ascii="Arial" w:eastAsia="Times New Roman" w:hAnsi="Arial" w:cs="Arial"/>
                <w:color w:val="000000"/>
                <w:sz w:val="16"/>
                <w:szCs w:val="16"/>
                <w:lang w:eastAsia="en-AU"/>
              </w:rPr>
              <w:t>Four</w:t>
            </w:r>
          </w:p>
        </w:tc>
        <w:tc>
          <w:tcPr>
            <w:tcW w:w="960" w:type="dxa"/>
            <w:tcBorders>
              <w:top w:val="nil"/>
              <w:left w:val="nil"/>
              <w:bottom w:val="nil"/>
              <w:right w:val="nil"/>
            </w:tcBorders>
            <w:shd w:val="clear" w:color="auto" w:fill="auto"/>
            <w:noWrap/>
            <w:vAlign w:val="bottom"/>
          </w:tcPr>
          <w:p w14:paraId="7A9172C0" w14:textId="7C27ED7E"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4.7</w:t>
            </w:r>
          </w:p>
        </w:tc>
        <w:tc>
          <w:tcPr>
            <w:tcW w:w="1450" w:type="dxa"/>
            <w:tcBorders>
              <w:top w:val="nil"/>
              <w:left w:val="nil"/>
              <w:bottom w:val="nil"/>
              <w:right w:val="nil"/>
            </w:tcBorders>
            <w:shd w:val="clear" w:color="auto" w:fill="auto"/>
            <w:noWrap/>
            <w:vAlign w:val="bottom"/>
          </w:tcPr>
          <w:p w14:paraId="38EC21CB" w14:textId="22CF00D2"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7.3</w:t>
            </w:r>
          </w:p>
        </w:tc>
        <w:tc>
          <w:tcPr>
            <w:tcW w:w="1559" w:type="dxa"/>
            <w:tcBorders>
              <w:top w:val="nil"/>
              <w:left w:val="nil"/>
              <w:bottom w:val="nil"/>
              <w:right w:val="nil"/>
            </w:tcBorders>
            <w:shd w:val="clear" w:color="auto" w:fill="auto"/>
            <w:noWrap/>
            <w:vAlign w:val="bottom"/>
          </w:tcPr>
          <w:p w14:paraId="55D92DE7" w14:textId="7A5F507A"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9.3</w:t>
            </w:r>
          </w:p>
        </w:tc>
        <w:tc>
          <w:tcPr>
            <w:tcW w:w="1418" w:type="dxa"/>
            <w:tcBorders>
              <w:top w:val="nil"/>
              <w:left w:val="nil"/>
              <w:bottom w:val="nil"/>
              <w:right w:val="nil"/>
            </w:tcBorders>
            <w:shd w:val="clear" w:color="auto" w:fill="auto"/>
            <w:noWrap/>
            <w:vAlign w:val="bottom"/>
          </w:tcPr>
          <w:p w14:paraId="07C2E9DD" w14:textId="359F5082"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7.2</w:t>
            </w:r>
          </w:p>
        </w:tc>
        <w:tc>
          <w:tcPr>
            <w:tcW w:w="1276" w:type="dxa"/>
            <w:tcBorders>
              <w:top w:val="nil"/>
              <w:left w:val="nil"/>
              <w:bottom w:val="nil"/>
              <w:right w:val="nil"/>
            </w:tcBorders>
            <w:shd w:val="clear" w:color="auto" w:fill="auto"/>
            <w:noWrap/>
            <w:vAlign w:val="bottom"/>
          </w:tcPr>
          <w:p w14:paraId="5B9268D3" w14:textId="3BE04C31"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7.7</w:t>
            </w:r>
          </w:p>
        </w:tc>
      </w:tr>
      <w:tr w:rsidR="00BA2AA7" w:rsidRPr="00D433A6" w14:paraId="501A7EF6" w14:textId="77777777" w:rsidTr="003D6A05">
        <w:trPr>
          <w:trHeight w:val="227"/>
        </w:trPr>
        <w:tc>
          <w:tcPr>
            <w:tcW w:w="2268" w:type="dxa"/>
            <w:tcBorders>
              <w:top w:val="nil"/>
              <w:left w:val="nil"/>
              <w:bottom w:val="nil"/>
              <w:right w:val="nil"/>
            </w:tcBorders>
            <w:shd w:val="clear" w:color="auto" w:fill="auto"/>
            <w:vAlign w:val="center"/>
            <w:hideMark/>
          </w:tcPr>
          <w:p w14:paraId="28D5D351" w14:textId="77777777" w:rsidR="00BA2AA7" w:rsidRPr="00D433A6" w:rsidRDefault="00BA2AA7" w:rsidP="00BA2AA7">
            <w:pPr>
              <w:spacing w:after="0" w:line="276" w:lineRule="auto"/>
              <w:rPr>
                <w:rFonts w:ascii="Arial" w:eastAsia="Times New Roman" w:hAnsi="Arial" w:cs="Arial"/>
                <w:color w:val="000000"/>
                <w:sz w:val="16"/>
                <w:szCs w:val="16"/>
                <w:lang w:eastAsia="en-AU"/>
              </w:rPr>
            </w:pPr>
            <w:r w:rsidRPr="00D433A6">
              <w:rPr>
                <w:rFonts w:ascii="Arial" w:eastAsia="Times New Roman" w:hAnsi="Arial" w:cs="Arial"/>
                <w:color w:val="000000"/>
                <w:sz w:val="16"/>
                <w:szCs w:val="16"/>
                <w:lang w:eastAsia="en-AU"/>
              </w:rPr>
              <w:t>Five or more</w:t>
            </w:r>
          </w:p>
        </w:tc>
        <w:tc>
          <w:tcPr>
            <w:tcW w:w="960" w:type="dxa"/>
            <w:tcBorders>
              <w:top w:val="nil"/>
              <w:left w:val="nil"/>
              <w:bottom w:val="nil"/>
              <w:right w:val="nil"/>
            </w:tcBorders>
            <w:shd w:val="clear" w:color="auto" w:fill="auto"/>
            <w:noWrap/>
            <w:vAlign w:val="bottom"/>
          </w:tcPr>
          <w:p w14:paraId="2E189FB2" w14:textId="26D7B9C9"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8.1</w:t>
            </w:r>
          </w:p>
        </w:tc>
        <w:tc>
          <w:tcPr>
            <w:tcW w:w="1450" w:type="dxa"/>
            <w:tcBorders>
              <w:top w:val="nil"/>
              <w:left w:val="nil"/>
              <w:bottom w:val="nil"/>
              <w:right w:val="nil"/>
            </w:tcBorders>
            <w:shd w:val="clear" w:color="auto" w:fill="auto"/>
            <w:noWrap/>
            <w:vAlign w:val="bottom"/>
          </w:tcPr>
          <w:p w14:paraId="01B33E45" w14:textId="3CFF2086"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10.4</w:t>
            </w:r>
          </w:p>
        </w:tc>
        <w:tc>
          <w:tcPr>
            <w:tcW w:w="1559" w:type="dxa"/>
            <w:tcBorders>
              <w:top w:val="nil"/>
              <w:left w:val="nil"/>
              <w:bottom w:val="nil"/>
              <w:right w:val="nil"/>
            </w:tcBorders>
            <w:shd w:val="clear" w:color="auto" w:fill="auto"/>
            <w:noWrap/>
            <w:vAlign w:val="bottom"/>
          </w:tcPr>
          <w:p w14:paraId="54687EEF" w14:textId="228F799E"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12.8</w:t>
            </w:r>
          </w:p>
        </w:tc>
        <w:tc>
          <w:tcPr>
            <w:tcW w:w="1418" w:type="dxa"/>
            <w:tcBorders>
              <w:top w:val="nil"/>
              <w:left w:val="nil"/>
              <w:bottom w:val="nil"/>
              <w:right w:val="nil"/>
            </w:tcBorders>
            <w:shd w:val="clear" w:color="auto" w:fill="auto"/>
            <w:noWrap/>
            <w:vAlign w:val="bottom"/>
          </w:tcPr>
          <w:p w14:paraId="47DA7490" w14:textId="75395A11"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9.3</w:t>
            </w:r>
          </w:p>
        </w:tc>
        <w:tc>
          <w:tcPr>
            <w:tcW w:w="1276" w:type="dxa"/>
            <w:tcBorders>
              <w:top w:val="nil"/>
              <w:left w:val="nil"/>
              <w:bottom w:val="nil"/>
              <w:right w:val="nil"/>
            </w:tcBorders>
            <w:shd w:val="clear" w:color="auto" w:fill="auto"/>
            <w:noWrap/>
            <w:vAlign w:val="bottom"/>
          </w:tcPr>
          <w:p w14:paraId="22B68BB6" w14:textId="34413CCE" w:rsidR="00BA2AA7" w:rsidRPr="00D433A6"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10.8</w:t>
            </w:r>
          </w:p>
        </w:tc>
      </w:tr>
      <w:tr w:rsidR="00BA2AA7" w:rsidRPr="00D433A6" w14:paraId="278A4436" w14:textId="77777777" w:rsidTr="003D6A05">
        <w:trPr>
          <w:trHeight w:val="227"/>
        </w:trPr>
        <w:tc>
          <w:tcPr>
            <w:tcW w:w="2268" w:type="dxa"/>
            <w:tcBorders>
              <w:top w:val="nil"/>
              <w:left w:val="nil"/>
              <w:bottom w:val="single" w:sz="12" w:space="0" w:color="auto"/>
              <w:right w:val="nil"/>
            </w:tcBorders>
            <w:shd w:val="clear" w:color="auto" w:fill="auto"/>
            <w:vAlign w:val="center"/>
            <w:hideMark/>
          </w:tcPr>
          <w:p w14:paraId="238585E6" w14:textId="77777777" w:rsidR="00BA2AA7" w:rsidRPr="00D433A6" w:rsidRDefault="00BA2AA7" w:rsidP="00BA2AA7">
            <w:pPr>
              <w:spacing w:after="0" w:line="276" w:lineRule="auto"/>
              <w:rPr>
                <w:rFonts w:ascii="Arial" w:eastAsia="Times New Roman" w:hAnsi="Arial" w:cs="Arial"/>
                <w:b/>
                <w:bCs/>
                <w:color w:val="000000"/>
                <w:sz w:val="16"/>
                <w:szCs w:val="16"/>
                <w:lang w:eastAsia="en-AU"/>
              </w:rPr>
            </w:pPr>
            <w:r w:rsidRPr="00D433A6">
              <w:rPr>
                <w:rFonts w:ascii="Arial" w:eastAsia="Times New Roman" w:hAnsi="Arial" w:cs="Arial"/>
                <w:b/>
                <w:bCs/>
                <w:color w:val="000000"/>
                <w:sz w:val="16"/>
                <w:szCs w:val="16"/>
                <w:lang w:eastAsia="en-AU"/>
              </w:rPr>
              <w:t>Total</w:t>
            </w:r>
          </w:p>
        </w:tc>
        <w:tc>
          <w:tcPr>
            <w:tcW w:w="960" w:type="dxa"/>
            <w:tcBorders>
              <w:top w:val="nil"/>
              <w:left w:val="nil"/>
              <w:bottom w:val="single" w:sz="12" w:space="0" w:color="auto"/>
              <w:right w:val="nil"/>
            </w:tcBorders>
            <w:shd w:val="clear" w:color="auto" w:fill="auto"/>
            <w:noWrap/>
            <w:vAlign w:val="bottom"/>
          </w:tcPr>
          <w:p w14:paraId="546E9CEC" w14:textId="45C683C7" w:rsidR="00BA2AA7" w:rsidRPr="00D433A6" w:rsidRDefault="00BA2AA7" w:rsidP="00BA2AA7">
            <w:pPr>
              <w:spacing w:after="0" w:line="276" w:lineRule="auto"/>
              <w:jc w:val="right"/>
              <w:rPr>
                <w:rFonts w:ascii="Arial" w:eastAsia="Times New Roman" w:hAnsi="Arial" w:cs="Arial"/>
                <w:b/>
                <w:bCs/>
                <w:color w:val="000000"/>
                <w:sz w:val="16"/>
                <w:szCs w:val="16"/>
                <w:lang w:eastAsia="en-AU"/>
              </w:rPr>
            </w:pPr>
            <w:r>
              <w:rPr>
                <w:rFonts w:ascii="Arial" w:hAnsi="Arial" w:cs="Arial"/>
                <w:b/>
                <w:bCs/>
                <w:sz w:val="16"/>
                <w:szCs w:val="16"/>
              </w:rPr>
              <w:t>100.0</w:t>
            </w:r>
          </w:p>
        </w:tc>
        <w:tc>
          <w:tcPr>
            <w:tcW w:w="1450" w:type="dxa"/>
            <w:tcBorders>
              <w:top w:val="nil"/>
              <w:left w:val="nil"/>
              <w:bottom w:val="single" w:sz="12" w:space="0" w:color="auto"/>
              <w:right w:val="nil"/>
            </w:tcBorders>
            <w:shd w:val="clear" w:color="auto" w:fill="auto"/>
            <w:noWrap/>
            <w:vAlign w:val="bottom"/>
          </w:tcPr>
          <w:p w14:paraId="3286F7CE" w14:textId="6BBA3412" w:rsidR="00BA2AA7" w:rsidRPr="00D433A6" w:rsidRDefault="00BA2AA7" w:rsidP="00BA2AA7">
            <w:pPr>
              <w:spacing w:after="0" w:line="276" w:lineRule="auto"/>
              <w:jc w:val="right"/>
              <w:rPr>
                <w:rFonts w:ascii="Arial" w:eastAsia="Times New Roman" w:hAnsi="Arial" w:cs="Arial"/>
                <w:b/>
                <w:bCs/>
                <w:color w:val="000000"/>
                <w:sz w:val="16"/>
                <w:szCs w:val="16"/>
                <w:lang w:eastAsia="en-AU"/>
              </w:rPr>
            </w:pPr>
            <w:r>
              <w:rPr>
                <w:rFonts w:ascii="Arial" w:hAnsi="Arial" w:cs="Arial"/>
                <w:b/>
                <w:bCs/>
                <w:sz w:val="16"/>
                <w:szCs w:val="16"/>
              </w:rPr>
              <w:t>100.0</w:t>
            </w:r>
          </w:p>
        </w:tc>
        <w:tc>
          <w:tcPr>
            <w:tcW w:w="1559" w:type="dxa"/>
            <w:tcBorders>
              <w:top w:val="nil"/>
              <w:left w:val="nil"/>
              <w:bottom w:val="single" w:sz="12" w:space="0" w:color="auto"/>
              <w:right w:val="nil"/>
            </w:tcBorders>
            <w:shd w:val="clear" w:color="auto" w:fill="auto"/>
            <w:noWrap/>
            <w:vAlign w:val="bottom"/>
          </w:tcPr>
          <w:p w14:paraId="7EDD6D27" w14:textId="616C7B04" w:rsidR="00BA2AA7" w:rsidRPr="00D433A6" w:rsidRDefault="00BA2AA7" w:rsidP="00BA2AA7">
            <w:pPr>
              <w:spacing w:after="0" w:line="276" w:lineRule="auto"/>
              <w:jc w:val="right"/>
              <w:rPr>
                <w:rFonts w:ascii="Arial" w:eastAsia="Times New Roman" w:hAnsi="Arial" w:cs="Arial"/>
                <w:b/>
                <w:bCs/>
                <w:color w:val="000000"/>
                <w:sz w:val="16"/>
                <w:szCs w:val="16"/>
                <w:lang w:eastAsia="en-AU"/>
              </w:rPr>
            </w:pPr>
            <w:r>
              <w:rPr>
                <w:rFonts w:ascii="Arial" w:hAnsi="Arial" w:cs="Arial"/>
                <w:b/>
                <w:bCs/>
                <w:sz w:val="16"/>
                <w:szCs w:val="16"/>
              </w:rPr>
              <w:t>100.0</w:t>
            </w:r>
          </w:p>
        </w:tc>
        <w:tc>
          <w:tcPr>
            <w:tcW w:w="1418" w:type="dxa"/>
            <w:tcBorders>
              <w:top w:val="nil"/>
              <w:left w:val="nil"/>
              <w:bottom w:val="single" w:sz="12" w:space="0" w:color="auto"/>
              <w:right w:val="nil"/>
            </w:tcBorders>
            <w:shd w:val="clear" w:color="auto" w:fill="auto"/>
            <w:noWrap/>
            <w:vAlign w:val="bottom"/>
          </w:tcPr>
          <w:p w14:paraId="0FB170C6" w14:textId="19B838A0" w:rsidR="00BA2AA7" w:rsidRPr="00D433A6" w:rsidRDefault="00BA2AA7" w:rsidP="00BA2AA7">
            <w:pPr>
              <w:spacing w:after="0" w:line="276" w:lineRule="auto"/>
              <w:jc w:val="right"/>
              <w:rPr>
                <w:rFonts w:ascii="Arial" w:eastAsia="Times New Roman" w:hAnsi="Arial" w:cs="Arial"/>
                <w:b/>
                <w:bCs/>
                <w:color w:val="000000"/>
                <w:sz w:val="16"/>
                <w:szCs w:val="16"/>
                <w:lang w:eastAsia="en-AU"/>
              </w:rPr>
            </w:pPr>
            <w:r>
              <w:rPr>
                <w:rFonts w:ascii="Arial" w:hAnsi="Arial" w:cs="Arial"/>
                <w:b/>
                <w:bCs/>
                <w:sz w:val="16"/>
                <w:szCs w:val="16"/>
              </w:rPr>
              <w:t>100.0</w:t>
            </w:r>
          </w:p>
        </w:tc>
        <w:tc>
          <w:tcPr>
            <w:tcW w:w="1276" w:type="dxa"/>
            <w:tcBorders>
              <w:top w:val="nil"/>
              <w:left w:val="nil"/>
              <w:bottom w:val="single" w:sz="12" w:space="0" w:color="auto"/>
              <w:right w:val="nil"/>
            </w:tcBorders>
            <w:shd w:val="clear" w:color="auto" w:fill="auto"/>
            <w:noWrap/>
            <w:vAlign w:val="bottom"/>
          </w:tcPr>
          <w:p w14:paraId="25401C4C" w14:textId="4B610261" w:rsidR="00BA2AA7" w:rsidRPr="00D433A6" w:rsidRDefault="00BA2AA7" w:rsidP="00BA2AA7">
            <w:pPr>
              <w:spacing w:after="0" w:line="276" w:lineRule="auto"/>
              <w:jc w:val="right"/>
              <w:rPr>
                <w:rFonts w:ascii="Arial" w:eastAsia="Times New Roman" w:hAnsi="Arial" w:cs="Arial"/>
                <w:b/>
                <w:bCs/>
                <w:color w:val="000000"/>
                <w:sz w:val="16"/>
                <w:szCs w:val="16"/>
                <w:lang w:eastAsia="en-AU"/>
              </w:rPr>
            </w:pPr>
            <w:r>
              <w:rPr>
                <w:rFonts w:ascii="Arial" w:hAnsi="Arial" w:cs="Arial"/>
                <w:b/>
                <w:bCs/>
                <w:sz w:val="16"/>
                <w:szCs w:val="16"/>
              </w:rPr>
              <w:t>100.0</w:t>
            </w:r>
          </w:p>
        </w:tc>
      </w:tr>
    </w:tbl>
    <w:p w14:paraId="7E6792B8" w14:textId="77777777" w:rsidR="00D433A6" w:rsidRDefault="00D433A6" w:rsidP="00E92C6A">
      <w:pPr>
        <w:pStyle w:val="TableSourcefootnotes"/>
        <w:numPr>
          <w:ilvl w:val="0"/>
          <w:numId w:val="37"/>
        </w:numPr>
        <w:tabs>
          <w:tab w:val="clear" w:pos="397"/>
          <w:tab w:val="left" w:pos="426"/>
        </w:tabs>
        <w:spacing w:after="0" w:line="240" w:lineRule="auto"/>
        <w:ind w:left="426" w:hanging="436"/>
      </w:pPr>
      <w:r w:rsidRPr="00E217FF">
        <w:rPr>
          <w:iCs/>
        </w:rPr>
        <w:t>Freeze-all</w:t>
      </w:r>
      <w:r w:rsidRPr="00C46BF4">
        <w:rPr>
          <w:iCs/>
        </w:rPr>
        <w:t xml:space="preserve"> cycles</w:t>
      </w:r>
      <w:r>
        <w:t xml:space="preserve"> are fresh ART treatment cycles where all oocytes or embryos are cryopreserved, and an embryo transfer does not take place.</w:t>
      </w:r>
    </w:p>
    <w:p w14:paraId="6674AB81" w14:textId="63A51C2D" w:rsidR="00D433A6" w:rsidRDefault="00D433A6" w:rsidP="00E92C6A">
      <w:pPr>
        <w:pStyle w:val="TableSourcefootnotes"/>
        <w:numPr>
          <w:ilvl w:val="0"/>
          <w:numId w:val="37"/>
        </w:numPr>
        <w:tabs>
          <w:tab w:val="clear" w:pos="397"/>
          <w:tab w:val="left" w:pos="426"/>
        </w:tabs>
        <w:spacing w:before="0" w:after="0" w:line="240" w:lineRule="auto"/>
        <w:ind w:left="426" w:hanging="436"/>
      </w:pPr>
      <w:r w:rsidRPr="007E75C6">
        <w:t>Age at start of first autologous fresh ART treatment cycle</w:t>
      </w:r>
      <w:r>
        <w:t xml:space="preserve"> undertaken in </w:t>
      </w:r>
      <w:r w:rsidR="00CE043C">
        <w:t>201</w:t>
      </w:r>
      <w:r w:rsidR="00C631F5">
        <w:t>8</w:t>
      </w:r>
      <w:r w:rsidRPr="007E75C6">
        <w:t xml:space="preserve">. </w:t>
      </w:r>
    </w:p>
    <w:p w14:paraId="24E46E13" w14:textId="77777777" w:rsidR="00D433A6" w:rsidRDefault="00D433A6" w:rsidP="00D433A6">
      <w:pPr>
        <w:pStyle w:val="TableSourcefootnotes"/>
        <w:spacing w:before="0" w:after="0" w:line="240" w:lineRule="auto"/>
        <w:rPr>
          <w:i/>
        </w:rPr>
      </w:pPr>
    </w:p>
    <w:p w14:paraId="6A5F8C31" w14:textId="25C9FF9A" w:rsidR="00D433A6" w:rsidRDefault="00D433A6" w:rsidP="00D433A6">
      <w:pPr>
        <w:pStyle w:val="TableSourcefootnotes"/>
        <w:spacing w:before="0" w:after="0" w:line="240" w:lineRule="auto"/>
      </w:pPr>
      <w:r w:rsidRPr="00BD7D19">
        <w:rPr>
          <w:i/>
        </w:rPr>
        <w:t>Note</w:t>
      </w:r>
      <w:r w:rsidRPr="007E75C6">
        <w:t>: Women who started their first autologous fresh ART treatment cycle between 1</w:t>
      </w:r>
      <w:r w:rsidRPr="00E217FF">
        <w:rPr>
          <w:vertAlign w:val="superscript"/>
        </w:rPr>
        <w:t>st</w:t>
      </w:r>
      <w:r w:rsidRPr="007E75C6">
        <w:t xml:space="preserve"> Jan</w:t>
      </w:r>
      <w:r>
        <w:t xml:space="preserve">uary </w:t>
      </w:r>
      <w:r w:rsidR="00550335">
        <w:t>201</w:t>
      </w:r>
      <w:r w:rsidR="00C631F5">
        <w:t>8</w:t>
      </w:r>
      <w:r w:rsidR="00550335">
        <w:t xml:space="preserve"> </w:t>
      </w:r>
      <w:r>
        <w:t>and 31</w:t>
      </w:r>
      <w:r w:rsidRPr="00E217FF">
        <w:rPr>
          <w:vertAlign w:val="superscript"/>
        </w:rPr>
        <w:t>st</w:t>
      </w:r>
      <w:r>
        <w:t xml:space="preserve"> December </w:t>
      </w:r>
      <w:r w:rsidR="00550335">
        <w:t>201</w:t>
      </w:r>
      <w:r w:rsidR="00C631F5">
        <w:t>8</w:t>
      </w:r>
      <w:r w:rsidR="00550335" w:rsidRPr="007E75C6">
        <w:t xml:space="preserve"> </w:t>
      </w:r>
      <w:r w:rsidRPr="007E75C6">
        <w:t>were followed through subsequent fresh and thaw cycles</w:t>
      </w:r>
      <w:r>
        <w:t xml:space="preserve"> (excluding </w:t>
      </w:r>
      <w:r w:rsidRPr="00E217FF">
        <w:rPr>
          <w:iCs/>
        </w:rPr>
        <w:t>freeze-all</w:t>
      </w:r>
      <w:r>
        <w:t xml:space="preserve"> cycles)</w:t>
      </w:r>
      <w:r w:rsidRPr="007E75C6">
        <w:t xml:space="preserve"> until 31</w:t>
      </w:r>
      <w:r w:rsidRPr="00E217FF">
        <w:rPr>
          <w:vertAlign w:val="superscript"/>
        </w:rPr>
        <w:t>st</w:t>
      </w:r>
      <w:r w:rsidRPr="007E75C6">
        <w:t xml:space="preserve"> December </w:t>
      </w:r>
      <w:r>
        <w:t>202</w:t>
      </w:r>
      <w:r w:rsidR="00C631F5">
        <w:t>1</w:t>
      </w:r>
      <w:r w:rsidRPr="007E75C6">
        <w:t xml:space="preserve"> or </w:t>
      </w:r>
      <w:r>
        <w:t>birth</w:t>
      </w:r>
      <w:r w:rsidRPr="007E75C6">
        <w:t xml:space="preserve"> of a liveborn baby up to</w:t>
      </w:r>
      <w:r>
        <w:t xml:space="preserve"> and including</w:t>
      </w:r>
      <w:r w:rsidRPr="007E75C6">
        <w:t xml:space="preserve"> </w:t>
      </w:r>
      <w:r>
        <w:t>31</w:t>
      </w:r>
      <w:r w:rsidRPr="00E217FF">
        <w:rPr>
          <w:vertAlign w:val="superscript"/>
        </w:rPr>
        <w:t>st</w:t>
      </w:r>
      <w:r>
        <w:t xml:space="preserve"> October 202</w:t>
      </w:r>
      <w:r w:rsidR="00223548">
        <w:t>2</w:t>
      </w:r>
      <w:r w:rsidRPr="007E75C6">
        <w:t>.</w:t>
      </w:r>
      <w:r>
        <w:t xml:space="preserve"> </w:t>
      </w:r>
      <w:r w:rsidRPr="007E75C6">
        <w:t>Totals and subtotals</w:t>
      </w:r>
      <w:r>
        <w:t xml:space="preserve"> may not equal 100.0 due to rounding. Data should be interpreted with caution due to small numbers in certain cells. </w:t>
      </w:r>
    </w:p>
    <w:p w14:paraId="6E9223F7" w14:textId="77777777" w:rsidR="00D433A6" w:rsidRPr="007008D8" w:rsidRDefault="00D433A6" w:rsidP="00D433A6">
      <w:pPr>
        <w:pStyle w:val="TableSourcefootnotes"/>
        <w:spacing w:before="40" w:after="240"/>
      </w:pPr>
      <w:r>
        <w:br w:type="page"/>
      </w:r>
    </w:p>
    <w:p w14:paraId="777AB7B5" w14:textId="4D04286E" w:rsidR="00D433A6" w:rsidRDefault="00D433A6" w:rsidP="00B54834">
      <w:pPr>
        <w:pStyle w:val="Caption"/>
        <w:rPr>
          <w:lang w:eastAsia="en-AU"/>
        </w:rPr>
      </w:pPr>
      <w:bookmarkStart w:id="411" w:name="_Toc158026585"/>
      <w:r w:rsidRPr="002F0B22">
        <w:rPr>
          <w:lang w:eastAsia="en-AU"/>
        </w:rPr>
        <w:lastRenderedPageBreak/>
        <w:t>Table 3</w:t>
      </w:r>
      <w:r w:rsidR="000A47B5">
        <w:rPr>
          <w:lang w:eastAsia="en-AU"/>
        </w:rPr>
        <w:t>6</w:t>
      </w:r>
      <w:r w:rsidRPr="002F0B22">
        <w:rPr>
          <w:lang w:eastAsia="en-AU"/>
        </w:rPr>
        <w:t xml:space="preserve">: </w:t>
      </w:r>
      <w:r w:rsidR="00690B1B" w:rsidRPr="002F0B22">
        <w:rPr>
          <w:lang w:eastAsia="en-AU"/>
        </w:rPr>
        <w:t>Cycle-specific and cumulative live birth rates for all women who started their first autologous fresh cycle (excluding freeze-all cycles</w:t>
      </w:r>
      <w:r w:rsidR="00690B1B" w:rsidRPr="00690B1B">
        <w:rPr>
          <w:vertAlign w:val="superscript"/>
          <w:lang w:eastAsia="en-AU"/>
        </w:rPr>
        <w:t>(</w:t>
      </w:r>
      <w:r w:rsidR="00AB2856">
        <w:rPr>
          <w:vertAlign w:val="superscript"/>
          <w:lang w:eastAsia="en-AU"/>
        </w:rPr>
        <w:t>a</w:t>
      </w:r>
      <w:r w:rsidR="00690B1B" w:rsidRPr="00690B1B">
        <w:rPr>
          <w:vertAlign w:val="superscript"/>
          <w:lang w:eastAsia="en-AU"/>
        </w:rPr>
        <w:t>)</w:t>
      </w:r>
      <w:r w:rsidR="00690B1B" w:rsidRPr="002F0B22">
        <w:rPr>
          <w:lang w:eastAsia="en-AU"/>
        </w:rPr>
        <w:t>) between 1st January 201</w:t>
      </w:r>
      <w:r w:rsidR="00C631F5">
        <w:rPr>
          <w:lang w:eastAsia="en-AU"/>
        </w:rPr>
        <w:t>8</w:t>
      </w:r>
      <w:r w:rsidR="00690B1B" w:rsidRPr="002F0B22">
        <w:rPr>
          <w:lang w:eastAsia="en-AU"/>
        </w:rPr>
        <w:t xml:space="preserve"> and 31st December 201</w:t>
      </w:r>
      <w:r w:rsidR="00C631F5">
        <w:rPr>
          <w:lang w:eastAsia="en-AU"/>
        </w:rPr>
        <w:t>8</w:t>
      </w:r>
      <w:r w:rsidR="00690B1B" w:rsidRPr="002F0B22">
        <w:rPr>
          <w:lang w:eastAsia="en-AU"/>
        </w:rPr>
        <w:t>, New Zealand, 201</w:t>
      </w:r>
      <w:r w:rsidR="00C631F5">
        <w:rPr>
          <w:lang w:eastAsia="en-AU"/>
        </w:rPr>
        <w:t>8</w:t>
      </w:r>
      <w:r w:rsidR="00690B1B" w:rsidRPr="002F0B22">
        <w:rPr>
          <w:lang w:eastAsia="en-AU"/>
        </w:rPr>
        <w:t>-202</w:t>
      </w:r>
      <w:r w:rsidR="00C631F5">
        <w:rPr>
          <w:lang w:eastAsia="en-AU"/>
        </w:rPr>
        <w:t>1</w:t>
      </w:r>
      <w:bookmarkEnd w:id="411"/>
    </w:p>
    <w:tbl>
      <w:tblPr>
        <w:tblW w:w="9072" w:type="dxa"/>
        <w:tblLayout w:type="fixed"/>
        <w:tblCellMar>
          <w:top w:w="17" w:type="dxa"/>
          <w:left w:w="17" w:type="dxa"/>
          <w:bottom w:w="17" w:type="dxa"/>
          <w:right w:w="17" w:type="dxa"/>
        </w:tblCellMar>
        <w:tblLook w:val="04A0" w:firstRow="1" w:lastRow="0" w:firstColumn="1" w:lastColumn="0" w:noHBand="0" w:noVBand="1"/>
      </w:tblPr>
      <w:tblGrid>
        <w:gridCol w:w="1296"/>
        <w:gridCol w:w="1296"/>
        <w:gridCol w:w="1296"/>
        <w:gridCol w:w="1296"/>
        <w:gridCol w:w="1296"/>
        <w:gridCol w:w="1296"/>
        <w:gridCol w:w="1296"/>
      </w:tblGrid>
      <w:tr w:rsidR="00D433A6" w:rsidRPr="00B55251" w14:paraId="718523BA" w14:textId="77777777" w:rsidTr="003D6A05">
        <w:trPr>
          <w:trHeight w:val="227"/>
        </w:trPr>
        <w:tc>
          <w:tcPr>
            <w:tcW w:w="1296" w:type="dxa"/>
            <w:tcBorders>
              <w:top w:val="single" w:sz="12" w:space="0" w:color="auto"/>
              <w:left w:val="nil"/>
              <w:bottom w:val="single" w:sz="4" w:space="0" w:color="auto"/>
              <w:right w:val="nil"/>
            </w:tcBorders>
            <w:shd w:val="clear" w:color="auto" w:fill="auto"/>
            <w:vAlign w:val="bottom"/>
            <w:hideMark/>
          </w:tcPr>
          <w:p w14:paraId="39E69A0F" w14:textId="1B7E43B6" w:rsidR="00D433A6" w:rsidRPr="00B55251" w:rsidRDefault="00D433A6" w:rsidP="003D6A05">
            <w:pPr>
              <w:spacing w:after="0" w:line="276" w:lineRule="auto"/>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t>Cycle Number</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b</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5EB0FC4D" w14:textId="77777777"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starting cycle</w:t>
            </w:r>
          </w:p>
        </w:tc>
        <w:tc>
          <w:tcPr>
            <w:tcW w:w="1296" w:type="dxa"/>
            <w:tcBorders>
              <w:top w:val="single" w:sz="12" w:space="0" w:color="auto"/>
              <w:left w:val="nil"/>
              <w:bottom w:val="single" w:sz="4" w:space="0" w:color="auto"/>
              <w:right w:val="nil"/>
            </w:tcBorders>
            <w:shd w:val="clear" w:color="auto" w:fill="auto"/>
            <w:vAlign w:val="bottom"/>
            <w:hideMark/>
          </w:tcPr>
          <w:p w14:paraId="46CC016B" w14:textId="31DCAD08"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Number of women who had a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c</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1B5F51D8" w14:textId="26BB8815"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Cycle-specific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d</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32D39B7E" w14:textId="77777777"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who did not progress to next treatment</w:t>
            </w:r>
          </w:p>
        </w:tc>
        <w:tc>
          <w:tcPr>
            <w:tcW w:w="1296" w:type="dxa"/>
            <w:tcBorders>
              <w:top w:val="single" w:sz="12" w:space="0" w:color="auto"/>
              <w:left w:val="nil"/>
              <w:bottom w:val="single" w:sz="4" w:space="0" w:color="auto"/>
              <w:right w:val="nil"/>
            </w:tcBorders>
            <w:shd w:val="clear" w:color="auto" w:fill="auto"/>
            <w:vAlign w:val="bottom"/>
            <w:hideMark/>
          </w:tcPr>
          <w:p w14:paraId="7B010A4F" w14:textId="21F5D4B8"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Non-progression rate (%)</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e</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71F57B39" w14:textId="4A381456"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Cumulative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f</w:t>
            </w:r>
            <w:r w:rsidRPr="00B55251">
              <w:rPr>
                <w:rFonts w:ascii="Arial" w:eastAsia="Times New Roman" w:hAnsi="Arial" w:cs="Arial"/>
                <w:b/>
                <w:bCs/>
                <w:color w:val="000000"/>
                <w:sz w:val="16"/>
                <w:szCs w:val="16"/>
                <w:vertAlign w:val="superscript"/>
                <w:lang w:eastAsia="en-AU"/>
              </w:rPr>
              <w:t>)</w:t>
            </w:r>
          </w:p>
        </w:tc>
      </w:tr>
      <w:tr w:rsidR="00BA2AA7" w:rsidRPr="00B55251" w14:paraId="2F6C80E2" w14:textId="77777777" w:rsidTr="00555879">
        <w:trPr>
          <w:trHeight w:val="227"/>
        </w:trPr>
        <w:tc>
          <w:tcPr>
            <w:tcW w:w="1296" w:type="dxa"/>
            <w:tcBorders>
              <w:top w:val="single" w:sz="4" w:space="0" w:color="auto"/>
              <w:left w:val="nil"/>
              <w:bottom w:val="nil"/>
              <w:right w:val="nil"/>
            </w:tcBorders>
            <w:shd w:val="clear" w:color="auto" w:fill="auto"/>
            <w:noWrap/>
            <w:vAlign w:val="center"/>
            <w:hideMark/>
          </w:tcPr>
          <w:p w14:paraId="1BB897AD" w14:textId="77777777" w:rsidR="00BA2AA7" w:rsidRPr="00B55251" w:rsidRDefault="00BA2AA7" w:rsidP="00BA2AA7">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One</w:t>
            </w:r>
          </w:p>
        </w:tc>
        <w:tc>
          <w:tcPr>
            <w:tcW w:w="1296" w:type="dxa"/>
            <w:tcBorders>
              <w:top w:val="single" w:sz="4" w:space="0" w:color="auto"/>
              <w:left w:val="nil"/>
              <w:bottom w:val="nil"/>
              <w:right w:val="nil"/>
            </w:tcBorders>
            <w:shd w:val="clear" w:color="auto" w:fill="auto"/>
            <w:noWrap/>
            <w:vAlign w:val="bottom"/>
          </w:tcPr>
          <w:p w14:paraId="139F7A21" w14:textId="338FD1BD"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1,888</w:t>
            </w:r>
          </w:p>
        </w:tc>
        <w:tc>
          <w:tcPr>
            <w:tcW w:w="1296" w:type="dxa"/>
            <w:tcBorders>
              <w:top w:val="single" w:sz="4" w:space="0" w:color="auto"/>
              <w:left w:val="nil"/>
              <w:bottom w:val="nil"/>
              <w:right w:val="nil"/>
            </w:tcBorders>
            <w:shd w:val="clear" w:color="auto" w:fill="auto"/>
            <w:noWrap/>
            <w:vAlign w:val="bottom"/>
          </w:tcPr>
          <w:p w14:paraId="681CF2E4" w14:textId="2F6E07F8"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594</w:t>
            </w:r>
          </w:p>
        </w:tc>
        <w:tc>
          <w:tcPr>
            <w:tcW w:w="1296" w:type="dxa"/>
            <w:tcBorders>
              <w:top w:val="single" w:sz="4" w:space="0" w:color="auto"/>
              <w:left w:val="nil"/>
              <w:bottom w:val="nil"/>
              <w:right w:val="nil"/>
            </w:tcBorders>
            <w:shd w:val="clear" w:color="auto" w:fill="auto"/>
            <w:noWrap/>
            <w:vAlign w:val="center"/>
          </w:tcPr>
          <w:p w14:paraId="399F09CB" w14:textId="2B347370"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31.5</w:t>
            </w:r>
          </w:p>
        </w:tc>
        <w:tc>
          <w:tcPr>
            <w:tcW w:w="1296" w:type="dxa"/>
            <w:tcBorders>
              <w:top w:val="single" w:sz="4" w:space="0" w:color="auto"/>
              <w:left w:val="nil"/>
              <w:bottom w:val="nil"/>
              <w:right w:val="nil"/>
            </w:tcBorders>
            <w:shd w:val="clear" w:color="auto" w:fill="auto"/>
            <w:noWrap/>
            <w:vAlign w:val="center"/>
          </w:tcPr>
          <w:p w14:paraId="254778FB" w14:textId="163D47F6"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234</w:t>
            </w:r>
          </w:p>
        </w:tc>
        <w:tc>
          <w:tcPr>
            <w:tcW w:w="1296" w:type="dxa"/>
            <w:tcBorders>
              <w:top w:val="single" w:sz="4" w:space="0" w:color="auto"/>
              <w:left w:val="nil"/>
              <w:bottom w:val="nil"/>
              <w:right w:val="nil"/>
            </w:tcBorders>
            <w:shd w:val="clear" w:color="auto" w:fill="auto"/>
            <w:noWrap/>
            <w:vAlign w:val="center"/>
          </w:tcPr>
          <w:p w14:paraId="41F8EC8E" w14:textId="47FE6BA7"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18.1</w:t>
            </w:r>
          </w:p>
        </w:tc>
        <w:tc>
          <w:tcPr>
            <w:tcW w:w="1296" w:type="dxa"/>
            <w:tcBorders>
              <w:top w:val="single" w:sz="4" w:space="0" w:color="auto"/>
              <w:left w:val="nil"/>
              <w:bottom w:val="nil"/>
              <w:right w:val="nil"/>
            </w:tcBorders>
            <w:shd w:val="clear" w:color="auto" w:fill="auto"/>
            <w:noWrap/>
            <w:vAlign w:val="center"/>
          </w:tcPr>
          <w:p w14:paraId="0597E658" w14:textId="0674C3DB"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31.5</w:t>
            </w:r>
          </w:p>
        </w:tc>
      </w:tr>
      <w:tr w:rsidR="00BA2AA7" w:rsidRPr="00B55251" w14:paraId="69581AC8" w14:textId="77777777" w:rsidTr="00555879">
        <w:trPr>
          <w:trHeight w:val="227"/>
        </w:trPr>
        <w:tc>
          <w:tcPr>
            <w:tcW w:w="1296" w:type="dxa"/>
            <w:tcBorders>
              <w:top w:val="nil"/>
              <w:left w:val="nil"/>
              <w:bottom w:val="nil"/>
              <w:right w:val="nil"/>
            </w:tcBorders>
            <w:shd w:val="clear" w:color="auto" w:fill="auto"/>
            <w:noWrap/>
            <w:vAlign w:val="center"/>
            <w:hideMark/>
          </w:tcPr>
          <w:p w14:paraId="70991971" w14:textId="77777777" w:rsidR="00BA2AA7" w:rsidRPr="00B55251" w:rsidRDefault="00BA2AA7" w:rsidP="00BA2AA7">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Two</w:t>
            </w:r>
          </w:p>
        </w:tc>
        <w:tc>
          <w:tcPr>
            <w:tcW w:w="1296" w:type="dxa"/>
            <w:tcBorders>
              <w:top w:val="nil"/>
              <w:left w:val="nil"/>
              <w:bottom w:val="nil"/>
              <w:right w:val="nil"/>
            </w:tcBorders>
            <w:shd w:val="clear" w:color="auto" w:fill="auto"/>
            <w:noWrap/>
            <w:vAlign w:val="bottom"/>
          </w:tcPr>
          <w:p w14:paraId="3C71FEDC" w14:textId="488A6866"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1,060</w:t>
            </w:r>
          </w:p>
        </w:tc>
        <w:tc>
          <w:tcPr>
            <w:tcW w:w="1296" w:type="dxa"/>
            <w:tcBorders>
              <w:top w:val="nil"/>
              <w:left w:val="nil"/>
              <w:bottom w:val="nil"/>
              <w:right w:val="nil"/>
            </w:tcBorders>
            <w:shd w:val="clear" w:color="auto" w:fill="auto"/>
            <w:noWrap/>
            <w:vAlign w:val="bottom"/>
          </w:tcPr>
          <w:p w14:paraId="7C4B0CAB" w14:textId="00D3E19B"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298</w:t>
            </w:r>
          </w:p>
        </w:tc>
        <w:tc>
          <w:tcPr>
            <w:tcW w:w="1296" w:type="dxa"/>
            <w:tcBorders>
              <w:top w:val="nil"/>
              <w:left w:val="nil"/>
              <w:bottom w:val="nil"/>
              <w:right w:val="nil"/>
            </w:tcBorders>
            <w:shd w:val="clear" w:color="auto" w:fill="auto"/>
            <w:noWrap/>
            <w:vAlign w:val="center"/>
          </w:tcPr>
          <w:p w14:paraId="6631F8A6" w14:textId="5B82B4E6"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28.1</w:t>
            </w:r>
          </w:p>
        </w:tc>
        <w:tc>
          <w:tcPr>
            <w:tcW w:w="1296" w:type="dxa"/>
            <w:tcBorders>
              <w:top w:val="nil"/>
              <w:left w:val="nil"/>
              <w:bottom w:val="nil"/>
              <w:right w:val="nil"/>
            </w:tcBorders>
            <w:shd w:val="clear" w:color="auto" w:fill="auto"/>
            <w:noWrap/>
            <w:vAlign w:val="center"/>
          </w:tcPr>
          <w:p w14:paraId="261CF450" w14:textId="4062C13C"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170</w:t>
            </w:r>
          </w:p>
        </w:tc>
        <w:tc>
          <w:tcPr>
            <w:tcW w:w="1296" w:type="dxa"/>
            <w:tcBorders>
              <w:top w:val="nil"/>
              <w:left w:val="nil"/>
              <w:bottom w:val="nil"/>
              <w:right w:val="nil"/>
            </w:tcBorders>
            <w:shd w:val="clear" w:color="auto" w:fill="auto"/>
            <w:noWrap/>
            <w:vAlign w:val="center"/>
          </w:tcPr>
          <w:p w14:paraId="3FD56C24" w14:textId="279BEC65"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22.3</w:t>
            </w:r>
          </w:p>
        </w:tc>
        <w:tc>
          <w:tcPr>
            <w:tcW w:w="1296" w:type="dxa"/>
            <w:tcBorders>
              <w:top w:val="nil"/>
              <w:left w:val="nil"/>
              <w:bottom w:val="nil"/>
              <w:right w:val="nil"/>
            </w:tcBorders>
            <w:shd w:val="clear" w:color="auto" w:fill="auto"/>
            <w:noWrap/>
            <w:vAlign w:val="center"/>
          </w:tcPr>
          <w:p w14:paraId="79A27B10" w14:textId="23C8B11D"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47.2</w:t>
            </w:r>
          </w:p>
        </w:tc>
      </w:tr>
      <w:tr w:rsidR="00BA2AA7" w:rsidRPr="00B55251" w14:paraId="27E8EF36" w14:textId="77777777" w:rsidTr="00555879">
        <w:trPr>
          <w:trHeight w:val="227"/>
        </w:trPr>
        <w:tc>
          <w:tcPr>
            <w:tcW w:w="1296" w:type="dxa"/>
            <w:tcBorders>
              <w:top w:val="nil"/>
              <w:left w:val="nil"/>
              <w:bottom w:val="nil"/>
              <w:right w:val="nil"/>
            </w:tcBorders>
            <w:shd w:val="clear" w:color="auto" w:fill="auto"/>
            <w:noWrap/>
            <w:vAlign w:val="center"/>
            <w:hideMark/>
          </w:tcPr>
          <w:p w14:paraId="7408622A" w14:textId="77777777" w:rsidR="00BA2AA7" w:rsidRPr="00B55251" w:rsidRDefault="00BA2AA7" w:rsidP="00BA2AA7">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Three</w:t>
            </w:r>
          </w:p>
        </w:tc>
        <w:tc>
          <w:tcPr>
            <w:tcW w:w="1296" w:type="dxa"/>
            <w:tcBorders>
              <w:top w:val="nil"/>
              <w:left w:val="nil"/>
              <w:bottom w:val="nil"/>
              <w:right w:val="nil"/>
            </w:tcBorders>
            <w:shd w:val="clear" w:color="auto" w:fill="auto"/>
            <w:noWrap/>
            <w:vAlign w:val="bottom"/>
          </w:tcPr>
          <w:p w14:paraId="00AADA9A" w14:textId="653F77E1"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592</w:t>
            </w:r>
          </w:p>
        </w:tc>
        <w:tc>
          <w:tcPr>
            <w:tcW w:w="1296" w:type="dxa"/>
            <w:tcBorders>
              <w:top w:val="nil"/>
              <w:left w:val="nil"/>
              <w:bottom w:val="nil"/>
              <w:right w:val="nil"/>
            </w:tcBorders>
            <w:shd w:val="clear" w:color="auto" w:fill="auto"/>
            <w:noWrap/>
            <w:vAlign w:val="bottom"/>
          </w:tcPr>
          <w:p w14:paraId="3590E471" w14:textId="4EE6E47B"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152</w:t>
            </w:r>
          </w:p>
        </w:tc>
        <w:tc>
          <w:tcPr>
            <w:tcW w:w="1296" w:type="dxa"/>
            <w:tcBorders>
              <w:top w:val="nil"/>
              <w:left w:val="nil"/>
              <w:bottom w:val="nil"/>
              <w:right w:val="nil"/>
            </w:tcBorders>
            <w:shd w:val="clear" w:color="auto" w:fill="auto"/>
            <w:noWrap/>
            <w:vAlign w:val="center"/>
          </w:tcPr>
          <w:p w14:paraId="12989A1F" w14:textId="0AD81230"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25.7</w:t>
            </w:r>
          </w:p>
        </w:tc>
        <w:tc>
          <w:tcPr>
            <w:tcW w:w="1296" w:type="dxa"/>
            <w:tcBorders>
              <w:top w:val="nil"/>
              <w:left w:val="nil"/>
              <w:bottom w:val="nil"/>
              <w:right w:val="nil"/>
            </w:tcBorders>
            <w:shd w:val="clear" w:color="auto" w:fill="auto"/>
            <w:noWrap/>
            <w:vAlign w:val="center"/>
          </w:tcPr>
          <w:p w14:paraId="035D58C1" w14:textId="1E3E6433"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91</w:t>
            </w:r>
          </w:p>
        </w:tc>
        <w:tc>
          <w:tcPr>
            <w:tcW w:w="1296" w:type="dxa"/>
            <w:tcBorders>
              <w:top w:val="nil"/>
              <w:left w:val="nil"/>
              <w:bottom w:val="nil"/>
              <w:right w:val="nil"/>
            </w:tcBorders>
            <w:shd w:val="clear" w:color="auto" w:fill="auto"/>
            <w:noWrap/>
            <w:vAlign w:val="center"/>
          </w:tcPr>
          <w:p w14:paraId="2F228E26" w14:textId="5A96CB2C"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20.7</w:t>
            </w:r>
          </w:p>
        </w:tc>
        <w:tc>
          <w:tcPr>
            <w:tcW w:w="1296" w:type="dxa"/>
            <w:tcBorders>
              <w:top w:val="nil"/>
              <w:left w:val="nil"/>
              <w:bottom w:val="nil"/>
              <w:right w:val="nil"/>
            </w:tcBorders>
            <w:shd w:val="clear" w:color="auto" w:fill="auto"/>
            <w:noWrap/>
            <w:vAlign w:val="center"/>
          </w:tcPr>
          <w:p w14:paraId="5BB41DD2" w14:textId="65FD3E3C"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55.3</w:t>
            </w:r>
          </w:p>
        </w:tc>
      </w:tr>
      <w:tr w:rsidR="00BA2AA7" w:rsidRPr="00B55251" w14:paraId="2F1CDDDE" w14:textId="77777777" w:rsidTr="00487E53">
        <w:trPr>
          <w:trHeight w:val="227"/>
        </w:trPr>
        <w:tc>
          <w:tcPr>
            <w:tcW w:w="1296" w:type="dxa"/>
            <w:tcBorders>
              <w:top w:val="nil"/>
              <w:left w:val="nil"/>
              <w:right w:val="nil"/>
            </w:tcBorders>
            <w:shd w:val="clear" w:color="auto" w:fill="auto"/>
            <w:noWrap/>
            <w:vAlign w:val="center"/>
            <w:hideMark/>
          </w:tcPr>
          <w:p w14:paraId="2E2DB001" w14:textId="77777777" w:rsidR="00BA2AA7" w:rsidRPr="00B55251" w:rsidRDefault="00BA2AA7" w:rsidP="00BA2AA7">
            <w:pPr>
              <w:spacing w:after="0" w:line="276" w:lineRule="auto"/>
              <w:rPr>
                <w:rFonts w:ascii="Arial" w:eastAsia="Times New Roman" w:hAnsi="Arial" w:cs="Arial"/>
                <w:color w:val="000000"/>
                <w:sz w:val="16"/>
                <w:szCs w:val="16"/>
                <w:lang w:eastAsia="en-AU"/>
              </w:rPr>
            </w:pPr>
            <w:r w:rsidRPr="00B55251">
              <w:rPr>
                <w:rFonts w:ascii="Arial" w:eastAsia="Times New Roman" w:hAnsi="Arial" w:cs="Arial"/>
                <w:color w:val="000000"/>
                <w:sz w:val="16"/>
                <w:szCs w:val="16"/>
                <w:lang w:eastAsia="en-AU"/>
              </w:rPr>
              <w:t>Four</w:t>
            </w:r>
          </w:p>
        </w:tc>
        <w:tc>
          <w:tcPr>
            <w:tcW w:w="1296" w:type="dxa"/>
            <w:tcBorders>
              <w:top w:val="nil"/>
              <w:left w:val="nil"/>
              <w:right w:val="nil"/>
            </w:tcBorders>
            <w:shd w:val="clear" w:color="auto" w:fill="auto"/>
            <w:noWrap/>
            <w:vAlign w:val="bottom"/>
          </w:tcPr>
          <w:p w14:paraId="29C5D17C" w14:textId="12891C05"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349</w:t>
            </w:r>
          </w:p>
        </w:tc>
        <w:tc>
          <w:tcPr>
            <w:tcW w:w="1296" w:type="dxa"/>
            <w:tcBorders>
              <w:top w:val="nil"/>
              <w:left w:val="nil"/>
              <w:right w:val="nil"/>
            </w:tcBorders>
            <w:shd w:val="clear" w:color="auto" w:fill="auto"/>
            <w:noWrap/>
            <w:vAlign w:val="bottom"/>
          </w:tcPr>
          <w:p w14:paraId="25024197" w14:textId="3104A716"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68</w:t>
            </w:r>
          </w:p>
        </w:tc>
        <w:tc>
          <w:tcPr>
            <w:tcW w:w="1296" w:type="dxa"/>
            <w:tcBorders>
              <w:top w:val="nil"/>
              <w:left w:val="nil"/>
              <w:right w:val="nil"/>
            </w:tcBorders>
            <w:shd w:val="clear" w:color="auto" w:fill="auto"/>
            <w:noWrap/>
            <w:vAlign w:val="center"/>
          </w:tcPr>
          <w:p w14:paraId="629AF287" w14:textId="1A8AC478"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19.5</w:t>
            </w:r>
          </w:p>
        </w:tc>
        <w:tc>
          <w:tcPr>
            <w:tcW w:w="1296" w:type="dxa"/>
            <w:tcBorders>
              <w:top w:val="nil"/>
              <w:left w:val="nil"/>
              <w:right w:val="nil"/>
            </w:tcBorders>
            <w:shd w:val="clear" w:color="auto" w:fill="auto"/>
            <w:noWrap/>
            <w:vAlign w:val="center"/>
          </w:tcPr>
          <w:p w14:paraId="6D57197B" w14:textId="58A00263"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color w:val="000000"/>
                <w:sz w:val="16"/>
                <w:szCs w:val="16"/>
              </w:rPr>
              <w:t>77</w:t>
            </w:r>
          </w:p>
        </w:tc>
        <w:tc>
          <w:tcPr>
            <w:tcW w:w="1296" w:type="dxa"/>
            <w:tcBorders>
              <w:top w:val="nil"/>
              <w:left w:val="nil"/>
              <w:right w:val="nil"/>
            </w:tcBorders>
            <w:shd w:val="clear" w:color="auto" w:fill="auto"/>
            <w:noWrap/>
            <w:vAlign w:val="center"/>
          </w:tcPr>
          <w:p w14:paraId="417967DD" w14:textId="0D888528"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27.4</w:t>
            </w:r>
          </w:p>
        </w:tc>
        <w:tc>
          <w:tcPr>
            <w:tcW w:w="1296" w:type="dxa"/>
            <w:tcBorders>
              <w:top w:val="nil"/>
              <w:left w:val="nil"/>
              <w:right w:val="nil"/>
            </w:tcBorders>
            <w:shd w:val="clear" w:color="auto" w:fill="auto"/>
            <w:noWrap/>
            <w:vAlign w:val="center"/>
          </w:tcPr>
          <w:p w14:paraId="69925D94" w14:textId="4969064E" w:rsidR="00BA2AA7" w:rsidRPr="007264B2" w:rsidRDefault="00BA2AA7" w:rsidP="00BA2AA7">
            <w:pPr>
              <w:spacing w:after="0" w:line="276" w:lineRule="auto"/>
              <w:jc w:val="right"/>
              <w:rPr>
                <w:rFonts w:ascii="Arial" w:eastAsia="Times New Roman" w:hAnsi="Arial" w:cs="Arial"/>
                <w:color w:val="000000"/>
                <w:sz w:val="16"/>
                <w:szCs w:val="16"/>
                <w:lang w:eastAsia="en-AU"/>
              </w:rPr>
            </w:pPr>
            <w:r>
              <w:rPr>
                <w:rFonts w:ascii="Arial" w:hAnsi="Arial" w:cs="Arial"/>
                <w:sz w:val="16"/>
                <w:szCs w:val="16"/>
              </w:rPr>
              <w:t>58.9</w:t>
            </w:r>
          </w:p>
        </w:tc>
      </w:tr>
      <w:tr w:rsidR="00BA2AA7" w:rsidRPr="00B55251" w14:paraId="5D6FF034" w14:textId="77777777" w:rsidTr="00487E53">
        <w:trPr>
          <w:trHeight w:val="227"/>
        </w:trPr>
        <w:tc>
          <w:tcPr>
            <w:tcW w:w="1296" w:type="dxa"/>
            <w:tcBorders>
              <w:top w:val="nil"/>
              <w:left w:val="nil"/>
              <w:bottom w:val="single" w:sz="12" w:space="0" w:color="auto"/>
              <w:right w:val="nil"/>
            </w:tcBorders>
            <w:shd w:val="clear" w:color="auto" w:fill="auto"/>
            <w:noWrap/>
            <w:vAlign w:val="center"/>
          </w:tcPr>
          <w:p w14:paraId="3403C375" w14:textId="6BFFF6C6" w:rsidR="00BA2AA7" w:rsidRPr="00B55251" w:rsidRDefault="00BA2AA7" w:rsidP="00BA2AA7">
            <w:pPr>
              <w:spacing w:after="0" w:line="276"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Five</w:t>
            </w:r>
          </w:p>
        </w:tc>
        <w:tc>
          <w:tcPr>
            <w:tcW w:w="1296" w:type="dxa"/>
            <w:tcBorders>
              <w:top w:val="nil"/>
              <w:left w:val="nil"/>
              <w:bottom w:val="single" w:sz="12" w:space="0" w:color="auto"/>
              <w:right w:val="nil"/>
            </w:tcBorders>
            <w:shd w:val="clear" w:color="auto" w:fill="auto"/>
            <w:noWrap/>
            <w:vAlign w:val="bottom"/>
          </w:tcPr>
          <w:p w14:paraId="0F6E4051" w14:textId="5D23AFB5"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204</w:t>
            </w:r>
          </w:p>
        </w:tc>
        <w:tc>
          <w:tcPr>
            <w:tcW w:w="1296" w:type="dxa"/>
            <w:tcBorders>
              <w:top w:val="nil"/>
              <w:left w:val="nil"/>
              <w:bottom w:val="single" w:sz="12" w:space="0" w:color="auto"/>
              <w:right w:val="nil"/>
            </w:tcBorders>
            <w:shd w:val="clear" w:color="auto" w:fill="auto"/>
            <w:noWrap/>
            <w:vAlign w:val="bottom"/>
          </w:tcPr>
          <w:p w14:paraId="13A60A9E" w14:textId="3D1896A2"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38</w:t>
            </w:r>
          </w:p>
        </w:tc>
        <w:tc>
          <w:tcPr>
            <w:tcW w:w="1296" w:type="dxa"/>
            <w:tcBorders>
              <w:top w:val="nil"/>
              <w:left w:val="nil"/>
              <w:bottom w:val="single" w:sz="12" w:space="0" w:color="auto"/>
              <w:right w:val="nil"/>
            </w:tcBorders>
            <w:shd w:val="clear" w:color="auto" w:fill="auto"/>
            <w:noWrap/>
            <w:vAlign w:val="center"/>
          </w:tcPr>
          <w:p w14:paraId="63F202CC" w14:textId="7357A38F"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18.6</w:t>
            </w:r>
          </w:p>
        </w:tc>
        <w:tc>
          <w:tcPr>
            <w:tcW w:w="1296" w:type="dxa"/>
            <w:tcBorders>
              <w:top w:val="nil"/>
              <w:left w:val="nil"/>
              <w:bottom w:val="single" w:sz="12" w:space="0" w:color="auto"/>
              <w:right w:val="nil"/>
            </w:tcBorders>
            <w:shd w:val="clear" w:color="auto" w:fill="auto"/>
            <w:noWrap/>
            <w:vAlign w:val="center"/>
          </w:tcPr>
          <w:p w14:paraId="56623D2D" w14:textId="042A9592"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57</w:t>
            </w:r>
          </w:p>
        </w:tc>
        <w:tc>
          <w:tcPr>
            <w:tcW w:w="1296" w:type="dxa"/>
            <w:tcBorders>
              <w:top w:val="nil"/>
              <w:left w:val="nil"/>
              <w:bottom w:val="single" w:sz="12" w:space="0" w:color="auto"/>
              <w:right w:val="nil"/>
            </w:tcBorders>
            <w:shd w:val="clear" w:color="auto" w:fill="auto"/>
            <w:noWrap/>
            <w:vAlign w:val="center"/>
          </w:tcPr>
          <w:p w14:paraId="11D1C4DC" w14:textId="70B8B5D0"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34.3</w:t>
            </w:r>
          </w:p>
        </w:tc>
        <w:tc>
          <w:tcPr>
            <w:tcW w:w="1296" w:type="dxa"/>
            <w:tcBorders>
              <w:top w:val="nil"/>
              <w:left w:val="nil"/>
              <w:bottom w:val="single" w:sz="12" w:space="0" w:color="auto"/>
              <w:right w:val="nil"/>
            </w:tcBorders>
            <w:shd w:val="clear" w:color="auto" w:fill="auto"/>
            <w:noWrap/>
            <w:vAlign w:val="center"/>
          </w:tcPr>
          <w:p w14:paraId="3779F9C6" w14:textId="7923DA1B"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60.9</w:t>
            </w:r>
          </w:p>
        </w:tc>
      </w:tr>
    </w:tbl>
    <w:p w14:paraId="7DACDC0C" w14:textId="77777777" w:rsidR="00D433A6" w:rsidRDefault="00D433A6" w:rsidP="00D433A6">
      <w:pPr>
        <w:pStyle w:val="TableSourcefootnotes"/>
        <w:tabs>
          <w:tab w:val="clear" w:pos="397"/>
          <w:tab w:val="left" w:pos="284"/>
        </w:tabs>
        <w:spacing w:before="0" w:after="0" w:line="240" w:lineRule="auto"/>
        <w:ind w:left="284"/>
      </w:pPr>
    </w:p>
    <w:p w14:paraId="5D2A5359" w14:textId="426903B5" w:rsidR="00AB2856" w:rsidRDefault="00AB2856" w:rsidP="00A21D6D">
      <w:pPr>
        <w:pStyle w:val="TableSourcefootnotes"/>
        <w:numPr>
          <w:ilvl w:val="0"/>
          <w:numId w:val="36"/>
        </w:numPr>
        <w:tabs>
          <w:tab w:val="clear" w:pos="397"/>
        </w:tabs>
        <w:spacing w:before="0" w:after="0" w:line="240" w:lineRule="auto"/>
        <w:ind w:left="284" w:hanging="284"/>
      </w:pPr>
      <w:r>
        <w:t>F</w:t>
      </w:r>
      <w:r w:rsidRPr="00E217FF">
        <w:rPr>
          <w:iCs/>
        </w:rPr>
        <w:t>reeze-all</w:t>
      </w:r>
      <w:r>
        <w:t xml:space="preserve"> cycles are fresh ART treatment cycles where all oocytes or embryos are cryopreserved, and an embryo transfer does not take place.</w:t>
      </w:r>
    </w:p>
    <w:p w14:paraId="6B82A261" w14:textId="57DBE600" w:rsidR="00D433A6" w:rsidRPr="00A379EC" w:rsidRDefault="00D433A6" w:rsidP="00A21D6D">
      <w:pPr>
        <w:pStyle w:val="TableSourcefootnotes"/>
        <w:numPr>
          <w:ilvl w:val="0"/>
          <w:numId w:val="36"/>
        </w:numPr>
        <w:tabs>
          <w:tab w:val="clear" w:pos="397"/>
        </w:tabs>
        <w:spacing w:before="0" w:after="0" w:line="240" w:lineRule="auto"/>
        <w:ind w:left="284" w:hanging="284"/>
      </w:pPr>
      <w:r>
        <w:t xml:space="preserve">Cycle one represents a woman’s first autologous (excluding </w:t>
      </w:r>
      <w:r w:rsidRPr="00E217FF">
        <w:rPr>
          <w:iCs/>
        </w:rPr>
        <w:t>freeze-all</w:t>
      </w:r>
      <w:r>
        <w:t>)</w:t>
      </w:r>
      <w:r w:rsidRPr="00A379EC">
        <w:t xml:space="preserve"> fresh ART treatment cycle between 1</w:t>
      </w:r>
      <w:r w:rsidRPr="00E217FF">
        <w:rPr>
          <w:vertAlign w:val="superscript"/>
        </w:rPr>
        <w:t>st</w:t>
      </w:r>
      <w:r w:rsidRPr="00A379EC">
        <w:t xml:space="preserve"> January </w:t>
      </w:r>
      <w:r w:rsidR="00550335">
        <w:t>201</w:t>
      </w:r>
      <w:r w:rsidR="00C631F5">
        <w:t>8</w:t>
      </w:r>
      <w:r w:rsidR="00550335">
        <w:t xml:space="preserve"> </w:t>
      </w:r>
      <w:r w:rsidRPr="00A379EC">
        <w:t>and 31</w:t>
      </w:r>
      <w:r w:rsidRPr="00E217FF">
        <w:rPr>
          <w:vertAlign w:val="superscript"/>
        </w:rPr>
        <w:t>st</w:t>
      </w:r>
      <w:r w:rsidRPr="00A379EC">
        <w:t xml:space="preserve"> December </w:t>
      </w:r>
      <w:r w:rsidR="00550335">
        <w:t>201</w:t>
      </w:r>
      <w:r w:rsidR="00C631F5">
        <w:t>8</w:t>
      </w:r>
      <w:r>
        <w:t>. Cycles two to five could be either a fresh or thaw cycle (</w:t>
      </w:r>
      <w:r w:rsidRPr="00901B5A">
        <w:t xml:space="preserve">excluding </w:t>
      </w:r>
      <w:r w:rsidRPr="00E217FF">
        <w:t>freeze-all</w:t>
      </w:r>
      <w:r>
        <w:t xml:space="preserve"> cycles)</w:t>
      </w:r>
      <w:r w:rsidRPr="00A379EC">
        <w:t xml:space="preserve"> </w:t>
      </w:r>
      <w:r>
        <w:t>undertaken by a woman</w:t>
      </w:r>
      <w:r w:rsidRPr="00A379EC">
        <w:t xml:space="preserve"> until 31</w:t>
      </w:r>
      <w:r w:rsidRPr="00E217FF">
        <w:rPr>
          <w:vertAlign w:val="superscript"/>
        </w:rPr>
        <w:t>st</w:t>
      </w:r>
      <w:r w:rsidRPr="00A379EC">
        <w:t xml:space="preserve"> December </w:t>
      </w:r>
      <w:r>
        <w:t>202</w:t>
      </w:r>
      <w:r w:rsidR="00C631F5">
        <w:t>1</w:t>
      </w:r>
      <w:r w:rsidRPr="00A379EC">
        <w:t xml:space="preserve"> or </w:t>
      </w:r>
      <w:r>
        <w:t>birth</w:t>
      </w:r>
      <w:r w:rsidRPr="00A379EC">
        <w:t xml:space="preserve"> of a liveborn baby up to </w:t>
      </w:r>
      <w:r>
        <w:t>and including 31</w:t>
      </w:r>
      <w:r w:rsidRPr="00E217FF">
        <w:rPr>
          <w:vertAlign w:val="superscript"/>
        </w:rPr>
        <w:t>st</w:t>
      </w:r>
      <w:r>
        <w:t xml:space="preserve"> October 202</w:t>
      </w:r>
      <w:r w:rsidR="00223548">
        <w:t>2</w:t>
      </w:r>
      <w:r w:rsidRPr="00A379EC">
        <w:t xml:space="preserve">. </w:t>
      </w:r>
    </w:p>
    <w:p w14:paraId="0D9C6458" w14:textId="77777777" w:rsidR="00D433A6" w:rsidRPr="00A379EC" w:rsidRDefault="00D433A6" w:rsidP="00A21D6D">
      <w:pPr>
        <w:pStyle w:val="TableSourcefootnotes"/>
        <w:numPr>
          <w:ilvl w:val="0"/>
          <w:numId w:val="36"/>
        </w:numPr>
        <w:spacing w:before="0" w:after="0" w:line="240" w:lineRule="auto"/>
        <w:ind w:left="284" w:hanging="284"/>
      </w:pPr>
      <w:r w:rsidRPr="00A379EC">
        <w:t xml:space="preserve">A live </w:t>
      </w:r>
      <w:r>
        <w:t>birth</w:t>
      </w:r>
      <w:r w:rsidRPr="00A379EC">
        <w:t xml:space="preserve"> is the </w:t>
      </w:r>
      <w:r>
        <w:t>birth</w:t>
      </w:r>
      <w:r w:rsidRPr="00A379EC">
        <w:t xml:space="preserve"> of one or more liveborn infants, with the birth of twins or higher order multiple</w:t>
      </w:r>
      <w:r>
        <w:t>s counted as one live birth.</w:t>
      </w:r>
    </w:p>
    <w:p w14:paraId="43C2363F" w14:textId="77777777" w:rsidR="00D433A6" w:rsidRPr="00A379EC" w:rsidRDefault="00D433A6" w:rsidP="00A21D6D">
      <w:pPr>
        <w:pStyle w:val="TableSourcefootnotes"/>
        <w:numPr>
          <w:ilvl w:val="0"/>
          <w:numId w:val="36"/>
        </w:numPr>
        <w:tabs>
          <w:tab w:val="clear" w:pos="397"/>
        </w:tabs>
        <w:spacing w:before="0" w:after="0" w:line="240" w:lineRule="auto"/>
        <w:ind w:left="284" w:hanging="284"/>
      </w:pPr>
      <w:r w:rsidRPr="00A379EC">
        <w:t xml:space="preserve">The cycle-specific live </w:t>
      </w:r>
      <w:r>
        <w:t>birth</w:t>
      </w:r>
      <w:r w:rsidRPr="00A379EC">
        <w:t xml:space="preserve"> rate is calculated as the number of live </w:t>
      </w:r>
      <w:r>
        <w:t>births</w:t>
      </w:r>
      <w:r w:rsidRPr="00A379EC">
        <w:t xml:space="preserve"> resulting from a specific ‘cycle number’ divided by the number of women who undertook that same ‘cycle number’. </w:t>
      </w:r>
    </w:p>
    <w:p w14:paraId="0CA7E429" w14:textId="2A136B96" w:rsidR="00D433A6" w:rsidRPr="00A379EC" w:rsidRDefault="00D433A6" w:rsidP="00A21D6D">
      <w:pPr>
        <w:pStyle w:val="TableSourcefootnotes"/>
        <w:numPr>
          <w:ilvl w:val="0"/>
          <w:numId w:val="36"/>
        </w:numPr>
        <w:tabs>
          <w:tab w:val="clear" w:pos="397"/>
        </w:tabs>
        <w:spacing w:before="0" w:after="0" w:line="240" w:lineRule="auto"/>
        <w:ind w:left="284" w:hanging="284"/>
      </w:pPr>
      <w:r w:rsidRPr="00A379EC">
        <w:t>The non-progression rate for a specific ‘cycle number’ is calculated as the number of women who did not return for further ART treatment cycles before 31</w:t>
      </w:r>
      <w:r w:rsidRPr="00E217FF">
        <w:rPr>
          <w:vertAlign w:val="superscript"/>
        </w:rPr>
        <w:t>st</w:t>
      </w:r>
      <w:r w:rsidRPr="00A379EC">
        <w:t xml:space="preserve"> December </w:t>
      </w:r>
      <w:r>
        <w:t>202</w:t>
      </w:r>
      <w:r w:rsidR="00C631F5">
        <w:t>1</w:t>
      </w:r>
      <w:r w:rsidRPr="00A379EC">
        <w:t xml:space="preserve"> divided by the number of women who did not have a live </w:t>
      </w:r>
      <w:r>
        <w:t>birth</w:t>
      </w:r>
      <w:r w:rsidRPr="00A379EC">
        <w:t xml:space="preserve"> in that ‘cycle number’. </w:t>
      </w:r>
    </w:p>
    <w:p w14:paraId="1FE8A122" w14:textId="68E47E37" w:rsidR="00D433A6" w:rsidRDefault="00D433A6" w:rsidP="00A21D6D">
      <w:pPr>
        <w:pStyle w:val="TableSourcefootnotes"/>
        <w:numPr>
          <w:ilvl w:val="0"/>
          <w:numId w:val="36"/>
        </w:numPr>
        <w:spacing w:before="0" w:after="0" w:line="240" w:lineRule="auto"/>
        <w:ind w:left="284" w:hanging="284"/>
      </w:pPr>
      <w:r w:rsidRPr="00A379EC">
        <w:t xml:space="preserve">The cumulative live </w:t>
      </w:r>
      <w:r>
        <w:t>birth</w:t>
      </w:r>
      <w:r w:rsidRPr="00A379EC">
        <w:t xml:space="preserve"> rate for a specific ‘cycle number’ is calculated as the total number of live </w:t>
      </w:r>
      <w:r>
        <w:t>births</w:t>
      </w:r>
      <w:r w:rsidRPr="00A379EC">
        <w:t xml:space="preserve"> following this ‘cycle number’ and all previous cycles divided by the total number of women who started their first autologous fresh ART treatme</w:t>
      </w:r>
      <w:r>
        <w:t>nt cycle between 1</w:t>
      </w:r>
      <w:r w:rsidRPr="00E217FF">
        <w:rPr>
          <w:vertAlign w:val="superscript"/>
        </w:rPr>
        <w:t>st</w:t>
      </w:r>
      <w:r>
        <w:t xml:space="preserve"> January </w:t>
      </w:r>
      <w:r w:rsidR="00550335">
        <w:t>201</w:t>
      </w:r>
      <w:r w:rsidR="00C631F5">
        <w:t>8</w:t>
      </w:r>
      <w:r w:rsidR="00550335" w:rsidRPr="00A379EC">
        <w:t xml:space="preserve"> </w:t>
      </w:r>
      <w:r w:rsidRPr="00A379EC">
        <w:t>and 31</w:t>
      </w:r>
      <w:r w:rsidRPr="00E217FF">
        <w:rPr>
          <w:vertAlign w:val="superscript"/>
        </w:rPr>
        <w:t>st</w:t>
      </w:r>
      <w:r w:rsidRPr="00A379EC">
        <w:t xml:space="preserve"> December </w:t>
      </w:r>
      <w:r w:rsidR="00550335">
        <w:t>201</w:t>
      </w:r>
      <w:r w:rsidR="00BA73D0">
        <w:t>8</w:t>
      </w:r>
      <w:r w:rsidRPr="00A379EC">
        <w:t xml:space="preserve">. </w:t>
      </w:r>
    </w:p>
    <w:p w14:paraId="0364FADE" w14:textId="77777777" w:rsidR="00D433A6" w:rsidRPr="005E3A7E" w:rsidRDefault="00D433A6" w:rsidP="00D433A6">
      <w:pPr>
        <w:pStyle w:val="NPESUbodytext"/>
        <w:spacing w:before="0" w:after="0" w:line="240" w:lineRule="auto"/>
      </w:pPr>
    </w:p>
    <w:p w14:paraId="53F8D30A" w14:textId="77777777" w:rsidR="00D433A6" w:rsidRDefault="00D433A6" w:rsidP="00D433A6">
      <w:pPr>
        <w:pStyle w:val="TableSourcefootnotes"/>
        <w:tabs>
          <w:tab w:val="clear" w:pos="397"/>
          <w:tab w:val="left" w:pos="142"/>
        </w:tabs>
        <w:spacing w:before="0" w:after="0" w:line="240" w:lineRule="auto"/>
      </w:pPr>
      <w:r w:rsidRPr="00A379EC">
        <w:rPr>
          <w:i/>
          <w:iCs/>
        </w:rPr>
        <w:t>Note</w:t>
      </w:r>
      <w:r w:rsidRPr="00A379EC">
        <w:t>:</w:t>
      </w:r>
      <w:r>
        <w:t xml:space="preserve"> </w:t>
      </w:r>
      <w:r w:rsidRPr="00A379EC">
        <w:t>Further treatment cycles after the</w:t>
      </w:r>
      <w:r>
        <w:t xml:space="preserve"> fifth </w:t>
      </w:r>
      <w:r w:rsidRPr="00A379EC">
        <w:t xml:space="preserve">cycle and resulting live </w:t>
      </w:r>
      <w:r>
        <w:t>births</w:t>
      </w:r>
      <w:r w:rsidRPr="00A379EC">
        <w:t xml:space="preserve"> are not presented in this table due to small numbers. Data should be interpreted with caution due to small numbers in certain </w:t>
      </w:r>
      <w:r w:rsidRPr="00BD7D19">
        <w:t>cells and measure</w:t>
      </w:r>
      <w:r>
        <w:t>s</w:t>
      </w:r>
      <w:r w:rsidRPr="00BD7D19">
        <w:t xml:space="preserve"> of statistical variance are not supplied.</w:t>
      </w:r>
    </w:p>
    <w:p w14:paraId="0BC50FE9" w14:textId="77777777" w:rsidR="00D433A6" w:rsidRDefault="00D433A6" w:rsidP="00D433A6">
      <w:pPr>
        <w:pStyle w:val="TableSourcefootnotes"/>
        <w:tabs>
          <w:tab w:val="clear" w:pos="397"/>
          <w:tab w:val="left" w:pos="426"/>
        </w:tabs>
        <w:spacing w:before="40" w:after="240"/>
        <w:ind w:left="426" w:hanging="426"/>
        <w:rPr>
          <w:rFonts w:asciiTheme="minorHAnsi" w:eastAsiaTheme="minorHAnsi" w:hAnsiTheme="minorHAnsi"/>
          <w:b/>
          <w:bCs/>
          <w:sz w:val="21"/>
          <w:szCs w:val="22"/>
        </w:rPr>
      </w:pPr>
    </w:p>
    <w:p w14:paraId="220018FD" w14:textId="77777777" w:rsidR="00D433A6" w:rsidRDefault="00D433A6" w:rsidP="00D433A6">
      <w:pPr>
        <w:pStyle w:val="TableSourcefootnotes"/>
        <w:tabs>
          <w:tab w:val="clear" w:pos="397"/>
          <w:tab w:val="left" w:pos="426"/>
        </w:tabs>
        <w:spacing w:before="40" w:after="240"/>
        <w:ind w:left="426" w:hanging="426"/>
        <w:rPr>
          <w:rFonts w:asciiTheme="minorHAnsi" w:eastAsiaTheme="minorHAnsi" w:hAnsiTheme="minorHAnsi"/>
          <w:b/>
          <w:bCs/>
          <w:sz w:val="21"/>
          <w:szCs w:val="22"/>
        </w:rPr>
      </w:pPr>
    </w:p>
    <w:p w14:paraId="78CB765A" w14:textId="77777777" w:rsidR="00D433A6" w:rsidRDefault="00D433A6" w:rsidP="00D433A6">
      <w:pPr>
        <w:pStyle w:val="TableSourcefootnotes"/>
        <w:tabs>
          <w:tab w:val="clear" w:pos="397"/>
          <w:tab w:val="left" w:pos="426"/>
        </w:tabs>
        <w:spacing w:before="40" w:after="240"/>
        <w:ind w:left="426" w:hanging="426"/>
      </w:pPr>
      <w:r>
        <w:rPr>
          <w:rFonts w:asciiTheme="minorHAnsi" w:eastAsiaTheme="minorHAnsi" w:hAnsiTheme="minorHAnsi"/>
          <w:b/>
          <w:bCs/>
          <w:sz w:val="21"/>
          <w:szCs w:val="22"/>
        </w:rPr>
        <w:br w:type="page"/>
      </w:r>
    </w:p>
    <w:p w14:paraId="30884FBC" w14:textId="5CD763F7" w:rsidR="00D433A6" w:rsidRPr="002F0B22" w:rsidRDefault="00D433A6" w:rsidP="00B54834">
      <w:pPr>
        <w:pStyle w:val="Caption"/>
        <w:rPr>
          <w:lang w:eastAsia="en-AU"/>
        </w:rPr>
      </w:pPr>
      <w:bookmarkStart w:id="412" w:name="_Toc158026586"/>
      <w:r w:rsidRPr="002F0B22">
        <w:rPr>
          <w:lang w:eastAsia="en-AU"/>
        </w:rPr>
        <w:lastRenderedPageBreak/>
        <w:t>Table 3</w:t>
      </w:r>
      <w:r w:rsidR="000A47B5">
        <w:rPr>
          <w:lang w:eastAsia="en-AU"/>
        </w:rPr>
        <w:t>7</w:t>
      </w:r>
      <w:r w:rsidRPr="002F0B22">
        <w:rPr>
          <w:lang w:eastAsia="en-AU"/>
        </w:rPr>
        <w:t xml:space="preserve">: </w:t>
      </w:r>
      <w:r w:rsidR="00690B1B" w:rsidRPr="002F0B22">
        <w:rPr>
          <w:lang w:eastAsia="en-AU"/>
        </w:rPr>
        <w:t>Cycle-specific and cumulative live birth rates for women aged less than 30 years who started their first autologous fresh cycle (excluding freeze-all cycles</w:t>
      </w:r>
      <w:r w:rsidR="00690B1B" w:rsidRPr="00690B1B">
        <w:rPr>
          <w:vertAlign w:val="superscript"/>
          <w:lang w:eastAsia="en-AU"/>
        </w:rPr>
        <w:t>(</w:t>
      </w:r>
      <w:r w:rsidR="00AB2856">
        <w:rPr>
          <w:vertAlign w:val="superscript"/>
          <w:lang w:eastAsia="en-AU"/>
        </w:rPr>
        <w:t>a</w:t>
      </w:r>
      <w:r w:rsidR="00690B1B" w:rsidRPr="00690B1B">
        <w:rPr>
          <w:vertAlign w:val="superscript"/>
          <w:lang w:eastAsia="en-AU"/>
        </w:rPr>
        <w:t>)</w:t>
      </w:r>
      <w:r w:rsidR="00690B1B" w:rsidRPr="002F0B22">
        <w:rPr>
          <w:lang w:eastAsia="en-AU"/>
        </w:rPr>
        <w:t>) between 1st January 201</w:t>
      </w:r>
      <w:r w:rsidR="00BA73D0">
        <w:rPr>
          <w:lang w:eastAsia="en-AU"/>
        </w:rPr>
        <w:t>8</w:t>
      </w:r>
      <w:r w:rsidR="00690B1B" w:rsidRPr="002F0B22">
        <w:rPr>
          <w:lang w:eastAsia="en-AU"/>
        </w:rPr>
        <w:t xml:space="preserve"> and 31st December 201</w:t>
      </w:r>
      <w:r w:rsidR="00BA73D0">
        <w:rPr>
          <w:lang w:eastAsia="en-AU"/>
        </w:rPr>
        <w:t>8</w:t>
      </w:r>
      <w:r w:rsidR="00690B1B" w:rsidRPr="002F0B22">
        <w:rPr>
          <w:lang w:eastAsia="en-AU"/>
        </w:rPr>
        <w:t>, New Zealand, 201</w:t>
      </w:r>
      <w:r w:rsidR="00BA73D0">
        <w:rPr>
          <w:lang w:eastAsia="en-AU"/>
        </w:rPr>
        <w:t>8</w:t>
      </w:r>
      <w:r w:rsidR="00690B1B" w:rsidRPr="002F0B22">
        <w:rPr>
          <w:lang w:eastAsia="en-AU"/>
        </w:rPr>
        <w:t>-202</w:t>
      </w:r>
      <w:r w:rsidR="00BA73D0">
        <w:rPr>
          <w:lang w:eastAsia="en-AU"/>
        </w:rPr>
        <w:t>1</w:t>
      </w:r>
      <w:bookmarkEnd w:id="412"/>
    </w:p>
    <w:tbl>
      <w:tblPr>
        <w:tblW w:w="9072" w:type="dxa"/>
        <w:tblLayout w:type="fixed"/>
        <w:tblCellMar>
          <w:top w:w="17" w:type="dxa"/>
          <w:left w:w="17" w:type="dxa"/>
          <w:bottom w:w="17" w:type="dxa"/>
          <w:right w:w="17" w:type="dxa"/>
        </w:tblCellMar>
        <w:tblLook w:val="04A0" w:firstRow="1" w:lastRow="0" w:firstColumn="1" w:lastColumn="0" w:noHBand="0" w:noVBand="1"/>
      </w:tblPr>
      <w:tblGrid>
        <w:gridCol w:w="1296"/>
        <w:gridCol w:w="1296"/>
        <w:gridCol w:w="1296"/>
        <w:gridCol w:w="1296"/>
        <w:gridCol w:w="1296"/>
        <w:gridCol w:w="1296"/>
        <w:gridCol w:w="1296"/>
      </w:tblGrid>
      <w:tr w:rsidR="00D433A6" w:rsidRPr="00B55251" w14:paraId="73E6BF42" w14:textId="77777777" w:rsidTr="003D6A05">
        <w:trPr>
          <w:trHeight w:val="227"/>
        </w:trPr>
        <w:tc>
          <w:tcPr>
            <w:tcW w:w="1296" w:type="dxa"/>
            <w:tcBorders>
              <w:top w:val="single" w:sz="12" w:space="0" w:color="auto"/>
              <w:left w:val="nil"/>
              <w:bottom w:val="single" w:sz="4" w:space="0" w:color="auto"/>
              <w:right w:val="nil"/>
            </w:tcBorders>
            <w:shd w:val="clear" w:color="auto" w:fill="auto"/>
            <w:vAlign w:val="bottom"/>
            <w:hideMark/>
          </w:tcPr>
          <w:p w14:paraId="7867AEA5" w14:textId="5D465FAE" w:rsidR="00D433A6" w:rsidRPr="00B55251" w:rsidRDefault="00D433A6" w:rsidP="003D6A05">
            <w:pPr>
              <w:spacing w:after="0" w:line="276" w:lineRule="auto"/>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Cycle number</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b</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3CA3D77E" w14:textId="77777777"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starting cycle</w:t>
            </w:r>
          </w:p>
        </w:tc>
        <w:tc>
          <w:tcPr>
            <w:tcW w:w="1296" w:type="dxa"/>
            <w:tcBorders>
              <w:top w:val="single" w:sz="12" w:space="0" w:color="auto"/>
              <w:left w:val="nil"/>
              <w:bottom w:val="single" w:sz="4" w:space="0" w:color="auto"/>
              <w:right w:val="nil"/>
            </w:tcBorders>
            <w:shd w:val="clear" w:color="auto" w:fill="auto"/>
            <w:vAlign w:val="bottom"/>
            <w:hideMark/>
          </w:tcPr>
          <w:p w14:paraId="748ED7CF" w14:textId="534E172A"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Number of women who had a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c</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26FA14A4" w14:textId="04E461AF"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Cycle-specific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d</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62F6958B" w14:textId="77777777"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who did not progress to next treatment</w:t>
            </w:r>
          </w:p>
        </w:tc>
        <w:tc>
          <w:tcPr>
            <w:tcW w:w="1296" w:type="dxa"/>
            <w:tcBorders>
              <w:top w:val="single" w:sz="12" w:space="0" w:color="auto"/>
              <w:left w:val="nil"/>
              <w:bottom w:val="single" w:sz="4" w:space="0" w:color="auto"/>
              <w:right w:val="nil"/>
            </w:tcBorders>
            <w:shd w:val="clear" w:color="auto" w:fill="auto"/>
            <w:vAlign w:val="bottom"/>
            <w:hideMark/>
          </w:tcPr>
          <w:p w14:paraId="28D3D7A7" w14:textId="10AD0DA4"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Non-progression rate (%)</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e</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6204F98F" w14:textId="0DA1AA81"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Cumulative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f</w:t>
            </w:r>
            <w:r w:rsidRPr="00B55251">
              <w:rPr>
                <w:rFonts w:ascii="Arial" w:eastAsia="Times New Roman" w:hAnsi="Arial" w:cs="Arial"/>
                <w:b/>
                <w:bCs/>
                <w:color w:val="000000"/>
                <w:sz w:val="16"/>
                <w:szCs w:val="16"/>
                <w:vertAlign w:val="superscript"/>
                <w:lang w:eastAsia="en-AU"/>
              </w:rPr>
              <w:t>)</w:t>
            </w:r>
          </w:p>
        </w:tc>
      </w:tr>
      <w:tr w:rsidR="00BA2AA7" w14:paraId="012091EF" w14:textId="77777777" w:rsidTr="00555879">
        <w:trPr>
          <w:trHeight w:val="227"/>
        </w:trPr>
        <w:tc>
          <w:tcPr>
            <w:tcW w:w="1296" w:type="dxa"/>
            <w:tcBorders>
              <w:top w:val="single" w:sz="4" w:space="0" w:color="auto"/>
              <w:left w:val="nil"/>
              <w:bottom w:val="nil"/>
              <w:right w:val="nil"/>
            </w:tcBorders>
            <w:shd w:val="clear" w:color="auto" w:fill="auto"/>
            <w:noWrap/>
            <w:vAlign w:val="center"/>
            <w:hideMark/>
          </w:tcPr>
          <w:p w14:paraId="76443EC9"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One</w:t>
            </w:r>
          </w:p>
        </w:tc>
        <w:tc>
          <w:tcPr>
            <w:tcW w:w="1296" w:type="dxa"/>
            <w:tcBorders>
              <w:top w:val="single" w:sz="4" w:space="0" w:color="auto"/>
              <w:left w:val="nil"/>
              <w:bottom w:val="nil"/>
              <w:right w:val="nil"/>
            </w:tcBorders>
            <w:shd w:val="clear" w:color="auto" w:fill="auto"/>
            <w:noWrap/>
            <w:vAlign w:val="bottom"/>
          </w:tcPr>
          <w:p w14:paraId="33298FF1" w14:textId="4E22D132"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234</w:t>
            </w:r>
          </w:p>
        </w:tc>
        <w:tc>
          <w:tcPr>
            <w:tcW w:w="1296" w:type="dxa"/>
            <w:tcBorders>
              <w:top w:val="single" w:sz="4" w:space="0" w:color="auto"/>
              <w:left w:val="nil"/>
              <w:bottom w:val="nil"/>
              <w:right w:val="nil"/>
            </w:tcBorders>
            <w:shd w:val="clear" w:color="auto" w:fill="auto"/>
            <w:noWrap/>
            <w:vAlign w:val="bottom"/>
          </w:tcPr>
          <w:p w14:paraId="5C83F22E" w14:textId="28C05C88"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107</w:t>
            </w:r>
          </w:p>
        </w:tc>
        <w:tc>
          <w:tcPr>
            <w:tcW w:w="1296" w:type="dxa"/>
            <w:tcBorders>
              <w:top w:val="single" w:sz="4" w:space="0" w:color="auto"/>
              <w:left w:val="nil"/>
              <w:bottom w:val="nil"/>
              <w:right w:val="nil"/>
            </w:tcBorders>
            <w:shd w:val="clear" w:color="auto" w:fill="auto"/>
            <w:noWrap/>
            <w:vAlign w:val="center"/>
          </w:tcPr>
          <w:p w14:paraId="4CEEC28D" w14:textId="76AAA06C"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45.7</w:t>
            </w:r>
          </w:p>
        </w:tc>
        <w:tc>
          <w:tcPr>
            <w:tcW w:w="1296" w:type="dxa"/>
            <w:tcBorders>
              <w:top w:val="single" w:sz="4" w:space="0" w:color="auto"/>
              <w:left w:val="nil"/>
              <w:bottom w:val="nil"/>
              <w:right w:val="nil"/>
            </w:tcBorders>
            <w:shd w:val="clear" w:color="auto" w:fill="auto"/>
            <w:noWrap/>
            <w:vAlign w:val="center"/>
          </w:tcPr>
          <w:p w14:paraId="7EAA6E04" w14:textId="0AD95955"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14</w:t>
            </w:r>
          </w:p>
        </w:tc>
        <w:tc>
          <w:tcPr>
            <w:tcW w:w="1296" w:type="dxa"/>
            <w:tcBorders>
              <w:top w:val="single" w:sz="4" w:space="0" w:color="auto"/>
              <w:left w:val="nil"/>
              <w:bottom w:val="nil"/>
              <w:right w:val="nil"/>
            </w:tcBorders>
            <w:shd w:val="clear" w:color="auto" w:fill="auto"/>
            <w:noWrap/>
            <w:vAlign w:val="center"/>
          </w:tcPr>
          <w:p w14:paraId="6B4B84A3" w14:textId="4F44BC5D"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11.0</w:t>
            </w:r>
          </w:p>
        </w:tc>
        <w:tc>
          <w:tcPr>
            <w:tcW w:w="1296" w:type="dxa"/>
            <w:tcBorders>
              <w:top w:val="single" w:sz="4" w:space="0" w:color="auto"/>
              <w:left w:val="nil"/>
              <w:bottom w:val="nil"/>
              <w:right w:val="nil"/>
            </w:tcBorders>
            <w:shd w:val="clear" w:color="auto" w:fill="auto"/>
            <w:noWrap/>
            <w:vAlign w:val="center"/>
          </w:tcPr>
          <w:p w14:paraId="4B2C64B7" w14:textId="1AFB1541"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45.7</w:t>
            </w:r>
          </w:p>
        </w:tc>
      </w:tr>
      <w:tr w:rsidR="00BA2AA7" w14:paraId="56BC7552" w14:textId="77777777" w:rsidTr="00555879">
        <w:trPr>
          <w:trHeight w:val="227"/>
        </w:trPr>
        <w:tc>
          <w:tcPr>
            <w:tcW w:w="1296" w:type="dxa"/>
            <w:tcBorders>
              <w:top w:val="nil"/>
              <w:left w:val="nil"/>
              <w:bottom w:val="nil"/>
              <w:right w:val="nil"/>
            </w:tcBorders>
            <w:shd w:val="clear" w:color="auto" w:fill="auto"/>
            <w:noWrap/>
            <w:vAlign w:val="center"/>
            <w:hideMark/>
          </w:tcPr>
          <w:p w14:paraId="598B1BF2"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Two</w:t>
            </w:r>
          </w:p>
        </w:tc>
        <w:tc>
          <w:tcPr>
            <w:tcW w:w="1296" w:type="dxa"/>
            <w:tcBorders>
              <w:top w:val="nil"/>
              <w:left w:val="nil"/>
              <w:bottom w:val="nil"/>
              <w:right w:val="nil"/>
            </w:tcBorders>
            <w:shd w:val="clear" w:color="auto" w:fill="auto"/>
            <w:noWrap/>
            <w:vAlign w:val="bottom"/>
          </w:tcPr>
          <w:p w14:paraId="48BBED81" w14:textId="2D6B0D72"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113</w:t>
            </w:r>
          </w:p>
        </w:tc>
        <w:tc>
          <w:tcPr>
            <w:tcW w:w="1296" w:type="dxa"/>
            <w:tcBorders>
              <w:top w:val="nil"/>
              <w:left w:val="nil"/>
              <w:bottom w:val="nil"/>
              <w:right w:val="nil"/>
            </w:tcBorders>
            <w:shd w:val="clear" w:color="auto" w:fill="auto"/>
            <w:noWrap/>
            <w:vAlign w:val="bottom"/>
          </w:tcPr>
          <w:p w14:paraId="6C9343F4" w14:textId="7EEF960B"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37</w:t>
            </w:r>
          </w:p>
        </w:tc>
        <w:tc>
          <w:tcPr>
            <w:tcW w:w="1296" w:type="dxa"/>
            <w:tcBorders>
              <w:top w:val="nil"/>
              <w:left w:val="nil"/>
              <w:bottom w:val="nil"/>
              <w:right w:val="nil"/>
            </w:tcBorders>
            <w:shd w:val="clear" w:color="auto" w:fill="auto"/>
            <w:noWrap/>
            <w:vAlign w:val="center"/>
          </w:tcPr>
          <w:p w14:paraId="68A2DC87" w14:textId="485C16B6"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32.7</w:t>
            </w:r>
          </w:p>
        </w:tc>
        <w:tc>
          <w:tcPr>
            <w:tcW w:w="1296" w:type="dxa"/>
            <w:tcBorders>
              <w:top w:val="nil"/>
              <w:left w:val="nil"/>
              <w:bottom w:val="nil"/>
              <w:right w:val="nil"/>
            </w:tcBorders>
            <w:shd w:val="clear" w:color="auto" w:fill="auto"/>
            <w:noWrap/>
            <w:vAlign w:val="center"/>
          </w:tcPr>
          <w:p w14:paraId="4AF30EAB" w14:textId="0FE0218E"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9</w:t>
            </w:r>
          </w:p>
        </w:tc>
        <w:tc>
          <w:tcPr>
            <w:tcW w:w="1296" w:type="dxa"/>
            <w:tcBorders>
              <w:top w:val="nil"/>
              <w:left w:val="nil"/>
              <w:bottom w:val="nil"/>
              <w:right w:val="nil"/>
            </w:tcBorders>
            <w:shd w:val="clear" w:color="auto" w:fill="auto"/>
            <w:noWrap/>
            <w:vAlign w:val="center"/>
          </w:tcPr>
          <w:p w14:paraId="698697FA" w14:textId="24740B78"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11.8</w:t>
            </w:r>
          </w:p>
        </w:tc>
        <w:tc>
          <w:tcPr>
            <w:tcW w:w="1296" w:type="dxa"/>
            <w:tcBorders>
              <w:top w:val="nil"/>
              <w:left w:val="nil"/>
              <w:bottom w:val="nil"/>
              <w:right w:val="nil"/>
            </w:tcBorders>
            <w:shd w:val="clear" w:color="auto" w:fill="auto"/>
            <w:noWrap/>
            <w:vAlign w:val="center"/>
          </w:tcPr>
          <w:p w14:paraId="6B813433" w14:textId="12E8CDFE"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61.5</w:t>
            </w:r>
          </w:p>
        </w:tc>
      </w:tr>
      <w:tr w:rsidR="00BA2AA7" w14:paraId="16010C65" w14:textId="77777777" w:rsidTr="00555879">
        <w:trPr>
          <w:trHeight w:val="227"/>
        </w:trPr>
        <w:tc>
          <w:tcPr>
            <w:tcW w:w="1296" w:type="dxa"/>
            <w:tcBorders>
              <w:top w:val="nil"/>
              <w:left w:val="nil"/>
              <w:bottom w:val="nil"/>
              <w:right w:val="nil"/>
            </w:tcBorders>
            <w:shd w:val="clear" w:color="auto" w:fill="auto"/>
            <w:noWrap/>
            <w:vAlign w:val="center"/>
            <w:hideMark/>
          </w:tcPr>
          <w:p w14:paraId="16EDC11B"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Three</w:t>
            </w:r>
          </w:p>
        </w:tc>
        <w:tc>
          <w:tcPr>
            <w:tcW w:w="1296" w:type="dxa"/>
            <w:tcBorders>
              <w:top w:val="nil"/>
              <w:left w:val="nil"/>
              <w:bottom w:val="nil"/>
              <w:right w:val="nil"/>
            </w:tcBorders>
            <w:shd w:val="clear" w:color="auto" w:fill="auto"/>
            <w:noWrap/>
            <w:vAlign w:val="bottom"/>
          </w:tcPr>
          <w:p w14:paraId="3A15D504" w14:textId="0833431F"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67</w:t>
            </w:r>
          </w:p>
        </w:tc>
        <w:tc>
          <w:tcPr>
            <w:tcW w:w="1296" w:type="dxa"/>
            <w:tcBorders>
              <w:top w:val="nil"/>
              <w:left w:val="nil"/>
              <w:bottom w:val="nil"/>
              <w:right w:val="nil"/>
            </w:tcBorders>
            <w:shd w:val="clear" w:color="auto" w:fill="auto"/>
            <w:noWrap/>
            <w:vAlign w:val="bottom"/>
          </w:tcPr>
          <w:p w14:paraId="7299DABC" w14:textId="31A2B86E"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27</w:t>
            </w:r>
          </w:p>
        </w:tc>
        <w:tc>
          <w:tcPr>
            <w:tcW w:w="1296" w:type="dxa"/>
            <w:tcBorders>
              <w:top w:val="nil"/>
              <w:left w:val="nil"/>
              <w:bottom w:val="nil"/>
              <w:right w:val="nil"/>
            </w:tcBorders>
            <w:shd w:val="clear" w:color="auto" w:fill="auto"/>
            <w:noWrap/>
            <w:vAlign w:val="center"/>
          </w:tcPr>
          <w:p w14:paraId="136947CD" w14:textId="4A8A2854"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40.3</w:t>
            </w:r>
          </w:p>
        </w:tc>
        <w:tc>
          <w:tcPr>
            <w:tcW w:w="1296" w:type="dxa"/>
            <w:tcBorders>
              <w:top w:val="nil"/>
              <w:left w:val="nil"/>
              <w:bottom w:val="nil"/>
              <w:right w:val="nil"/>
            </w:tcBorders>
            <w:shd w:val="clear" w:color="auto" w:fill="auto"/>
            <w:noWrap/>
            <w:vAlign w:val="center"/>
          </w:tcPr>
          <w:p w14:paraId="48F42D5B" w14:textId="313A0C96"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10</w:t>
            </w:r>
          </w:p>
        </w:tc>
        <w:tc>
          <w:tcPr>
            <w:tcW w:w="1296" w:type="dxa"/>
            <w:tcBorders>
              <w:top w:val="nil"/>
              <w:left w:val="nil"/>
              <w:bottom w:val="nil"/>
              <w:right w:val="nil"/>
            </w:tcBorders>
            <w:shd w:val="clear" w:color="auto" w:fill="auto"/>
            <w:noWrap/>
            <w:vAlign w:val="center"/>
          </w:tcPr>
          <w:p w14:paraId="5A7CEA80" w14:textId="1B01A9D1"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25.0</w:t>
            </w:r>
          </w:p>
        </w:tc>
        <w:tc>
          <w:tcPr>
            <w:tcW w:w="1296" w:type="dxa"/>
            <w:tcBorders>
              <w:top w:val="nil"/>
              <w:left w:val="nil"/>
              <w:bottom w:val="nil"/>
              <w:right w:val="nil"/>
            </w:tcBorders>
            <w:shd w:val="clear" w:color="auto" w:fill="auto"/>
            <w:noWrap/>
            <w:vAlign w:val="center"/>
          </w:tcPr>
          <w:p w14:paraId="053D26AA" w14:textId="29DC69CE"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73.1</w:t>
            </w:r>
          </w:p>
        </w:tc>
      </w:tr>
      <w:tr w:rsidR="00BA2AA7" w14:paraId="7F98F4DC" w14:textId="77777777" w:rsidTr="00487E53">
        <w:trPr>
          <w:trHeight w:val="227"/>
        </w:trPr>
        <w:tc>
          <w:tcPr>
            <w:tcW w:w="1296" w:type="dxa"/>
            <w:tcBorders>
              <w:top w:val="nil"/>
              <w:left w:val="nil"/>
              <w:right w:val="nil"/>
            </w:tcBorders>
            <w:shd w:val="clear" w:color="auto" w:fill="auto"/>
            <w:noWrap/>
            <w:vAlign w:val="center"/>
            <w:hideMark/>
          </w:tcPr>
          <w:p w14:paraId="414540DA"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Four</w:t>
            </w:r>
          </w:p>
        </w:tc>
        <w:tc>
          <w:tcPr>
            <w:tcW w:w="1296" w:type="dxa"/>
            <w:tcBorders>
              <w:top w:val="nil"/>
              <w:left w:val="nil"/>
              <w:right w:val="nil"/>
            </w:tcBorders>
            <w:shd w:val="clear" w:color="auto" w:fill="auto"/>
            <w:noWrap/>
            <w:vAlign w:val="bottom"/>
          </w:tcPr>
          <w:p w14:paraId="18D5D3F3" w14:textId="07D3C421"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30</w:t>
            </w:r>
          </w:p>
        </w:tc>
        <w:tc>
          <w:tcPr>
            <w:tcW w:w="1296" w:type="dxa"/>
            <w:tcBorders>
              <w:top w:val="nil"/>
              <w:left w:val="nil"/>
              <w:right w:val="nil"/>
            </w:tcBorders>
            <w:shd w:val="clear" w:color="auto" w:fill="auto"/>
            <w:noWrap/>
            <w:vAlign w:val="bottom"/>
          </w:tcPr>
          <w:p w14:paraId="5E30C234" w14:textId="6217D39E"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7</w:t>
            </w:r>
          </w:p>
        </w:tc>
        <w:tc>
          <w:tcPr>
            <w:tcW w:w="1296" w:type="dxa"/>
            <w:tcBorders>
              <w:top w:val="nil"/>
              <w:left w:val="nil"/>
              <w:right w:val="nil"/>
            </w:tcBorders>
            <w:shd w:val="clear" w:color="auto" w:fill="auto"/>
            <w:noWrap/>
            <w:vAlign w:val="center"/>
          </w:tcPr>
          <w:p w14:paraId="0F97362F" w14:textId="471E45FD"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23.3</w:t>
            </w:r>
          </w:p>
        </w:tc>
        <w:tc>
          <w:tcPr>
            <w:tcW w:w="1296" w:type="dxa"/>
            <w:tcBorders>
              <w:top w:val="nil"/>
              <w:left w:val="nil"/>
              <w:right w:val="nil"/>
            </w:tcBorders>
            <w:shd w:val="clear" w:color="auto" w:fill="auto"/>
            <w:noWrap/>
            <w:vAlign w:val="center"/>
          </w:tcPr>
          <w:p w14:paraId="37067521" w14:textId="6F6FE2D5"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4</w:t>
            </w:r>
          </w:p>
        </w:tc>
        <w:tc>
          <w:tcPr>
            <w:tcW w:w="1296" w:type="dxa"/>
            <w:tcBorders>
              <w:top w:val="nil"/>
              <w:left w:val="nil"/>
              <w:right w:val="nil"/>
            </w:tcBorders>
            <w:shd w:val="clear" w:color="auto" w:fill="auto"/>
            <w:noWrap/>
            <w:vAlign w:val="center"/>
          </w:tcPr>
          <w:p w14:paraId="0DC8347B" w14:textId="325E031C"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17.4</w:t>
            </w:r>
          </w:p>
        </w:tc>
        <w:tc>
          <w:tcPr>
            <w:tcW w:w="1296" w:type="dxa"/>
            <w:tcBorders>
              <w:top w:val="nil"/>
              <w:left w:val="nil"/>
              <w:right w:val="nil"/>
            </w:tcBorders>
            <w:shd w:val="clear" w:color="auto" w:fill="auto"/>
            <w:noWrap/>
            <w:vAlign w:val="center"/>
          </w:tcPr>
          <w:p w14:paraId="5491FCB8" w14:textId="5BAA1B38"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76.1</w:t>
            </w:r>
          </w:p>
        </w:tc>
      </w:tr>
      <w:tr w:rsidR="00BA2AA7" w14:paraId="6E7374EF" w14:textId="77777777" w:rsidTr="00487E53">
        <w:trPr>
          <w:trHeight w:val="227"/>
        </w:trPr>
        <w:tc>
          <w:tcPr>
            <w:tcW w:w="1296" w:type="dxa"/>
            <w:tcBorders>
              <w:top w:val="nil"/>
              <w:left w:val="nil"/>
              <w:bottom w:val="single" w:sz="12" w:space="0" w:color="auto"/>
              <w:right w:val="nil"/>
            </w:tcBorders>
            <w:shd w:val="clear" w:color="auto" w:fill="auto"/>
            <w:noWrap/>
            <w:vAlign w:val="center"/>
          </w:tcPr>
          <w:p w14:paraId="5C52AC53" w14:textId="4976808B"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Five</w:t>
            </w:r>
          </w:p>
        </w:tc>
        <w:tc>
          <w:tcPr>
            <w:tcW w:w="1296" w:type="dxa"/>
            <w:tcBorders>
              <w:top w:val="nil"/>
              <w:left w:val="nil"/>
              <w:bottom w:val="single" w:sz="12" w:space="0" w:color="auto"/>
              <w:right w:val="nil"/>
            </w:tcBorders>
            <w:shd w:val="clear" w:color="auto" w:fill="auto"/>
            <w:noWrap/>
            <w:vAlign w:val="bottom"/>
          </w:tcPr>
          <w:p w14:paraId="6AA9C191" w14:textId="27E30937"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19</w:t>
            </w:r>
          </w:p>
        </w:tc>
        <w:tc>
          <w:tcPr>
            <w:tcW w:w="1296" w:type="dxa"/>
            <w:tcBorders>
              <w:top w:val="nil"/>
              <w:left w:val="nil"/>
              <w:bottom w:val="single" w:sz="12" w:space="0" w:color="auto"/>
              <w:right w:val="nil"/>
            </w:tcBorders>
            <w:shd w:val="clear" w:color="auto" w:fill="auto"/>
            <w:noWrap/>
            <w:vAlign w:val="bottom"/>
          </w:tcPr>
          <w:p w14:paraId="0D73DA94" w14:textId="4BE53C9A"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w:t>
            </w:r>
          </w:p>
        </w:tc>
        <w:tc>
          <w:tcPr>
            <w:tcW w:w="1296" w:type="dxa"/>
            <w:tcBorders>
              <w:top w:val="nil"/>
              <w:left w:val="nil"/>
              <w:bottom w:val="single" w:sz="12" w:space="0" w:color="auto"/>
              <w:right w:val="nil"/>
            </w:tcBorders>
            <w:shd w:val="clear" w:color="auto" w:fill="auto"/>
            <w:noWrap/>
            <w:vAlign w:val="center"/>
          </w:tcPr>
          <w:p w14:paraId="30951FC1" w14:textId="3452AD92"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5.3</w:t>
            </w:r>
          </w:p>
        </w:tc>
        <w:tc>
          <w:tcPr>
            <w:tcW w:w="1296" w:type="dxa"/>
            <w:tcBorders>
              <w:top w:val="nil"/>
              <w:left w:val="nil"/>
              <w:bottom w:val="single" w:sz="12" w:space="0" w:color="auto"/>
              <w:right w:val="nil"/>
            </w:tcBorders>
            <w:shd w:val="clear" w:color="auto" w:fill="auto"/>
            <w:noWrap/>
            <w:vAlign w:val="center"/>
          </w:tcPr>
          <w:p w14:paraId="63F00D99" w14:textId="62D99AC5"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4</w:t>
            </w:r>
          </w:p>
        </w:tc>
        <w:tc>
          <w:tcPr>
            <w:tcW w:w="1296" w:type="dxa"/>
            <w:tcBorders>
              <w:top w:val="nil"/>
              <w:left w:val="nil"/>
              <w:bottom w:val="single" w:sz="12" w:space="0" w:color="auto"/>
              <w:right w:val="nil"/>
            </w:tcBorders>
            <w:shd w:val="clear" w:color="auto" w:fill="auto"/>
            <w:noWrap/>
            <w:vAlign w:val="center"/>
          </w:tcPr>
          <w:p w14:paraId="0B46824C" w14:textId="51136483"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22.2</w:t>
            </w:r>
          </w:p>
        </w:tc>
        <w:tc>
          <w:tcPr>
            <w:tcW w:w="1296" w:type="dxa"/>
            <w:tcBorders>
              <w:top w:val="nil"/>
              <w:left w:val="nil"/>
              <w:bottom w:val="single" w:sz="12" w:space="0" w:color="auto"/>
              <w:right w:val="nil"/>
            </w:tcBorders>
            <w:shd w:val="clear" w:color="auto" w:fill="auto"/>
            <w:noWrap/>
            <w:vAlign w:val="center"/>
          </w:tcPr>
          <w:p w14:paraId="2B015DAD" w14:textId="7003D379"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76.5</w:t>
            </w:r>
          </w:p>
        </w:tc>
      </w:tr>
    </w:tbl>
    <w:p w14:paraId="0168DAAF" w14:textId="48F5C124" w:rsidR="00AB2856" w:rsidRDefault="00AB2856" w:rsidP="00A21D6D">
      <w:pPr>
        <w:pStyle w:val="TableSourcefootnotes"/>
        <w:numPr>
          <w:ilvl w:val="0"/>
          <w:numId w:val="32"/>
        </w:numPr>
        <w:tabs>
          <w:tab w:val="clear" w:pos="397"/>
          <w:tab w:val="left" w:pos="284"/>
        </w:tabs>
        <w:spacing w:after="0" w:line="240" w:lineRule="auto"/>
        <w:ind w:left="284" w:hanging="284"/>
      </w:pPr>
      <w:r>
        <w:t>F</w:t>
      </w:r>
      <w:r w:rsidRPr="00E217FF">
        <w:rPr>
          <w:iCs/>
        </w:rPr>
        <w:t>reeze-all</w:t>
      </w:r>
      <w:r w:rsidRPr="0027719A">
        <w:rPr>
          <w:iCs/>
        </w:rPr>
        <w:t xml:space="preserve"> c</w:t>
      </w:r>
      <w:r>
        <w:t>ycles are fresh ART treatment cycles where all oocytes or embryos are cryopreserved, and an embryo transfer does not take place.</w:t>
      </w:r>
    </w:p>
    <w:p w14:paraId="304F209E" w14:textId="7693576D" w:rsidR="00D433A6" w:rsidRPr="00A379EC" w:rsidRDefault="00D433A6" w:rsidP="00AB2856">
      <w:pPr>
        <w:pStyle w:val="TableSourcefootnotes"/>
        <w:numPr>
          <w:ilvl w:val="0"/>
          <w:numId w:val="32"/>
        </w:numPr>
        <w:tabs>
          <w:tab w:val="clear" w:pos="397"/>
          <w:tab w:val="left" w:pos="284"/>
        </w:tabs>
        <w:spacing w:before="0" w:after="0" w:line="240" w:lineRule="auto"/>
        <w:ind w:left="284" w:hanging="284"/>
      </w:pPr>
      <w:r>
        <w:t xml:space="preserve">Cycle one represents a woman’s first autologous (excluding </w:t>
      </w:r>
      <w:r w:rsidRPr="00E217FF">
        <w:rPr>
          <w:iCs/>
        </w:rPr>
        <w:t>freeze-all</w:t>
      </w:r>
      <w:r>
        <w:t>)</w:t>
      </w:r>
      <w:r w:rsidRPr="00A379EC">
        <w:t xml:space="preserve"> fresh ART treatment cycle between 1</w:t>
      </w:r>
      <w:r w:rsidRPr="00E217FF">
        <w:rPr>
          <w:vertAlign w:val="superscript"/>
        </w:rPr>
        <w:t>st</w:t>
      </w:r>
      <w:r w:rsidRPr="00A379EC">
        <w:t xml:space="preserve"> January </w:t>
      </w:r>
      <w:r w:rsidR="00550335">
        <w:t>201</w:t>
      </w:r>
      <w:r w:rsidR="00BA73D0">
        <w:t>8</w:t>
      </w:r>
      <w:r w:rsidR="00550335">
        <w:t xml:space="preserve"> </w:t>
      </w:r>
      <w:r w:rsidRPr="00A379EC">
        <w:t>and 31</w:t>
      </w:r>
      <w:r w:rsidRPr="00E217FF">
        <w:rPr>
          <w:vertAlign w:val="superscript"/>
        </w:rPr>
        <w:t>st</w:t>
      </w:r>
      <w:r w:rsidRPr="00A379EC">
        <w:t xml:space="preserve"> December </w:t>
      </w:r>
      <w:r w:rsidR="00550335">
        <w:t>201</w:t>
      </w:r>
      <w:r w:rsidR="00BA73D0">
        <w:t>8</w:t>
      </w:r>
      <w:r>
        <w:t>. Cycles two to five could be either a fresh or thaw cycle (</w:t>
      </w:r>
      <w:r w:rsidRPr="00737CD0">
        <w:t xml:space="preserve">excluding </w:t>
      </w:r>
      <w:r w:rsidRPr="00E217FF">
        <w:t>freeze-all</w:t>
      </w:r>
      <w:r w:rsidRPr="00737CD0">
        <w:t xml:space="preserve"> cycles</w:t>
      </w:r>
      <w:r>
        <w:t>)</w:t>
      </w:r>
      <w:r w:rsidRPr="00A379EC">
        <w:t xml:space="preserve"> </w:t>
      </w:r>
      <w:r>
        <w:t>undertaken by a woman</w:t>
      </w:r>
      <w:r w:rsidRPr="00A379EC">
        <w:t xml:space="preserve"> until 31</w:t>
      </w:r>
      <w:r w:rsidRPr="00E217FF">
        <w:rPr>
          <w:vertAlign w:val="superscript"/>
        </w:rPr>
        <w:t>st</w:t>
      </w:r>
      <w:r w:rsidRPr="00A379EC">
        <w:t xml:space="preserve"> December </w:t>
      </w:r>
      <w:r>
        <w:t>202</w:t>
      </w:r>
      <w:r w:rsidR="00C631F5">
        <w:t>1</w:t>
      </w:r>
      <w:r w:rsidRPr="00A379EC">
        <w:t xml:space="preserve"> or </w:t>
      </w:r>
      <w:r>
        <w:t>birth</w:t>
      </w:r>
      <w:r w:rsidRPr="00A379EC">
        <w:t xml:space="preserve"> of a liveborn baby up to </w:t>
      </w:r>
      <w:r>
        <w:t>and including 31</w:t>
      </w:r>
      <w:r w:rsidRPr="00E217FF">
        <w:rPr>
          <w:vertAlign w:val="superscript"/>
        </w:rPr>
        <w:t>st</w:t>
      </w:r>
      <w:r>
        <w:t xml:space="preserve"> October 202</w:t>
      </w:r>
      <w:r w:rsidR="00223548">
        <w:t>2</w:t>
      </w:r>
      <w:r w:rsidRPr="00A379EC">
        <w:t xml:space="preserve">. </w:t>
      </w:r>
    </w:p>
    <w:p w14:paraId="66A31268" w14:textId="77777777" w:rsidR="00D433A6" w:rsidRPr="00A379EC" w:rsidRDefault="00D433A6" w:rsidP="00AB2856">
      <w:pPr>
        <w:pStyle w:val="TableSourcefootnotes"/>
        <w:numPr>
          <w:ilvl w:val="0"/>
          <w:numId w:val="32"/>
        </w:numPr>
        <w:tabs>
          <w:tab w:val="clear" w:pos="397"/>
          <w:tab w:val="left" w:pos="284"/>
        </w:tabs>
        <w:spacing w:before="0" w:after="0" w:line="240" w:lineRule="auto"/>
        <w:ind w:left="284" w:hanging="284"/>
      </w:pPr>
      <w:r w:rsidRPr="00A379EC">
        <w:t xml:space="preserve">A live </w:t>
      </w:r>
      <w:r>
        <w:t>birth</w:t>
      </w:r>
      <w:r w:rsidRPr="00A379EC">
        <w:t xml:space="preserve"> is the </w:t>
      </w:r>
      <w:r>
        <w:t>birth</w:t>
      </w:r>
      <w:r w:rsidRPr="00A379EC">
        <w:t xml:space="preserve"> of one or more liveborn infants, with the birth of twins or higher order multiple</w:t>
      </w:r>
      <w:r>
        <w:t>s counted as one live birth.</w:t>
      </w:r>
    </w:p>
    <w:p w14:paraId="190604CA" w14:textId="77777777" w:rsidR="00D433A6" w:rsidRPr="00A379EC" w:rsidRDefault="00D433A6" w:rsidP="00AB2856">
      <w:pPr>
        <w:pStyle w:val="TableSourcefootnotes"/>
        <w:numPr>
          <w:ilvl w:val="0"/>
          <w:numId w:val="32"/>
        </w:numPr>
        <w:tabs>
          <w:tab w:val="clear" w:pos="397"/>
          <w:tab w:val="left" w:pos="284"/>
        </w:tabs>
        <w:spacing w:before="0" w:after="0" w:line="240" w:lineRule="auto"/>
        <w:ind w:left="284" w:hanging="284"/>
      </w:pPr>
      <w:r w:rsidRPr="00A379EC">
        <w:t xml:space="preserve">The cycle-specific live </w:t>
      </w:r>
      <w:r>
        <w:t>birth</w:t>
      </w:r>
      <w:r w:rsidRPr="00A379EC">
        <w:t xml:space="preserve"> rate is calculated as the number of live </w:t>
      </w:r>
      <w:r>
        <w:t>births</w:t>
      </w:r>
      <w:r w:rsidRPr="00A379EC">
        <w:t xml:space="preserve"> resulting from a specific ‘cycle number’ divided by the number of women who undertook that same ‘cycle number’. </w:t>
      </w:r>
    </w:p>
    <w:p w14:paraId="16F2672B" w14:textId="0D8DE2CB" w:rsidR="00D433A6" w:rsidRPr="00A379EC" w:rsidRDefault="00D433A6" w:rsidP="00AB2856">
      <w:pPr>
        <w:pStyle w:val="TableSourcefootnotes"/>
        <w:numPr>
          <w:ilvl w:val="0"/>
          <w:numId w:val="32"/>
        </w:numPr>
        <w:tabs>
          <w:tab w:val="clear" w:pos="397"/>
          <w:tab w:val="left" w:pos="284"/>
        </w:tabs>
        <w:spacing w:before="0" w:after="0" w:line="240" w:lineRule="auto"/>
        <w:ind w:left="284" w:hanging="284"/>
      </w:pPr>
      <w:r w:rsidRPr="00A379EC">
        <w:t>The non-progression rate for a specific ‘cycle number’ is calculated as the number of women who did not return for further ART treatment cycles before 31</w:t>
      </w:r>
      <w:r w:rsidRPr="00E217FF">
        <w:rPr>
          <w:vertAlign w:val="superscript"/>
        </w:rPr>
        <w:t>st</w:t>
      </w:r>
      <w:r w:rsidRPr="00A379EC">
        <w:t xml:space="preserve"> December </w:t>
      </w:r>
      <w:r>
        <w:t>202</w:t>
      </w:r>
      <w:r w:rsidR="00C631F5">
        <w:t>1</w:t>
      </w:r>
      <w:r w:rsidRPr="00A379EC">
        <w:t xml:space="preserve"> divided by the number of women who did not have a live </w:t>
      </w:r>
      <w:r>
        <w:t>birth</w:t>
      </w:r>
      <w:r w:rsidRPr="00A379EC">
        <w:t xml:space="preserve"> in that ‘cycle number’. </w:t>
      </w:r>
    </w:p>
    <w:p w14:paraId="6C6C8F6C" w14:textId="61919D46" w:rsidR="00D433A6" w:rsidRDefault="00D433A6" w:rsidP="00AB2856">
      <w:pPr>
        <w:pStyle w:val="TableSourcefootnotes"/>
        <w:numPr>
          <w:ilvl w:val="0"/>
          <w:numId w:val="32"/>
        </w:numPr>
        <w:tabs>
          <w:tab w:val="clear" w:pos="397"/>
          <w:tab w:val="left" w:pos="284"/>
        </w:tabs>
        <w:spacing w:before="0" w:after="0" w:line="240" w:lineRule="auto"/>
        <w:ind w:left="284" w:hanging="284"/>
      </w:pPr>
      <w:r w:rsidRPr="00A379EC">
        <w:t xml:space="preserve">The cumulative live </w:t>
      </w:r>
      <w:r>
        <w:t>birth</w:t>
      </w:r>
      <w:r w:rsidRPr="00A379EC">
        <w:t xml:space="preserve"> rate for a specific ‘cycle number’ is calculated as the total number of live </w:t>
      </w:r>
      <w:r>
        <w:t>births</w:t>
      </w:r>
      <w:r w:rsidRPr="00A379EC">
        <w:t xml:space="preserve"> following this ‘cycle number’ and all previous cycles divided by the total number of women who started their first autologous fresh ART treatme</w:t>
      </w:r>
      <w:r>
        <w:t>nt cycle between 1</w:t>
      </w:r>
      <w:r w:rsidRPr="00E217FF">
        <w:rPr>
          <w:vertAlign w:val="superscript"/>
        </w:rPr>
        <w:t>st</w:t>
      </w:r>
      <w:r>
        <w:t xml:space="preserve"> January </w:t>
      </w:r>
      <w:r w:rsidR="00550335">
        <w:t>201</w:t>
      </w:r>
      <w:r w:rsidR="00BA73D0">
        <w:t>8</w:t>
      </w:r>
      <w:r w:rsidR="00550335" w:rsidRPr="00A379EC">
        <w:t xml:space="preserve"> </w:t>
      </w:r>
      <w:r w:rsidRPr="00A379EC">
        <w:t>and 31</w:t>
      </w:r>
      <w:r w:rsidRPr="00E217FF">
        <w:rPr>
          <w:vertAlign w:val="superscript"/>
        </w:rPr>
        <w:t>st</w:t>
      </w:r>
      <w:r w:rsidRPr="00A379EC">
        <w:t xml:space="preserve"> December </w:t>
      </w:r>
      <w:r w:rsidR="00550335">
        <w:t>201</w:t>
      </w:r>
      <w:r w:rsidR="00BA73D0">
        <w:t>8</w:t>
      </w:r>
      <w:r w:rsidRPr="00A379EC">
        <w:t xml:space="preserve">. </w:t>
      </w:r>
    </w:p>
    <w:p w14:paraId="3CA16C90" w14:textId="77777777" w:rsidR="00D433A6" w:rsidRDefault="00D433A6" w:rsidP="00D433A6">
      <w:pPr>
        <w:pStyle w:val="TableSourcefootnotes"/>
        <w:tabs>
          <w:tab w:val="clear" w:pos="397"/>
          <w:tab w:val="left" w:pos="284"/>
        </w:tabs>
        <w:spacing w:before="0" w:after="0" w:line="240" w:lineRule="auto"/>
        <w:rPr>
          <w:i/>
        </w:rPr>
      </w:pPr>
    </w:p>
    <w:p w14:paraId="17CEA223" w14:textId="77777777" w:rsidR="00D433A6" w:rsidRPr="005E3A7E" w:rsidRDefault="00D433A6" w:rsidP="00D433A6">
      <w:pPr>
        <w:pStyle w:val="TableSourcefootnotes"/>
        <w:tabs>
          <w:tab w:val="clear" w:pos="397"/>
          <w:tab w:val="left" w:pos="284"/>
        </w:tabs>
        <w:spacing w:before="0" w:after="0" w:line="240" w:lineRule="auto"/>
        <w:rPr>
          <w:i/>
        </w:rPr>
      </w:pPr>
      <w:r w:rsidRPr="005E3A7E">
        <w:rPr>
          <w:i/>
        </w:rPr>
        <w:t xml:space="preserve">Note: </w:t>
      </w:r>
      <w:r w:rsidRPr="00E217FF">
        <w:rPr>
          <w:iCs/>
        </w:rPr>
        <w:t>Further treatment cycles after the fifth cycle and resulting live births are not presented in this table due to small numbers. Data should be interpreted with caution due to small numbers in certain cells and measures of statistical variance are not supplied.</w:t>
      </w:r>
    </w:p>
    <w:p w14:paraId="6D2ED9AD" w14:textId="77777777" w:rsidR="00D433A6" w:rsidRDefault="00D433A6" w:rsidP="00D433A6">
      <w:pPr>
        <w:spacing w:after="0" w:line="240" w:lineRule="auto"/>
        <w:rPr>
          <w:b/>
          <w:bCs/>
        </w:rPr>
      </w:pPr>
    </w:p>
    <w:p w14:paraId="3961AE32" w14:textId="77777777" w:rsidR="00D433A6" w:rsidRDefault="00D433A6" w:rsidP="00D433A6">
      <w:pPr>
        <w:spacing w:after="0" w:line="240" w:lineRule="auto"/>
      </w:pPr>
      <w:r>
        <w:rPr>
          <w:b/>
          <w:bCs/>
        </w:rPr>
        <w:br w:type="page"/>
      </w:r>
    </w:p>
    <w:p w14:paraId="736480D0" w14:textId="60AEBF61" w:rsidR="00D433A6" w:rsidRPr="00EC6EB4" w:rsidRDefault="00D433A6" w:rsidP="00B54834">
      <w:pPr>
        <w:pStyle w:val="Caption"/>
        <w:rPr>
          <w:rFonts w:eastAsia="Times New Roman"/>
          <w:lang w:eastAsia="en-AU"/>
        </w:rPr>
      </w:pPr>
      <w:bookmarkStart w:id="413" w:name="_Toc158026587"/>
      <w:r w:rsidRPr="00EC6EB4">
        <w:rPr>
          <w:rFonts w:eastAsia="Times New Roman"/>
          <w:lang w:eastAsia="en-AU"/>
        </w:rPr>
        <w:lastRenderedPageBreak/>
        <w:t>Table 3</w:t>
      </w:r>
      <w:r w:rsidR="000A47B5">
        <w:rPr>
          <w:rFonts w:eastAsia="Times New Roman"/>
          <w:lang w:eastAsia="en-AU"/>
        </w:rPr>
        <w:t>8</w:t>
      </w:r>
      <w:r w:rsidRPr="00EC6EB4">
        <w:rPr>
          <w:rFonts w:eastAsia="Times New Roman"/>
          <w:lang w:eastAsia="en-AU"/>
        </w:rPr>
        <w:t xml:space="preserve">: </w:t>
      </w:r>
      <w:r w:rsidR="002576D9" w:rsidRPr="00EC6EB4">
        <w:rPr>
          <w:rFonts w:eastAsia="Times New Roman"/>
          <w:lang w:eastAsia="en-AU"/>
        </w:rPr>
        <w:t>Cycle-specific and cumulative live birth rates for women aged 30-34 years who started their first autologous fresh cycle (excluding freeze-all cycles</w:t>
      </w:r>
      <w:r w:rsidR="002576D9" w:rsidRPr="002576D9">
        <w:rPr>
          <w:rFonts w:eastAsia="Times New Roman"/>
          <w:vertAlign w:val="superscript"/>
          <w:lang w:eastAsia="en-AU"/>
        </w:rPr>
        <w:t>(</w:t>
      </w:r>
      <w:r w:rsidR="00AB2856">
        <w:rPr>
          <w:rFonts w:eastAsia="Times New Roman"/>
          <w:vertAlign w:val="superscript"/>
          <w:lang w:eastAsia="en-AU"/>
        </w:rPr>
        <w:t>a</w:t>
      </w:r>
      <w:r w:rsidR="002576D9" w:rsidRPr="002576D9">
        <w:rPr>
          <w:rFonts w:eastAsia="Times New Roman"/>
          <w:vertAlign w:val="superscript"/>
          <w:lang w:eastAsia="en-AU"/>
        </w:rPr>
        <w:t>)</w:t>
      </w:r>
      <w:r w:rsidR="002576D9" w:rsidRPr="00EC6EB4">
        <w:rPr>
          <w:rFonts w:eastAsia="Times New Roman"/>
          <w:lang w:eastAsia="en-AU"/>
        </w:rPr>
        <w:t>) between 1st January 201</w:t>
      </w:r>
      <w:r w:rsidR="00BA73D0">
        <w:rPr>
          <w:rFonts w:eastAsia="Times New Roman"/>
          <w:lang w:eastAsia="en-AU"/>
        </w:rPr>
        <w:t>8</w:t>
      </w:r>
      <w:r w:rsidR="002576D9" w:rsidRPr="00EC6EB4">
        <w:rPr>
          <w:rFonts w:eastAsia="Times New Roman"/>
          <w:lang w:eastAsia="en-AU"/>
        </w:rPr>
        <w:t xml:space="preserve"> and 31st December 201</w:t>
      </w:r>
      <w:r w:rsidR="00BA73D0">
        <w:rPr>
          <w:rFonts w:eastAsia="Times New Roman"/>
          <w:lang w:eastAsia="en-AU"/>
        </w:rPr>
        <w:t>8</w:t>
      </w:r>
      <w:r w:rsidR="002576D9" w:rsidRPr="00EC6EB4">
        <w:rPr>
          <w:rFonts w:eastAsia="Times New Roman"/>
          <w:lang w:eastAsia="en-AU"/>
        </w:rPr>
        <w:t>, New Zealand, 201</w:t>
      </w:r>
      <w:r w:rsidR="00BA73D0">
        <w:rPr>
          <w:rFonts w:eastAsia="Times New Roman"/>
          <w:lang w:eastAsia="en-AU"/>
        </w:rPr>
        <w:t>8</w:t>
      </w:r>
      <w:r w:rsidR="002576D9" w:rsidRPr="00EC6EB4">
        <w:rPr>
          <w:rFonts w:eastAsia="Times New Roman"/>
          <w:lang w:eastAsia="en-AU"/>
        </w:rPr>
        <w:t>-202</w:t>
      </w:r>
      <w:r w:rsidR="00BA73D0">
        <w:rPr>
          <w:rFonts w:eastAsia="Times New Roman"/>
          <w:lang w:eastAsia="en-AU"/>
        </w:rPr>
        <w:t>1</w:t>
      </w:r>
      <w:bookmarkEnd w:id="413"/>
    </w:p>
    <w:tbl>
      <w:tblPr>
        <w:tblW w:w="9072" w:type="dxa"/>
        <w:tblLayout w:type="fixed"/>
        <w:tblCellMar>
          <w:top w:w="17" w:type="dxa"/>
          <w:left w:w="17" w:type="dxa"/>
          <w:bottom w:w="17" w:type="dxa"/>
          <w:right w:w="17" w:type="dxa"/>
        </w:tblCellMar>
        <w:tblLook w:val="04A0" w:firstRow="1" w:lastRow="0" w:firstColumn="1" w:lastColumn="0" w:noHBand="0" w:noVBand="1"/>
      </w:tblPr>
      <w:tblGrid>
        <w:gridCol w:w="1296"/>
        <w:gridCol w:w="1296"/>
        <w:gridCol w:w="1296"/>
        <w:gridCol w:w="1296"/>
        <w:gridCol w:w="1296"/>
        <w:gridCol w:w="1296"/>
        <w:gridCol w:w="1296"/>
      </w:tblGrid>
      <w:tr w:rsidR="00D433A6" w:rsidRPr="00B55251" w14:paraId="49059C04" w14:textId="77777777" w:rsidTr="003D6A05">
        <w:trPr>
          <w:trHeight w:val="227"/>
        </w:trPr>
        <w:tc>
          <w:tcPr>
            <w:tcW w:w="1296" w:type="dxa"/>
            <w:tcBorders>
              <w:top w:val="single" w:sz="12" w:space="0" w:color="auto"/>
              <w:left w:val="nil"/>
              <w:bottom w:val="single" w:sz="4" w:space="0" w:color="auto"/>
              <w:right w:val="nil"/>
            </w:tcBorders>
            <w:shd w:val="clear" w:color="auto" w:fill="auto"/>
            <w:vAlign w:val="bottom"/>
            <w:hideMark/>
          </w:tcPr>
          <w:p w14:paraId="71AEA4CB" w14:textId="1A0FCC48" w:rsidR="00D433A6" w:rsidRPr="00B55251" w:rsidRDefault="00D433A6" w:rsidP="003D6A05">
            <w:pPr>
              <w:spacing w:after="0" w:line="276" w:lineRule="auto"/>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Cycle number</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b</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53F4FC0D" w14:textId="77777777"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starting cycle</w:t>
            </w:r>
          </w:p>
        </w:tc>
        <w:tc>
          <w:tcPr>
            <w:tcW w:w="1296" w:type="dxa"/>
            <w:tcBorders>
              <w:top w:val="single" w:sz="12" w:space="0" w:color="auto"/>
              <w:left w:val="nil"/>
              <w:bottom w:val="single" w:sz="4" w:space="0" w:color="auto"/>
              <w:right w:val="nil"/>
            </w:tcBorders>
            <w:shd w:val="clear" w:color="auto" w:fill="auto"/>
            <w:vAlign w:val="bottom"/>
            <w:hideMark/>
          </w:tcPr>
          <w:p w14:paraId="787665BF" w14:textId="45D3CFC7"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Number of women who had a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c</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712A4738" w14:textId="74D8DA66"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Cycle-specific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d</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7DFB32D7" w14:textId="77777777"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who did not progress to next treatment</w:t>
            </w:r>
          </w:p>
        </w:tc>
        <w:tc>
          <w:tcPr>
            <w:tcW w:w="1296" w:type="dxa"/>
            <w:tcBorders>
              <w:top w:val="single" w:sz="12" w:space="0" w:color="auto"/>
              <w:left w:val="nil"/>
              <w:bottom w:val="single" w:sz="4" w:space="0" w:color="auto"/>
              <w:right w:val="nil"/>
            </w:tcBorders>
            <w:shd w:val="clear" w:color="auto" w:fill="auto"/>
            <w:vAlign w:val="bottom"/>
            <w:hideMark/>
          </w:tcPr>
          <w:p w14:paraId="28DA59EB" w14:textId="21A5448A"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Non-progression rate (%)</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e</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5BB850EE" w14:textId="180D8BE7"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Cumulative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f</w:t>
            </w:r>
            <w:r w:rsidRPr="00B55251">
              <w:rPr>
                <w:rFonts w:ascii="Arial" w:eastAsia="Times New Roman" w:hAnsi="Arial" w:cs="Arial"/>
                <w:b/>
                <w:bCs/>
                <w:color w:val="000000"/>
                <w:sz w:val="16"/>
                <w:szCs w:val="16"/>
                <w:vertAlign w:val="superscript"/>
                <w:lang w:eastAsia="en-AU"/>
              </w:rPr>
              <w:t>)</w:t>
            </w:r>
          </w:p>
        </w:tc>
      </w:tr>
      <w:tr w:rsidR="00BA2AA7" w14:paraId="3ED37607" w14:textId="77777777" w:rsidTr="00555879">
        <w:trPr>
          <w:trHeight w:val="227"/>
        </w:trPr>
        <w:tc>
          <w:tcPr>
            <w:tcW w:w="1296" w:type="dxa"/>
            <w:tcBorders>
              <w:top w:val="single" w:sz="4" w:space="0" w:color="auto"/>
              <w:left w:val="nil"/>
              <w:bottom w:val="nil"/>
              <w:right w:val="nil"/>
            </w:tcBorders>
            <w:shd w:val="clear" w:color="auto" w:fill="auto"/>
            <w:noWrap/>
            <w:vAlign w:val="center"/>
            <w:hideMark/>
          </w:tcPr>
          <w:p w14:paraId="773F3252"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One</w:t>
            </w:r>
          </w:p>
        </w:tc>
        <w:tc>
          <w:tcPr>
            <w:tcW w:w="1296" w:type="dxa"/>
            <w:tcBorders>
              <w:top w:val="single" w:sz="4" w:space="0" w:color="auto"/>
              <w:left w:val="nil"/>
              <w:bottom w:val="nil"/>
              <w:right w:val="nil"/>
            </w:tcBorders>
            <w:shd w:val="clear" w:color="auto" w:fill="auto"/>
            <w:noWrap/>
            <w:vAlign w:val="bottom"/>
          </w:tcPr>
          <w:p w14:paraId="4E7A7112" w14:textId="2AF0E0C1"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684</w:t>
            </w:r>
          </w:p>
        </w:tc>
        <w:tc>
          <w:tcPr>
            <w:tcW w:w="1296" w:type="dxa"/>
            <w:tcBorders>
              <w:top w:val="single" w:sz="4" w:space="0" w:color="auto"/>
              <w:left w:val="nil"/>
              <w:bottom w:val="nil"/>
              <w:right w:val="nil"/>
            </w:tcBorders>
            <w:shd w:val="clear" w:color="auto" w:fill="auto"/>
            <w:noWrap/>
            <w:vAlign w:val="bottom"/>
          </w:tcPr>
          <w:p w14:paraId="4A508DFD" w14:textId="75EB10E5"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252</w:t>
            </w:r>
          </w:p>
        </w:tc>
        <w:tc>
          <w:tcPr>
            <w:tcW w:w="1296" w:type="dxa"/>
            <w:tcBorders>
              <w:top w:val="single" w:sz="4" w:space="0" w:color="auto"/>
              <w:left w:val="nil"/>
              <w:bottom w:val="nil"/>
              <w:right w:val="nil"/>
            </w:tcBorders>
            <w:shd w:val="clear" w:color="auto" w:fill="auto"/>
            <w:noWrap/>
            <w:vAlign w:val="bottom"/>
          </w:tcPr>
          <w:p w14:paraId="0F640392" w14:textId="55F417A7"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36.8</w:t>
            </w:r>
          </w:p>
        </w:tc>
        <w:tc>
          <w:tcPr>
            <w:tcW w:w="1296" w:type="dxa"/>
            <w:tcBorders>
              <w:top w:val="single" w:sz="4" w:space="0" w:color="auto"/>
              <w:left w:val="nil"/>
              <w:bottom w:val="nil"/>
              <w:right w:val="nil"/>
            </w:tcBorders>
            <w:shd w:val="clear" w:color="auto" w:fill="auto"/>
            <w:noWrap/>
            <w:vAlign w:val="bottom"/>
          </w:tcPr>
          <w:p w14:paraId="0AE9B7A8" w14:textId="103C4241"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35</w:t>
            </w:r>
          </w:p>
        </w:tc>
        <w:tc>
          <w:tcPr>
            <w:tcW w:w="1296" w:type="dxa"/>
            <w:tcBorders>
              <w:top w:val="single" w:sz="4" w:space="0" w:color="auto"/>
              <w:left w:val="nil"/>
              <w:bottom w:val="nil"/>
              <w:right w:val="nil"/>
            </w:tcBorders>
            <w:shd w:val="clear" w:color="auto" w:fill="auto"/>
            <w:noWrap/>
            <w:vAlign w:val="bottom"/>
          </w:tcPr>
          <w:p w14:paraId="433763AD" w14:textId="72C67042"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8.1</w:t>
            </w:r>
          </w:p>
        </w:tc>
        <w:tc>
          <w:tcPr>
            <w:tcW w:w="1296" w:type="dxa"/>
            <w:tcBorders>
              <w:top w:val="single" w:sz="4" w:space="0" w:color="auto"/>
              <w:left w:val="nil"/>
              <w:bottom w:val="nil"/>
              <w:right w:val="nil"/>
            </w:tcBorders>
            <w:shd w:val="clear" w:color="auto" w:fill="auto"/>
            <w:noWrap/>
            <w:vAlign w:val="bottom"/>
          </w:tcPr>
          <w:p w14:paraId="3EF7ADCD" w14:textId="41CD7A1B"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36.8</w:t>
            </w:r>
          </w:p>
        </w:tc>
      </w:tr>
      <w:tr w:rsidR="00BA2AA7" w14:paraId="74E4D610" w14:textId="77777777" w:rsidTr="00555879">
        <w:trPr>
          <w:trHeight w:val="227"/>
        </w:trPr>
        <w:tc>
          <w:tcPr>
            <w:tcW w:w="1296" w:type="dxa"/>
            <w:tcBorders>
              <w:top w:val="nil"/>
              <w:left w:val="nil"/>
              <w:bottom w:val="nil"/>
              <w:right w:val="nil"/>
            </w:tcBorders>
            <w:shd w:val="clear" w:color="auto" w:fill="auto"/>
            <w:noWrap/>
            <w:vAlign w:val="center"/>
            <w:hideMark/>
          </w:tcPr>
          <w:p w14:paraId="5163BB3D"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Two</w:t>
            </w:r>
          </w:p>
        </w:tc>
        <w:tc>
          <w:tcPr>
            <w:tcW w:w="1296" w:type="dxa"/>
            <w:tcBorders>
              <w:top w:val="nil"/>
              <w:left w:val="nil"/>
              <w:bottom w:val="nil"/>
              <w:right w:val="nil"/>
            </w:tcBorders>
            <w:shd w:val="clear" w:color="auto" w:fill="auto"/>
            <w:noWrap/>
            <w:vAlign w:val="bottom"/>
          </w:tcPr>
          <w:p w14:paraId="7A13050C" w14:textId="02D22778"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397</w:t>
            </w:r>
          </w:p>
        </w:tc>
        <w:tc>
          <w:tcPr>
            <w:tcW w:w="1296" w:type="dxa"/>
            <w:tcBorders>
              <w:top w:val="nil"/>
              <w:left w:val="nil"/>
              <w:bottom w:val="nil"/>
              <w:right w:val="nil"/>
            </w:tcBorders>
            <w:shd w:val="clear" w:color="auto" w:fill="auto"/>
            <w:noWrap/>
            <w:vAlign w:val="bottom"/>
          </w:tcPr>
          <w:p w14:paraId="46B5A128" w14:textId="5340C8E9"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145</w:t>
            </w:r>
          </w:p>
        </w:tc>
        <w:tc>
          <w:tcPr>
            <w:tcW w:w="1296" w:type="dxa"/>
            <w:tcBorders>
              <w:top w:val="nil"/>
              <w:left w:val="nil"/>
              <w:bottom w:val="nil"/>
              <w:right w:val="nil"/>
            </w:tcBorders>
            <w:shd w:val="clear" w:color="auto" w:fill="auto"/>
            <w:noWrap/>
            <w:vAlign w:val="bottom"/>
          </w:tcPr>
          <w:p w14:paraId="40F468DA" w14:textId="776873D3"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36.5</w:t>
            </w:r>
          </w:p>
        </w:tc>
        <w:tc>
          <w:tcPr>
            <w:tcW w:w="1296" w:type="dxa"/>
            <w:tcBorders>
              <w:top w:val="nil"/>
              <w:left w:val="nil"/>
              <w:bottom w:val="nil"/>
              <w:right w:val="nil"/>
            </w:tcBorders>
            <w:shd w:val="clear" w:color="auto" w:fill="auto"/>
            <w:noWrap/>
            <w:vAlign w:val="bottom"/>
          </w:tcPr>
          <w:p w14:paraId="7B674D8E" w14:textId="7D306D0B"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43</w:t>
            </w:r>
          </w:p>
        </w:tc>
        <w:tc>
          <w:tcPr>
            <w:tcW w:w="1296" w:type="dxa"/>
            <w:tcBorders>
              <w:top w:val="nil"/>
              <w:left w:val="nil"/>
              <w:bottom w:val="nil"/>
              <w:right w:val="nil"/>
            </w:tcBorders>
            <w:shd w:val="clear" w:color="auto" w:fill="auto"/>
            <w:noWrap/>
            <w:vAlign w:val="bottom"/>
          </w:tcPr>
          <w:p w14:paraId="45174309" w14:textId="45D447E4"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17.1</w:t>
            </w:r>
          </w:p>
        </w:tc>
        <w:tc>
          <w:tcPr>
            <w:tcW w:w="1296" w:type="dxa"/>
            <w:tcBorders>
              <w:top w:val="nil"/>
              <w:left w:val="nil"/>
              <w:bottom w:val="nil"/>
              <w:right w:val="nil"/>
            </w:tcBorders>
            <w:shd w:val="clear" w:color="auto" w:fill="auto"/>
            <w:noWrap/>
            <w:vAlign w:val="bottom"/>
          </w:tcPr>
          <w:p w14:paraId="28739340" w14:textId="7BD6CA45"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58.0</w:t>
            </w:r>
          </w:p>
        </w:tc>
      </w:tr>
      <w:tr w:rsidR="00BA2AA7" w14:paraId="5A919680" w14:textId="77777777" w:rsidTr="00555879">
        <w:trPr>
          <w:trHeight w:val="227"/>
        </w:trPr>
        <w:tc>
          <w:tcPr>
            <w:tcW w:w="1296" w:type="dxa"/>
            <w:tcBorders>
              <w:top w:val="nil"/>
              <w:left w:val="nil"/>
              <w:bottom w:val="nil"/>
              <w:right w:val="nil"/>
            </w:tcBorders>
            <w:shd w:val="clear" w:color="auto" w:fill="auto"/>
            <w:noWrap/>
            <w:vAlign w:val="center"/>
            <w:hideMark/>
          </w:tcPr>
          <w:p w14:paraId="09F51F86"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Three</w:t>
            </w:r>
          </w:p>
        </w:tc>
        <w:tc>
          <w:tcPr>
            <w:tcW w:w="1296" w:type="dxa"/>
            <w:tcBorders>
              <w:top w:val="nil"/>
              <w:left w:val="nil"/>
              <w:bottom w:val="nil"/>
              <w:right w:val="nil"/>
            </w:tcBorders>
            <w:shd w:val="clear" w:color="auto" w:fill="auto"/>
            <w:noWrap/>
            <w:vAlign w:val="bottom"/>
          </w:tcPr>
          <w:p w14:paraId="1BC706F6" w14:textId="7A1AAE1A"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209</w:t>
            </w:r>
          </w:p>
        </w:tc>
        <w:tc>
          <w:tcPr>
            <w:tcW w:w="1296" w:type="dxa"/>
            <w:tcBorders>
              <w:top w:val="nil"/>
              <w:left w:val="nil"/>
              <w:bottom w:val="nil"/>
              <w:right w:val="nil"/>
            </w:tcBorders>
            <w:shd w:val="clear" w:color="auto" w:fill="auto"/>
            <w:noWrap/>
            <w:vAlign w:val="bottom"/>
          </w:tcPr>
          <w:p w14:paraId="3D62D672" w14:textId="6C961128"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62</w:t>
            </w:r>
          </w:p>
        </w:tc>
        <w:tc>
          <w:tcPr>
            <w:tcW w:w="1296" w:type="dxa"/>
            <w:tcBorders>
              <w:top w:val="nil"/>
              <w:left w:val="nil"/>
              <w:bottom w:val="nil"/>
              <w:right w:val="nil"/>
            </w:tcBorders>
            <w:shd w:val="clear" w:color="auto" w:fill="auto"/>
            <w:noWrap/>
            <w:vAlign w:val="bottom"/>
          </w:tcPr>
          <w:p w14:paraId="13C9AD68" w14:textId="541D1328"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29.7</w:t>
            </w:r>
          </w:p>
        </w:tc>
        <w:tc>
          <w:tcPr>
            <w:tcW w:w="1296" w:type="dxa"/>
            <w:tcBorders>
              <w:top w:val="nil"/>
              <w:left w:val="nil"/>
              <w:bottom w:val="nil"/>
              <w:right w:val="nil"/>
            </w:tcBorders>
            <w:shd w:val="clear" w:color="auto" w:fill="auto"/>
            <w:noWrap/>
            <w:vAlign w:val="bottom"/>
          </w:tcPr>
          <w:p w14:paraId="3B0E2807" w14:textId="7A74C776"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26</w:t>
            </w:r>
          </w:p>
        </w:tc>
        <w:tc>
          <w:tcPr>
            <w:tcW w:w="1296" w:type="dxa"/>
            <w:tcBorders>
              <w:top w:val="nil"/>
              <w:left w:val="nil"/>
              <w:bottom w:val="nil"/>
              <w:right w:val="nil"/>
            </w:tcBorders>
            <w:shd w:val="clear" w:color="auto" w:fill="auto"/>
            <w:noWrap/>
            <w:vAlign w:val="bottom"/>
          </w:tcPr>
          <w:p w14:paraId="292265B1" w14:textId="6D14E337"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17.7</w:t>
            </w:r>
          </w:p>
        </w:tc>
        <w:tc>
          <w:tcPr>
            <w:tcW w:w="1296" w:type="dxa"/>
            <w:tcBorders>
              <w:top w:val="nil"/>
              <w:left w:val="nil"/>
              <w:bottom w:val="nil"/>
              <w:right w:val="nil"/>
            </w:tcBorders>
            <w:shd w:val="clear" w:color="auto" w:fill="auto"/>
            <w:noWrap/>
            <w:vAlign w:val="bottom"/>
          </w:tcPr>
          <w:p w14:paraId="27A40647" w14:textId="555D9DCE"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67.1</w:t>
            </w:r>
          </w:p>
        </w:tc>
      </w:tr>
      <w:tr w:rsidR="00BA2AA7" w14:paraId="3F754252" w14:textId="77777777" w:rsidTr="00487E53">
        <w:trPr>
          <w:trHeight w:val="227"/>
        </w:trPr>
        <w:tc>
          <w:tcPr>
            <w:tcW w:w="1296" w:type="dxa"/>
            <w:tcBorders>
              <w:top w:val="nil"/>
              <w:left w:val="nil"/>
              <w:right w:val="nil"/>
            </w:tcBorders>
            <w:shd w:val="clear" w:color="auto" w:fill="auto"/>
            <w:noWrap/>
            <w:vAlign w:val="center"/>
            <w:hideMark/>
          </w:tcPr>
          <w:p w14:paraId="1E479BFF"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Four</w:t>
            </w:r>
          </w:p>
        </w:tc>
        <w:tc>
          <w:tcPr>
            <w:tcW w:w="1296" w:type="dxa"/>
            <w:tcBorders>
              <w:top w:val="nil"/>
              <w:left w:val="nil"/>
              <w:right w:val="nil"/>
            </w:tcBorders>
            <w:shd w:val="clear" w:color="auto" w:fill="auto"/>
            <w:noWrap/>
            <w:vAlign w:val="bottom"/>
          </w:tcPr>
          <w:p w14:paraId="3C3843E7" w14:textId="037BC62D"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121</w:t>
            </w:r>
          </w:p>
        </w:tc>
        <w:tc>
          <w:tcPr>
            <w:tcW w:w="1296" w:type="dxa"/>
            <w:tcBorders>
              <w:top w:val="nil"/>
              <w:left w:val="nil"/>
              <w:right w:val="nil"/>
            </w:tcBorders>
            <w:shd w:val="clear" w:color="auto" w:fill="auto"/>
            <w:noWrap/>
            <w:vAlign w:val="bottom"/>
          </w:tcPr>
          <w:p w14:paraId="5591CC95" w14:textId="3E6E53C3"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27</w:t>
            </w:r>
          </w:p>
        </w:tc>
        <w:tc>
          <w:tcPr>
            <w:tcW w:w="1296" w:type="dxa"/>
            <w:tcBorders>
              <w:top w:val="nil"/>
              <w:left w:val="nil"/>
              <w:right w:val="nil"/>
            </w:tcBorders>
            <w:shd w:val="clear" w:color="auto" w:fill="auto"/>
            <w:noWrap/>
            <w:vAlign w:val="bottom"/>
          </w:tcPr>
          <w:p w14:paraId="55625DE6" w14:textId="29902826"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22.3</w:t>
            </w:r>
          </w:p>
        </w:tc>
        <w:tc>
          <w:tcPr>
            <w:tcW w:w="1296" w:type="dxa"/>
            <w:tcBorders>
              <w:top w:val="nil"/>
              <w:left w:val="nil"/>
              <w:right w:val="nil"/>
            </w:tcBorders>
            <w:shd w:val="clear" w:color="auto" w:fill="auto"/>
            <w:noWrap/>
            <w:vAlign w:val="bottom"/>
          </w:tcPr>
          <w:p w14:paraId="39B91E5E" w14:textId="1A60F826"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23</w:t>
            </w:r>
          </w:p>
        </w:tc>
        <w:tc>
          <w:tcPr>
            <w:tcW w:w="1296" w:type="dxa"/>
            <w:tcBorders>
              <w:top w:val="nil"/>
              <w:left w:val="nil"/>
              <w:right w:val="nil"/>
            </w:tcBorders>
            <w:shd w:val="clear" w:color="auto" w:fill="auto"/>
            <w:noWrap/>
            <w:vAlign w:val="bottom"/>
          </w:tcPr>
          <w:p w14:paraId="0DCEBF83" w14:textId="151C8214"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24.5</w:t>
            </w:r>
          </w:p>
        </w:tc>
        <w:tc>
          <w:tcPr>
            <w:tcW w:w="1296" w:type="dxa"/>
            <w:tcBorders>
              <w:top w:val="nil"/>
              <w:left w:val="nil"/>
              <w:right w:val="nil"/>
            </w:tcBorders>
            <w:shd w:val="clear" w:color="auto" w:fill="auto"/>
            <w:noWrap/>
            <w:vAlign w:val="bottom"/>
          </w:tcPr>
          <w:p w14:paraId="4F95C361" w14:textId="01B6FC8E"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71.1</w:t>
            </w:r>
          </w:p>
        </w:tc>
      </w:tr>
      <w:tr w:rsidR="00BA2AA7" w14:paraId="189D9CFA" w14:textId="77777777" w:rsidTr="00487E53">
        <w:trPr>
          <w:trHeight w:val="227"/>
        </w:trPr>
        <w:tc>
          <w:tcPr>
            <w:tcW w:w="1296" w:type="dxa"/>
            <w:tcBorders>
              <w:top w:val="nil"/>
              <w:left w:val="nil"/>
              <w:bottom w:val="single" w:sz="12" w:space="0" w:color="auto"/>
              <w:right w:val="nil"/>
            </w:tcBorders>
            <w:shd w:val="clear" w:color="auto" w:fill="auto"/>
            <w:noWrap/>
            <w:vAlign w:val="center"/>
          </w:tcPr>
          <w:p w14:paraId="4ED2991F" w14:textId="7EB0DF9B"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Five</w:t>
            </w:r>
          </w:p>
        </w:tc>
        <w:tc>
          <w:tcPr>
            <w:tcW w:w="1296" w:type="dxa"/>
            <w:tcBorders>
              <w:top w:val="nil"/>
              <w:left w:val="nil"/>
              <w:bottom w:val="single" w:sz="12" w:space="0" w:color="auto"/>
              <w:right w:val="nil"/>
            </w:tcBorders>
            <w:shd w:val="clear" w:color="auto" w:fill="auto"/>
            <w:noWrap/>
            <w:vAlign w:val="bottom"/>
          </w:tcPr>
          <w:p w14:paraId="00491C46" w14:textId="64038B68"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71</w:t>
            </w:r>
          </w:p>
        </w:tc>
        <w:tc>
          <w:tcPr>
            <w:tcW w:w="1296" w:type="dxa"/>
            <w:tcBorders>
              <w:top w:val="nil"/>
              <w:left w:val="nil"/>
              <w:bottom w:val="single" w:sz="12" w:space="0" w:color="auto"/>
              <w:right w:val="nil"/>
            </w:tcBorders>
            <w:shd w:val="clear" w:color="auto" w:fill="auto"/>
            <w:noWrap/>
            <w:vAlign w:val="bottom"/>
          </w:tcPr>
          <w:p w14:paraId="0FCE4D06" w14:textId="7707FAFC"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20</w:t>
            </w:r>
          </w:p>
        </w:tc>
        <w:tc>
          <w:tcPr>
            <w:tcW w:w="1296" w:type="dxa"/>
            <w:tcBorders>
              <w:top w:val="nil"/>
              <w:left w:val="nil"/>
              <w:bottom w:val="single" w:sz="12" w:space="0" w:color="auto"/>
              <w:right w:val="nil"/>
            </w:tcBorders>
            <w:shd w:val="clear" w:color="auto" w:fill="auto"/>
            <w:noWrap/>
            <w:vAlign w:val="bottom"/>
          </w:tcPr>
          <w:p w14:paraId="786D9D5E" w14:textId="08347D1A"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28.2</w:t>
            </w:r>
          </w:p>
        </w:tc>
        <w:tc>
          <w:tcPr>
            <w:tcW w:w="1296" w:type="dxa"/>
            <w:tcBorders>
              <w:top w:val="nil"/>
              <w:left w:val="nil"/>
              <w:bottom w:val="single" w:sz="12" w:space="0" w:color="auto"/>
              <w:right w:val="nil"/>
            </w:tcBorders>
            <w:shd w:val="clear" w:color="auto" w:fill="auto"/>
            <w:noWrap/>
            <w:vAlign w:val="bottom"/>
          </w:tcPr>
          <w:p w14:paraId="203B2494" w14:textId="60B0031E"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14</w:t>
            </w:r>
          </w:p>
        </w:tc>
        <w:tc>
          <w:tcPr>
            <w:tcW w:w="1296" w:type="dxa"/>
            <w:tcBorders>
              <w:top w:val="nil"/>
              <w:left w:val="nil"/>
              <w:bottom w:val="single" w:sz="12" w:space="0" w:color="auto"/>
              <w:right w:val="nil"/>
            </w:tcBorders>
            <w:shd w:val="clear" w:color="auto" w:fill="auto"/>
            <w:noWrap/>
            <w:vAlign w:val="bottom"/>
          </w:tcPr>
          <w:p w14:paraId="17F7105E" w14:textId="5B748A56"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27.5</w:t>
            </w:r>
          </w:p>
        </w:tc>
        <w:tc>
          <w:tcPr>
            <w:tcW w:w="1296" w:type="dxa"/>
            <w:tcBorders>
              <w:top w:val="nil"/>
              <w:left w:val="nil"/>
              <w:bottom w:val="single" w:sz="12" w:space="0" w:color="auto"/>
              <w:right w:val="nil"/>
            </w:tcBorders>
            <w:shd w:val="clear" w:color="auto" w:fill="auto"/>
            <w:noWrap/>
            <w:vAlign w:val="bottom"/>
          </w:tcPr>
          <w:p w14:paraId="7C3BAE60" w14:textId="20EBE96C"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74.0</w:t>
            </w:r>
          </w:p>
        </w:tc>
      </w:tr>
    </w:tbl>
    <w:p w14:paraId="2F256CBD" w14:textId="77777777" w:rsidR="00D433A6" w:rsidRDefault="00D433A6" w:rsidP="00D433A6">
      <w:pPr>
        <w:pStyle w:val="TableSourcefootnotes"/>
        <w:tabs>
          <w:tab w:val="clear" w:pos="397"/>
          <w:tab w:val="left" w:pos="284"/>
        </w:tabs>
        <w:spacing w:before="0" w:after="0" w:line="240" w:lineRule="auto"/>
      </w:pPr>
    </w:p>
    <w:p w14:paraId="148E8E13" w14:textId="45912DEF" w:rsidR="00AB2856" w:rsidRDefault="00AB2856" w:rsidP="00A21D6D">
      <w:pPr>
        <w:pStyle w:val="TableSourcefootnotes"/>
        <w:numPr>
          <w:ilvl w:val="0"/>
          <w:numId w:val="33"/>
        </w:numPr>
        <w:tabs>
          <w:tab w:val="clear" w:pos="397"/>
          <w:tab w:val="left" w:pos="284"/>
        </w:tabs>
        <w:spacing w:before="0" w:after="0" w:line="240" w:lineRule="auto"/>
        <w:ind w:left="284" w:hanging="284"/>
      </w:pPr>
      <w:r>
        <w:t>F</w:t>
      </w:r>
      <w:r w:rsidRPr="00E217FF">
        <w:rPr>
          <w:iCs/>
        </w:rPr>
        <w:t>reeze-all</w:t>
      </w:r>
      <w:r w:rsidRPr="0096515A">
        <w:rPr>
          <w:iCs/>
        </w:rPr>
        <w:t xml:space="preserve"> cycles</w:t>
      </w:r>
      <w:r>
        <w:t xml:space="preserve"> are fresh ART treatment cycles where all oocytes or embryos are cryopreserved</w:t>
      </w:r>
      <w:r w:rsidR="00352B13">
        <w:t>,</w:t>
      </w:r>
      <w:r>
        <w:t xml:space="preserve"> and an embryo transfer does not take place.</w:t>
      </w:r>
    </w:p>
    <w:p w14:paraId="49C957B7" w14:textId="5F7AFAC3" w:rsidR="00D433A6" w:rsidRPr="00A379EC" w:rsidRDefault="00D433A6" w:rsidP="00A21D6D">
      <w:pPr>
        <w:pStyle w:val="TableSourcefootnotes"/>
        <w:numPr>
          <w:ilvl w:val="0"/>
          <w:numId w:val="33"/>
        </w:numPr>
        <w:tabs>
          <w:tab w:val="clear" w:pos="397"/>
          <w:tab w:val="left" w:pos="284"/>
        </w:tabs>
        <w:spacing w:before="0" w:after="0" w:line="240" w:lineRule="auto"/>
        <w:ind w:left="284" w:hanging="284"/>
      </w:pPr>
      <w:r>
        <w:t xml:space="preserve">Cycle one represents a woman’s first autologous (excluding </w:t>
      </w:r>
      <w:r w:rsidRPr="00E217FF">
        <w:rPr>
          <w:iCs/>
        </w:rPr>
        <w:t>freeze-all</w:t>
      </w:r>
      <w:r>
        <w:t>)</w:t>
      </w:r>
      <w:r w:rsidRPr="00A379EC">
        <w:t xml:space="preserve"> fresh ART treatment cycle between 1</w:t>
      </w:r>
      <w:r w:rsidRPr="00E217FF">
        <w:rPr>
          <w:vertAlign w:val="superscript"/>
        </w:rPr>
        <w:t>st</w:t>
      </w:r>
      <w:r w:rsidRPr="00A379EC">
        <w:t xml:space="preserve"> January </w:t>
      </w:r>
      <w:r w:rsidR="00550335">
        <w:t>201</w:t>
      </w:r>
      <w:r w:rsidR="00BA73D0">
        <w:t>8</w:t>
      </w:r>
      <w:r w:rsidR="00550335">
        <w:t xml:space="preserve"> </w:t>
      </w:r>
      <w:r w:rsidRPr="00A379EC">
        <w:t>and 31</w:t>
      </w:r>
      <w:r w:rsidRPr="00E217FF">
        <w:rPr>
          <w:vertAlign w:val="superscript"/>
        </w:rPr>
        <w:t>st</w:t>
      </w:r>
      <w:r w:rsidRPr="00A379EC">
        <w:t xml:space="preserve"> December </w:t>
      </w:r>
      <w:r w:rsidR="00550335">
        <w:t>201</w:t>
      </w:r>
      <w:r w:rsidR="00BA73D0">
        <w:t>8</w:t>
      </w:r>
      <w:r>
        <w:t>. Cycles two to five could be either a fresh or thaw cycle (</w:t>
      </w:r>
      <w:r w:rsidRPr="00FE565E">
        <w:t xml:space="preserve">excluding </w:t>
      </w:r>
      <w:r w:rsidRPr="00E217FF">
        <w:t>freeze-all</w:t>
      </w:r>
      <w:r w:rsidRPr="00FE565E">
        <w:t xml:space="preserve"> cycles</w:t>
      </w:r>
      <w:r>
        <w:t>)</w:t>
      </w:r>
      <w:r w:rsidRPr="00A379EC">
        <w:t xml:space="preserve"> </w:t>
      </w:r>
      <w:r>
        <w:t>undertaken by a woman</w:t>
      </w:r>
      <w:r w:rsidRPr="00A379EC">
        <w:t xml:space="preserve"> until 31</w:t>
      </w:r>
      <w:r w:rsidRPr="00E217FF">
        <w:rPr>
          <w:vertAlign w:val="superscript"/>
        </w:rPr>
        <w:t>st</w:t>
      </w:r>
      <w:r w:rsidRPr="00A379EC">
        <w:t xml:space="preserve"> December </w:t>
      </w:r>
      <w:r>
        <w:t>202</w:t>
      </w:r>
      <w:r w:rsidR="00C631F5">
        <w:t>1</w:t>
      </w:r>
      <w:r w:rsidRPr="00A379EC">
        <w:t xml:space="preserve"> or </w:t>
      </w:r>
      <w:r>
        <w:t>birth</w:t>
      </w:r>
      <w:r w:rsidRPr="00A379EC">
        <w:t xml:space="preserve"> of a liveborn baby up to </w:t>
      </w:r>
      <w:r>
        <w:t>and including 31</w:t>
      </w:r>
      <w:r w:rsidRPr="00E217FF">
        <w:rPr>
          <w:vertAlign w:val="superscript"/>
        </w:rPr>
        <w:t>st</w:t>
      </w:r>
      <w:r>
        <w:t xml:space="preserve"> October 202</w:t>
      </w:r>
      <w:r w:rsidR="00223548">
        <w:t>2</w:t>
      </w:r>
      <w:r w:rsidRPr="00A379EC">
        <w:t xml:space="preserve">. </w:t>
      </w:r>
    </w:p>
    <w:p w14:paraId="4C36E524" w14:textId="77777777" w:rsidR="00D433A6" w:rsidRPr="00A379EC" w:rsidRDefault="00D433A6" w:rsidP="00A21D6D">
      <w:pPr>
        <w:pStyle w:val="TableSourcefootnotes"/>
        <w:numPr>
          <w:ilvl w:val="0"/>
          <w:numId w:val="33"/>
        </w:numPr>
        <w:spacing w:before="0" w:after="0" w:line="240" w:lineRule="auto"/>
        <w:ind w:left="284" w:hanging="284"/>
      </w:pPr>
      <w:r w:rsidRPr="00A379EC">
        <w:t xml:space="preserve">A live </w:t>
      </w:r>
      <w:r>
        <w:t>birth</w:t>
      </w:r>
      <w:r w:rsidRPr="00A379EC">
        <w:t xml:space="preserve"> is the </w:t>
      </w:r>
      <w:r>
        <w:t>birth</w:t>
      </w:r>
      <w:r w:rsidRPr="00A379EC">
        <w:t xml:space="preserve"> of one or more liveborn infants, with the birth of twins or higher order multiple</w:t>
      </w:r>
      <w:r>
        <w:t>s counted as one live birth.</w:t>
      </w:r>
    </w:p>
    <w:p w14:paraId="710171DD" w14:textId="77777777" w:rsidR="00D433A6" w:rsidRPr="00A379EC" w:rsidRDefault="00D433A6" w:rsidP="00A21D6D">
      <w:pPr>
        <w:pStyle w:val="TableSourcefootnotes"/>
        <w:numPr>
          <w:ilvl w:val="0"/>
          <w:numId w:val="33"/>
        </w:numPr>
        <w:tabs>
          <w:tab w:val="clear" w:pos="397"/>
          <w:tab w:val="left" w:pos="284"/>
        </w:tabs>
        <w:spacing w:before="0" w:after="0" w:line="240" w:lineRule="auto"/>
        <w:ind w:left="284" w:hanging="284"/>
      </w:pPr>
      <w:r w:rsidRPr="00A379EC">
        <w:t xml:space="preserve">The cycle-specific live </w:t>
      </w:r>
      <w:r>
        <w:t>birth</w:t>
      </w:r>
      <w:r w:rsidRPr="00A379EC">
        <w:t xml:space="preserve"> rate is calculated as the number of live </w:t>
      </w:r>
      <w:r>
        <w:t>births</w:t>
      </w:r>
      <w:r w:rsidRPr="00A379EC">
        <w:t xml:space="preserve"> resulting from a specific ‘cycle number’ divided by the number of women who undertook that same ‘cycle number’. </w:t>
      </w:r>
    </w:p>
    <w:p w14:paraId="5F7A18AE" w14:textId="0BF2F88A" w:rsidR="00D433A6" w:rsidRPr="00A379EC" w:rsidRDefault="00D433A6" w:rsidP="00A21D6D">
      <w:pPr>
        <w:pStyle w:val="TableSourcefootnotes"/>
        <w:numPr>
          <w:ilvl w:val="0"/>
          <w:numId w:val="33"/>
        </w:numPr>
        <w:tabs>
          <w:tab w:val="clear" w:pos="397"/>
          <w:tab w:val="left" w:pos="284"/>
        </w:tabs>
        <w:spacing w:before="0" w:after="0" w:line="240" w:lineRule="auto"/>
        <w:ind w:left="284" w:hanging="284"/>
      </w:pPr>
      <w:r w:rsidRPr="00A379EC">
        <w:t>The non-progression rate for a specific ‘cycle number’ is calculated as the number of women who did not return for further ART treatment cycles before 31</w:t>
      </w:r>
      <w:r w:rsidRPr="00E217FF">
        <w:rPr>
          <w:vertAlign w:val="superscript"/>
        </w:rPr>
        <w:t>st</w:t>
      </w:r>
      <w:r w:rsidRPr="00A379EC">
        <w:t xml:space="preserve"> December </w:t>
      </w:r>
      <w:r>
        <w:t>202</w:t>
      </w:r>
      <w:r w:rsidR="00C631F5">
        <w:t>1</w:t>
      </w:r>
      <w:r w:rsidRPr="00A379EC">
        <w:t xml:space="preserve"> divided by the number of women who did not have a live </w:t>
      </w:r>
      <w:r>
        <w:t>birth</w:t>
      </w:r>
      <w:r w:rsidRPr="00A379EC">
        <w:t xml:space="preserve"> in that ‘cycle number’. </w:t>
      </w:r>
    </w:p>
    <w:p w14:paraId="6A11AC8A" w14:textId="35142C85" w:rsidR="00D433A6" w:rsidRDefault="00D433A6" w:rsidP="00A21D6D">
      <w:pPr>
        <w:pStyle w:val="TableSourcefootnotes"/>
        <w:numPr>
          <w:ilvl w:val="0"/>
          <w:numId w:val="33"/>
        </w:numPr>
        <w:spacing w:before="0" w:after="0" w:line="240" w:lineRule="auto"/>
        <w:ind w:left="284" w:hanging="284"/>
      </w:pPr>
      <w:r w:rsidRPr="00A379EC">
        <w:t xml:space="preserve">The cumulative live </w:t>
      </w:r>
      <w:r>
        <w:t>birth</w:t>
      </w:r>
      <w:r w:rsidRPr="00A379EC">
        <w:t xml:space="preserve"> rate for a specific ‘cycle number’ is calculated as the total number of live </w:t>
      </w:r>
      <w:r>
        <w:t>births</w:t>
      </w:r>
      <w:r w:rsidRPr="00A379EC">
        <w:t xml:space="preserve"> following this ‘cycle number’ and all previous cycles divided by the total number of women who started their first autologous fresh ART treatme</w:t>
      </w:r>
      <w:r>
        <w:t>nt cycle between 1</w:t>
      </w:r>
      <w:r w:rsidRPr="00E217FF">
        <w:rPr>
          <w:vertAlign w:val="superscript"/>
        </w:rPr>
        <w:t>st</w:t>
      </w:r>
      <w:r>
        <w:t xml:space="preserve"> January </w:t>
      </w:r>
      <w:r w:rsidR="00550335">
        <w:t>201</w:t>
      </w:r>
      <w:r w:rsidR="00BA73D0">
        <w:t>8</w:t>
      </w:r>
      <w:r w:rsidR="00550335" w:rsidRPr="00A379EC">
        <w:t xml:space="preserve"> </w:t>
      </w:r>
      <w:r w:rsidRPr="00A379EC">
        <w:t>and 31</w:t>
      </w:r>
      <w:r w:rsidRPr="00E217FF">
        <w:rPr>
          <w:vertAlign w:val="superscript"/>
        </w:rPr>
        <w:t>st</w:t>
      </w:r>
      <w:r w:rsidRPr="00A379EC">
        <w:t xml:space="preserve"> December </w:t>
      </w:r>
      <w:r w:rsidR="00550335">
        <w:t>201</w:t>
      </w:r>
      <w:r w:rsidR="00BA73D0">
        <w:t>8</w:t>
      </w:r>
      <w:r w:rsidRPr="00A379EC">
        <w:t xml:space="preserve">. </w:t>
      </w:r>
    </w:p>
    <w:p w14:paraId="1DBE1A26" w14:textId="77777777" w:rsidR="00D433A6" w:rsidRDefault="00D433A6" w:rsidP="00D433A6">
      <w:pPr>
        <w:pStyle w:val="TableSourcefootnotes"/>
        <w:tabs>
          <w:tab w:val="clear" w:pos="397"/>
          <w:tab w:val="left" w:pos="426"/>
        </w:tabs>
        <w:spacing w:before="0" w:after="0" w:line="240" w:lineRule="auto"/>
        <w:rPr>
          <w:i/>
          <w:iCs/>
        </w:rPr>
      </w:pPr>
    </w:p>
    <w:p w14:paraId="20FDF122" w14:textId="77777777" w:rsidR="00D433A6" w:rsidRDefault="00D433A6" w:rsidP="00D433A6">
      <w:pPr>
        <w:pStyle w:val="TableSourcefootnotes"/>
        <w:tabs>
          <w:tab w:val="clear" w:pos="397"/>
          <w:tab w:val="left" w:pos="426"/>
        </w:tabs>
        <w:spacing w:before="0" w:after="0" w:line="240" w:lineRule="auto"/>
      </w:pPr>
      <w:r w:rsidRPr="00A379EC">
        <w:rPr>
          <w:i/>
          <w:iCs/>
        </w:rPr>
        <w:t>Note</w:t>
      </w:r>
      <w:r w:rsidRPr="00A379EC">
        <w:t>:</w:t>
      </w:r>
      <w:r w:rsidRPr="00A379EC">
        <w:tab/>
        <w:t xml:space="preserve">Further treatment cycles after the </w:t>
      </w:r>
      <w:r>
        <w:t>fifth</w:t>
      </w:r>
      <w:r w:rsidRPr="00A379EC">
        <w:t xml:space="preserve"> cycle and resulting live </w:t>
      </w:r>
      <w:r>
        <w:t>births</w:t>
      </w:r>
      <w:r w:rsidRPr="00A379EC">
        <w:t xml:space="preserve"> are not presented in this table due to small numbers. Data should be interpreted with caution due to small numbers in certain </w:t>
      </w:r>
      <w:r w:rsidRPr="00BD7D19">
        <w:t>cells and measure</w:t>
      </w:r>
      <w:r>
        <w:t>s</w:t>
      </w:r>
      <w:r w:rsidRPr="00BD7D19">
        <w:t xml:space="preserve"> of statistical variance are not supplied.</w:t>
      </w:r>
    </w:p>
    <w:p w14:paraId="49186A36" w14:textId="77777777" w:rsidR="00D433A6" w:rsidRDefault="00D433A6" w:rsidP="00D433A6">
      <w:pPr>
        <w:rPr>
          <w:b/>
          <w:bCs/>
        </w:rPr>
      </w:pPr>
    </w:p>
    <w:p w14:paraId="48AF70AF" w14:textId="77777777" w:rsidR="00D433A6" w:rsidRDefault="00D433A6" w:rsidP="00D433A6">
      <w:r>
        <w:rPr>
          <w:b/>
          <w:bCs/>
        </w:rPr>
        <w:br w:type="page"/>
      </w:r>
    </w:p>
    <w:p w14:paraId="0D82C5F7" w14:textId="4DAAA29A" w:rsidR="00D433A6" w:rsidRPr="00EC6EB4" w:rsidRDefault="00D433A6" w:rsidP="00B54834">
      <w:pPr>
        <w:pStyle w:val="Caption"/>
        <w:rPr>
          <w:rFonts w:eastAsia="Times New Roman"/>
          <w:lang w:eastAsia="en-AU"/>
        </w:rPr>
      </w:pPr>
      <w:bookmarkStart w:id="414" w:name="_Toc158026588"/>
      <w:r w:rsidRPr="00EC6EB4">
        <w:rPr>
          <w:rFonts w:eastAsia="Times New Roman"/>
          <w:lang w:eastAsia="en-AU"/>
        </w:rPr>
        <w:lastRenderedPageBreak/>
        <w:t>Table 3</w:t>
      </w:r>
      <w:r w:rsidR="000A47B5">
        <w:rPr>
          <w:rFonts w:eastAsia="Times New Roman"/>
          <w:lang w:eastAsia="en-AU"/>
        </w:rPr>
        <w:t>9</w:t>
      </w:r>
      <w:r w:rsidRPr="00EC6EB4">
        <w:rPr>
          <w:rFonts w:eastAsia="Times New Roman"/>
          <w:lang w:eastAsia="en-AU"/>
        </w:rPr>
        <w:t xml:space="preserve">: </w:t>
      </w:r>
      <w:r w:rsidR="002576D9" w:rsidRPr="00EC6EB4">
        <w:rPr>
          <w:rFonts w:eastAsia="Times New Roman"/>
          <w:lang w:eastAsia="en-AU"/>
        </w:rPr>
        <w:t>Cycle-specific and cumulative live birth rates for women aged 35-39 years who started their first autologous fresh cycle (excluding freeze-all cycles</w:t>
      </w:r>
      <w:r w:rsidR="002576D9" w:rsidRPr="002576D9">
        <w:rPr>
          <w:rFonts w:eastAsia="Times New Roman"/>
          <w:vertAlign w:val="superscript"/>
          <w:lang w:eastAsia="en-AU"/>
        </w:rPr>
        <w:t>(</w:t>
      </w:r>
      <w:r w:rsidR="00AB2856">
        <w:rPr>
          <w:rFonts w:eastAsia="Times New Roman"/>
          <w:vertAlign w:val="superscript"/>
          <w:lang w:eastAsia="en-AU"/>
        </w:rPr>
        <w:t>a</w:t>
      </w:r>
      <w:r w:rsidR="002576D9" w:rsidRPr="002576D9">
        <w:rPr>
          <w:rFonts w:eastAsia="Times New Roman"/>
          <w:vertAlign w:val="superscript"/>
          <w:lang w:eastAsia="en-AU"/>
        </w:rPr>
        <w:t>)</w:t>
      </w:r>
      <w:r w:rsidR="002576D9" w:rsidRPr="00EC6EB4">
        <w:rPr>
          <w:rFonts w:eastAsia="Times New Roman"/>
          <w:lang w:eastAsia="en-AU"/>
        </w:rPr>
        <w:t>) between 1st January 201</w:t>
      </w:r>
      <w:r w:rsidR="00BA73D0">
        <w:rPr>
          <w:rFonts w:eastAsia="Times New Roman"/>
          <w:lang w:eastAsia="en-AU"/>
        </w:rPr>
        <w:t>8</w:t>
      </w:r>
      <w:r w:rsidR="002576D9" w:rsidRPr="00EC6EB4">
        <w:rPr>
          <w:rFonts w:eastAsia="Times New Roman"/>
          <w:lang w:eastAsia="en-AU"/>
        </w:rPr>
        <w:t xml:space="preserve"> and 31st December 201</w:t>
      </w:r>
      <w:r w:rsidR="00BA73D0">
        <w:rPr>
          <w:rFonts w:eastAsia="Times New Roman"/>
          <w:lang w:eastAsia="en-AU"/>
        </w:rPr>
        <w:t>8</w:t>
      </w:r>
      <w:r w:rsidR="002576D9" w:rsidRPr="00EC6EB4">
        <w:rPr>
          <w:rFonts w:eastAsia="Times New Roman"/>
          <w:lang w:eastAsia="en-AU"/>
        </w:rPr>
        <w:t>, New Zealand, 201</w:t>
      </w:r>
      <w:r w:rsidR="00BA73D0">
        <w:rPr>
          <w:rFonts w:eastAsia="Times New Roman"/>
          <w:lang w:eastAsia="en-AU"/>
        </w:rPr>
        <w:t>8</w:t>
      </w:r>
      <w:r w:rsidR="002576D9" w:rsidRPr="00EC6EB4">
        <w:rPr>
          <w:rFonts w:eastAsia="Times New Roman"/>
          <w:lang w:eastAsia="en-AU"/>
        </w:rPr>
        <w:t>-202</w:t>
      </w:r>
      <w:r w:rsidR="00BA73D0">
        <w:rPr>
          <w:rFonts w:eastAsia="Times New Roman"/>
          <w:lang w:eastAsia="en-AU"/>
        </w:rPr>
        <w:t>1</w:t>
      </w:r>
      <w:bookmarkEnd w:id="414"/>
    </w:p>
    <w:tbl>
      <w:tblPr>
        <w:tblW w:w="9072" w:type="dxa"/>
        <w:tblLayout w:type="fixed"/>
        <w:tblCellMar>
          <w:top w:w="17" w:type="dxa"/>
          <w:left w:w="17" w:type="dxa"/>
          <w:bottom w:w="17" w:type="dxa"/>
          <w:right w:w="17" w:type="dxa"/>
        </w:tblCellMar>
        <w:tblLook w:val="04A0" w:firstRow="1" w:lastRow="0" w:firstColumn="1" w:lastColumn="0" w:noHBand="0" w:noVBand="1"/>
      </w:tblPr>
      <w:tblGrid>
        <w:gridCol w:w="1296"/>
        <w:gridCol w:w="1296"/>
        <w:gridCol w:w="1296"/>
        <w:gridCol w:w="1296"/>
        <w:gridCol w:w="1296"/>
        <w:gridCol w:w="1296"/>
        <w:gridCol w:w="1296"/>
      </w:tblGrid>
      <w:tr w:rsidR="00D433A6" w:rsidRPr="00B55251" w14:paraId="1360B97E" w14:textId="77777777" w:rsidTr="003D6A05">
        <w:trPr>
          <w:trHeight w:val="227"/>
        </w:trPr>
        <w:tc>
          <w:tcPr>
            <w:tcW w:w="1296" w:type="dxa"/>
            <w:tcBorders>
              <w:top w:val="single" w:sz="12" w:space="0" w:color="auto"/>
              <w:left w:val="nil"/>
              <w:bottom w:val="single" w:sz="4" w:space="0" w:color="auto"/>
              <w:right w:val="nil"/>
            </w:tcBorders>
            <w:shd w:val="clear" w:color="auto" w:fill="auto"/>
            <w:vAlign w:val="bottom"/>
            <w:hideMark/>
          </w:tcPr>
          <w:p w14:paraId="6CF146C8" w14:textId="19DE157E" w:rsidR="00D433A6" w:rsidRPr="00B55251" w:rsidRDefault="00D433A6" w:rsidP="003D6A05">
            <w:pPr>
              <w:spacing w:after="0" w:line="276" w:lineRule="auto"/>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Cycle number</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b</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7F354D61" w14:textId="77777777"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starting cycle</w:t>
            </w:r>
          </w:p>
        </w:tc>
        <w:tc>
          <w:tcPr>
            <w:tcW w:w="1296" w:type="dxa"/>
            <w:tcBorders>
              <w:top w:val="single" w:sz="12" w:space="0" w:color="auto"/>
              <w:left w:val="nil"/>
              <w:bottom w:val="single" w:sz="4" w:space="0" w:color="auto"/>
              <w:right w:val="nil"/>
            </w:tcBorders>
            <w:shd w:val="clear" w:color="auto" w:fill="auto"/>
            <w:vAlign w:val="bottom"/>
            <w:hideMark/>
          </w:tcPr>
          <w:p w14:paraId="3AE683A4" w14:textId="19333CE5"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Number of women who had a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c</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3854F8BB" w14:textId="56CBFC9E"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Cycle-specific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d</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2ED6E2B8" w14:textId="77777777"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who did not progress to next treatment</w:t>
            </w:r>
          </w:p>
        </w:tc>
        <w:tc>
          <w:tcPr>
            <w:tcW w:w="1296" w:type="dxa"/>
            <w:tcBorders>
              <w:top w:val="single" w:sz="12" w:space="0" w:color="auto"/>
              <w:left w:val="nil"/>
              <w:bottom w:val="single" w:sz="4" w:space="0" w:color="auto"/>
              <w:right w:val="nil"/>
            </w:tcBorders>
            <w:shd w:val="clear" w:color="auto" w:fill="auto"/>
            <w:vAlign w:val="bottom"/>
            <w:hideMark/>
          </w:tcPr>
          <w:p w14:paraId="04C47CF2" w14:textId="2A936F0D"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Non-progression rate (%)</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e</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00FA0A10" w14:textId="39462B92"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Cumulative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f</w:t>
            </w:r>
            <w:r w:rsidRPr="00B55251">
              <w:rPr>
                <w:rFonts w:ascii="Arial" w:eastAsia="Times New Roman" w:hAnsi="Arial" w:cs="Arial"/>
                <w:b/>
                <w:bCs/>
                <w:color w:val="000000"/>
                <w:sz w:val="16"/>
                <w:szCs w:val="16"/>
                <w:vertAlign w:val="superscript"/>
                <w:lang w:eastAsia="en-AU"/>
              </w:rPr>
              <w:t>)</w:t>
            </w:r>
          </w:p>
        </w:tc>
      </w:tr>
      <w:tr w:rsidR="00BA2AA7" w14:paraId="4C4DCDBD" w14:textId="77777777" w:rsidTr="00555879">
        <w:trPr>
          <w:trHeight w:val="227"/>
        </w:trPr>
        <w:tc>
          <w:tcPr>
            <w:tcW w:w="1296" w:type="dxa"/>
            <w:tcBorders>
              <w:top w:val="single" w:sz="4" w:space="0" w:color="auto"/>
              <w:left w:val="nil"/>
              <w:bottom w:val="nil"/>
              <w:right w:val="nil"/>
            </w:tcBorders>
            <w:shd w:val="clear" w:color="auto" w:fill="auto"/>
            <w:noWrap/>
            <w:vAlign w:val="center"/>
            <w:hideMark/>
          </w:tcPr>
          <w:p w14:paraId="00B8DAAA"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One</w:t>
            </w:r>
          </w:p>
        </w:tc>
        <w:tc>
          <w:tcPr>
            <w:tcW w:w="1296" w:type="dxa"/>
            <w:tcBorders>
              <w:top w:val="single" w:sz="4" w:space="0" w:color="auto"/>
              <w:left w:val="nil"/>
              <w:bottom w:val="nil"/>
              <w:right w:val="nil"/>
            </w:tcBorders>
            <w:shd w:val="clear" w:color="auto" w:fill="auto"/>
            <w:noWrap/>
            <w:vAlign w:val="bottom"/>
          </w:tcPr>
          <w:p w14:paraId="4EA95A1A" w14:textId="262CD08E"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679</w:t>
            </w:r>
          </w:p>
        </w:tc>
        <w:tc>
          <w:tcPr>
            <w:tcW w:w="1296" w:type="dxa"/>
            <w:tcBorders>
              <w:top w:val="single" w:sz="4" w:space="0" w:color="auto"/>
              <w:left w:val="nil"/>
              <w:bottom w:val="nil"/>
              <w:right w:val="nil"/>
            </w:tcBorders>
            <w:shd w:val="clear" w:color="auto" w:fill="auto"/>
            <w:noWrap/>
            <w:vAlign w:val="bottom"/>
          </w:tcPr>
          <w:p w14:paraId="51F26B54" w14:textId="20498C90"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203</w:t>
            </w:r>
          </w:p>
        </w:tc>
        <w:tc>
          <w:tcPr>
            <w:tcW w:w="1296" w:type="dxa"/>
            <w:tcBorders>
              <w:top w:val="single" w:sz="4" w:space="0" w:color="auto"/>
              <w:left w:val="nil"/>
              <w:bottom w:val="nil"/>
              <w:right w:val="nil"/>
            </w:tcBorders>
            <w:shd w:val="clear" w:color="auto" w:fill="auto"/>
            <w:noWrap/>
            <w:vAlign w:val="bottom"/>
          </w:tcPr>
          <w:p w14:paraId="5C0C54F9" w14:textId="40A233E6"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29.9</w:t>
            </w:r>
          </w:p>
        </w:tc>
        <w:tc>
          <w:tcPr>
            <w:tcW w:w="1296" w:type="dxa"/>
            <w:tcBorders>
              <w:top w:val="single" w:sz="4" w:space="0" w:color="auto"/>
              <w:left w:val="nil"/>
              <w:bottom w:val="nil"/>
              <w:right w:val="nil"/>
            </w:tcBorders>
            <w:shd w:val="clear" w:color="auto" w:fill="auto"/>
            <w:noWrap/>
            <w:vAlign w:val="bottom"/>
          </w:tcPr>
          <w:p w14:paraId="6024BE08" w14:textId="29ADD240"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72</w:t>
            </w:r>
          </w:p>
        </w:tc>
        <w:tc>
          <w:tcPr>
            <w:tcW w:w="1296" w:type="dxa"/>
            <w:tcBorders>
              <w:top w:val="single" w:sz="4" w:space="0" w:color="auto"/>
              <w:left w:val="nil"/>
              <w:bottom w:val="nil"/>
              <w:right w:val="nil"/>
            </w:tcBorders>
            <w:shd w:val="clear" w:color="auto" w:fill="auto"/>
            <w:noWrap/>
            <w:vAlign w:val="bottom"/>
          </w:tcPr>
          <w:p w14:paraId="7C9B101F" w14:textId="0C67B6F9"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15.1</w:t>
            </w:r>
          </w:p>
        </w:tc>
        <w:tc>
          <w:tcPr>
            <w:tcW w:w="1296" w:type="dxa"/>
            <w:tcBorders>
              <w:top w:val="single" w:sz="4" w:space="0" w:color="auto"/>
              <w:left w:val="nil"/>
              <w:bottom w:val="nil"/>
              <w:right w:val="nil"/>
            </w:tcBorders>
            <w:shd w:val="clear" w:color="auto" w:fill="auto"/>
            <w:noWrap/>
            <w:vAlign w:val="bottom"/>
          </w:tcPr>
          <w:p w14:paraId="63C65F95" w14:textId="01E31A25"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29.9</w:t>
            </w:r>
          </w:p>
        </w:tc>
      </w:tr>
      <w:tr w:rsidR="00BA2AA7" w14:paraId="035BBD02" w14:textId="77777777" w:rsidTr="00555879">
        <w:trPr>
          <w:trHeight w:val="227"/>
        </w:trPr>
        <w:tc>
          <w:tcPr>
            <w:tcW w:w="1296" w:type="dxa"/>
            <w:tcBorders>
              <w:top w:val="nil"/>
              <w:left w:val="nil"/>
              <w:bottom w:val="nil"/>
              <w:right w:val="nil"/>
            </w:tcBorders>
            <w:shd w:val="clear" w:color="auto" w:fill="auto"/>
            <w:noWrap/>
            <w:vAlign w:val="center"/>
            <w:hideMark/>
          </w:tcPr>
          <w:p w14:paraId="5FDABA1A"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Two</w:t>
            </w:r>
          </w:p>
        </w:tc>
        <w:tc>
          <w:tcPr>
            <w:tcW w:w="1296" w:type="dxa"/>
            <w:tcBorders>
              <w:top w:val="nil"/>
              <w:left w:val="nil"/>
              <w:bottom w:val="nil"/>
              <w:right w:val="nil"/>
            </w:tcBorders>
            <w:shd w:val="clear" w:color="auto" w:fill="auto"/>
            <w:noWrap/>
            <w:vAlign w:val="bottom"/>
          </w:tcPr>
          <w:p w14:paraId="65226D9B" w14:textId="006EACF3"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404</w:t>
            </w:r>
          </w:p>
        </w:tc>
        <w:tc>
          <w:tcPr>
            <w:tcW w:w="1296" w:type="dxa"/>
            <w:tcBorders>
              <w:top w:val="nil"/>
              <w:left w:val="nil"/>
              <w:bottom w:val="nil"/>
              <w:right w:val="nil"/>
            </w:tcBorders>
            <w:shd w:val="clear" w:color="auto" w:fill="auto"/>
            <w:noWrap/>
            <w:vAlign w:val="bottom"/>
          </w:tcPr>
          <w:p w14:paraId="74D3BE4E" w14:textId="30ED9FE7"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99</w:t>
            </w:r>
          </w:p>
        </w:tc>
        <w:tc>
          <w:tcPr>
            <w:tcW w:w="1296" w:type="dxa"/>
            <w:tcBorders>
              <w:top w:val="nil"/>
              <w:left w:val="nil"/>
              <w:bottom w:val="nil"/>
              <w:right w:val="nil"/>
            </w:tcBorders>
            <w:shd w:val="clear" w:color="auto" w:fill="auto"/>
            <w:noWrap/>
            <w:vAlign w:val="bottom"/>
          </w:tcPr>
          <w:p w14:paraId="7A389EDC" w14:textId="271C1F2E"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24.5</w:t>
            </w:r>
          </w:p>
        </w:tc>
        <w:tc>
          <w:tcPr>
            <w:tcW w:w="1296" w:type="dxa"/>
            <w:tcBorders>
              <w:top w:val="nil"/>
              <w:left w:val="nil"/>
              <w:bottom w:val="nil"/>
              <w:right w:val="nil"/>
            </w:tcBorders>
            <w:shd w:val="clear" w:color="auto" w:fill="auto"/>
            <w:noWrap/>
            <w:vAlign w:val="bottom"/>
          </w:tcPr>
          <w:p w14:paraId="693346BF" w14:textId="7CE4EC3B"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66</w:t>
            </w:r>
          </w:p>
        </w:tc>
        <w:tc>
          <w:tcPr>
            <w:tcW w:w="1296" w:type="dxa"/>
            <w:tcBorders>
              <w:top w:val="nil"/>
              <w:left w:val="nil"/>
              <w:bottom w:val="nil"/>
              <w:right w:val="nil"/>
            </w:tcBorders>
            <w:shd w:val="clear" w:color="auto" w:fill="auto"/>
            <w:noWrap/>
            <w:vAlign w:val="bottom"/>
          </w:tcPr>
          <w:p w14:paraId="6F2DEBB8" w14:textId="754784AF"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21.6</w:t>
            </w:r>
          </w:p>
        </w:tc>
        <w:tc>
          <w:tcPr>
            <w:tcW w:w="1296" w:type="dxa"/>
            <w:tcBorders>
              <w:top w:val="nil"/>
              <w:left w:val="nil"/>
              <w:bottom w:val="nil"/>
              <w:right w:val="nil"/>
            </w:tcBorders>
            <w:shd w:val="clear" w:color="auto" w:fill="auto"/>
            <w:noWrap/>
            <w:vAlign w:val="bottom"/>
          </w:tcPr>
          <w:p w14:paraId="4FB8E5FB" w14:textId="53BA2FB9"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44.5</w:t>
            </w:r>
          </w:p>
        </w:tc>
      </w:tr>
      <w:tr w:rsidR="00BA2AA7" w14:paraId="728C1A7E" w14:textId="77777777" w:rsidTr="00555879">
        <w:trPr>
          <w:trHeight w:val="227"/>
        </w:trPr>
        <w:tc>
          <w:tcPr>
            <w:tcW w:w="1296" w:type="dxa"/>
            <w:tcBorders>
              <w:top w:val="nil"/>
              <w:left w:val="nil"/>
              <w:bottom w:val="nil"/>
              <w:right w:val="nil"/>
            </w:tcBorders>
            <w:shd w:val="clear" w:color="auto" w:fill="auto"/>
            <w:noWrap/>
            <w:vAlign w:val="center"/>
            <w:hideMark/>
          </w:tcPr>
          <w:p w14:paraId="716E9BA3"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Three</w:t>
            </w:r>
          </w:p>
        </w:tc>
        <w:tc>
          <w:tcPr>
            <w:tcW w:w="1296" w:type="dxa"/>
            <w:tcBorders>
              <w:top w:val="nil"/>
              <w:left w:val="nil"/>
              <w:bottom w:val="nil"/>
              <w:right w:val="nil"/>
            </w:tcBorders>
            <w:shd w:val="clear" w:color="auto" w:fill="auto"/>
            <w:noWrap/>
            <w:vAlign w:val="bottom"/>
          </w:tcPr>
          <w:p w14:paraId="3B55B8F9" w14:textId="28C5B9AE"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239</w:t>
            </w:r>
          </w:p>
        </w:tc>
        <w:tc>
          <w:tcPr>
            <w:tcW w:w="1296" w:type="dxa"/>
            <w:tcBorders>
              <w:top w:val="nil"/>
              <w:left w:val="nil"/>
              <w:bottom w:val="nil"/>
              <w:right w:val="nil"/>
            </w:tcBorders>
            <w:shd w:val="clear" w:color="auto" w:fill="auto"/>
            <w:noWrap/>
            <w:vAlign w:val="bottom"/>
          </w:tcPr>
          <w:p w14:paraId="62A5EC91" w14:textId="44710A26"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51</w:t>
            </w:r>
          </w:p>
        </w:tc>
        <w:tc>
          <w:tcPr>
            <w:tcW w:w="1296" w:type="dxa"/>
            <w:tcBorders>
              <w:top w:val="nil"/>
              <w:left w:val="nil"/>
              <w:bottom w:val="nil"/>
              <w:right w:val="nil"/>
            </w:tcBorders>
            <w:shd w:val="clear" w:color="auto" w:fill="auto"/>
            <w:noWrap/>
            <w:vAlign w:val="bottom"/>
          </w:tcPr>
          <w:p w14:paraId="127154CA" w14:textId="3F9F27A6"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21.3</w:t>
            </w:r>
          </w:p>
        </w:tc>
        <w:tc>
          <w:tcPr>
            <w:tcW w:w="1296" w:type="dxa"/>
            <w:tcBorders>
              <w:top w:val="nil"/>
              <w:left w:val="nil"/>
              <w:bottom w:val="nil"/>
              <w:right w:val="nil"/>
            </w:tcBorders>
            <w:shd w:val="clear" w:color="auto" w:fill="auto"/>
            <w:noWrap/>
            <w:vAlign w:val="bottom"/>
          </w:tcPr>
          <w:p w14:paraId="20CE8241" w14:textId="57C0EEF5"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38</w:t>
            </w:r>
          </w:p>
        </w:tc>
        <w:tc>
          <w:tcPr>
            <w:tcW w:w="1296" w:type="dxa"/>
            <w:tcBorders>
              <w:top w:val="nil"/>
              <w:left w:val="nil"/>
              <w:bottom w:val="nil"/>
              <w:right w:val="nil"/>
            </w:tcBorders>
            <w:shd w:val="clear" w:color="auto" w:fill="auto"/>
            <w:noWrap/>
            <w:vAlign w:val="bottom"/>
          </w:tcPr>
          <w:p w14:paraId="2D67CC49" w14:textId="1F9C1D2D"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20.2</w:t>
            </w:r>
          </w:p>
        </w:tc>
        <w:tc>
          <w:tcPr>
            <w:tcW w:w="1296" w:type="dxa"/>
            <w:tcBorders>
              <w:top w:val="nil"/>
              <w:left w:val="nil"/>
              <w:bottom w:val="nil"/>
              <w:right w:val="nil"/>
            </w:tcBorders>
            <w:shd w:val="clear" w:color="auto" w:fill="auto"/>
            <w:noWrap/>
            <w:vAlign w:val="bottom"/>
          </w:tcPr>
          <w:p w14:paraId="0214C9BD" w14:textId="4317F79A"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52.0</w:t>
            </w:r>
          </w:p>
        </w:tc>
      </w:tr>
      <w:tr w:rsidR="00BA2AA7" w14:paraId="5D41119C" w14:textId="77777777" w:rsidTr="00487E53">
        <w:trPr>
          <w:trHeight w:val="227"/>
        </w:trPr>
        <w:tc>
          <w:tcPr>
            <w:tcW w:w="1296" w:type="dxa"/>
            <w:tcBorders>
              <w:top w:val="nil"/>
              <w:left w:val="nil"/>
              <w:right w:val="nil"/>
            </w:tcBorders>
            <w:shd w:val="clear" w:color="auto" w:fill="auto"/>
            <w:noWrap/>
            <w:vAlign w:val="center"/>
            <w:hideMark/>
          </w:tcPr>
          <w:p w14:paraId="03E154E2"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Four</w:t>
            </w:r>
          </w:p>
        </w:tc>
        <w:tc>
          <w:tcPr>
            <w:tcW w:w="1296" w:type="dxa"/>
            <w:tcBorders>
              <w:top w:val="nil"/>
              <w:left w:val="nil"/>
              <w:right w:val="nil"/>
            </w:tcBorders>
            <w:shd w:val="clear" w:color="auto" w:fill="auto"/>
            <w:noWrap/>
            <w:vAlign w:val="bottom"/>
          </w:tcPr>
          <w:p w14:paraId="768204F1" w14:textId="0982A7E4"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150</w:t>
            </w:r>
          </w:p>
        </w:tc>
        <w:tc>
          <w:tcPr>
            <w:tcW w:w="1296" w:type="dxa"/>
            <w:tcBorders>
              <w:top w:val="nil"/>
              <w:left w:val="nil"/>
              <w:right w:val="nil"/>
            </w:tcBorders>
            <w:shd w:val="clear" w:color="auto" w:fill="auto"/>
            <w:noWrap/>
            <w:vAlign w:val="bottom"/>
          </w:tcPr>
          <w:p w14:paraId="75047D25" w14:textId="746F7A3E"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28</w:t>
            </w:r>
          </w:p>
        </w:tc>
        <w:tc>
          <w:tcPr>
            <w:tcW w:w="1296" w:type="dxa"/>
            <w:tcBorders>
              <w:top w:val="nil"/>
              <w:left w:val="nil"/>
              <w:right w:val="nil"/>
            </w:tcBorders>
            <w:shd w:val="clear" w:color="auto" w:fill="auto"/>
            <w:noWrap/>
            <w:vAlign w:val="bottom"/>
          </w:tcPr>
          <w:p w14:paraId="4841EE59" w14:textId="73B18100"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18.7</w:t>
            </w:r>
          </w:p>
        </w:tc>
        <w:tc>
          <w:tcPr>
            <w:tcW w:w="1296" w:type="dxa"/>
            <w:tcBorders>
              <w:top w:val="nil"/>
              <w:left w:val="nil"/>
              <w:right w:val="nil"/>
            </w:tcBorders>
            <w:shd w:val="clear" w:color="auto" w:fill="auto"/>
            <w:noWrap/>
            <w:vAlign w:val="bottom"/>
          </w:tcPr>
          <w:p w14:paraId="2461BA8E" w14:textId="7BAECD2A"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35</w:t>
            </w:r>
          </w:p>
        </w:tc>
        <w:tc>
          <w:tcPr>
            <w:tcW w:w="1296" w:type="dxa"/>
            <w:tcBorders>
              <w:top w:val="nil"/>
              <w:left w:val="nil"/>
              <w:right w:val="nil"/>
            </w:tcBorders>
            <w:shd w:val="clear" w:color="auto" w:fill="auto"/>
            <w:noWrap/>
            <w:vAlign w:val="bottom"/>
          </w:tcPr>
          <w:p w14:paraId="543E947B" w14:textId="7C01C14F"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28.7</w:t>
            </w:r>
          </w:p>
        </w:tc>
        <w:tc>
          <w:tcPr>
            <w:tcW w:w="1296" w:type="dxa"/>
            <w:tcBorders>
              <w:top w:val="nil"/>
              <w:left w:val="nil"/>
              <w:right w:val="nil"/>
            </w:tcBorders>
            <w:shd w:val="clear" w:color="auto" w:fill="auto"/>
            <w:noWrap/>
            <w:vAlign w:val="bottom"/>
          </w:tcPr>
          <w:p w14:paraId="7FD303AD" w14:textId="6A61FA0B"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56.1</w:t>
            </w:r>
          </w:p>
        </w:tc>
      </w:tr>
      <w:tr w:rsidR="00BA2AA7" w14:paraId="4EF33545" w14:textId="77777777" w:rsidTr="00487E53">
        <w:trPr>
          <w:trHeight w:val="227"/>
        </w:trPr>
        <w:tc>
          <w:tcPr>
            <w:tcW w:w="1296" w:type="dxa"/>
            <w:tcBorders>
              <w:top w:val="nil"/>
              <w:left w:val="nil"/>
              <w:bottom w:val="single" w:sz="12" w:space="0" w:color="auto"/>
              <w:right w:val="nil"/>
            </w:tcBorders>
            <w:shd w:val="clear" w:color="auto" w:fill="auto"/>
            <w:noWrap/>
            <w:vAlign w:val="center"/>
          </w:tcPr>
          <w:p w14:paraId="54FFCA39" w14:textId="3F1457EA"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Five</w:t>
            </w:r>
          </w:p>
        </w:tc>
        <w:tc>
          <w:tcPr>
            <w:tcW w:w="1296" w:type="dxa"/>
            <w:tcBorders>
              <w:top w:val="nil"/>
              <w:left w:val="nil"/>
              <w:bottom w:val="single" w:sz="12" w:space="0" w:color="auto"/>
              <w:right w:val="nil"/>
            </w:tcBorders>
            <w:shd w:val="clear" w:color="auto" w:fill="auto"/>
            <w:noWrap/>
            <w:vAlign w:val="bottom"/>
          </w:tcPr>
          <w:p w14:paraId="73FDE244" w14:textId="4BC26C0F"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87</w:t>
            </w:r>
          </w:p>
        </w:tc>
        <w:tc>
          <w:tcPr>
            <w:tcW w:w="1296" w:type="dxa"/>
            <w:tcBorders>
              <w:top w:val="nil"/>
              <w:left w:val="nil"/>
              <w:bottom w:val="single" w:sz="12" w:space="0" w:color="auto"/>
              <w:right w:val="nil"/>
            </w:tcBorders>
            <w:shd w:val="clear" w:color="auto" w:fill="auto"/>
            <w:noWrap/>
            <w:vAlign w:val="bottom"/>
          </w:tcPr>
          <w:p w14:paraId="6DDE4AAE" w14:textId="7CB86326"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13</w:t>
            </w:r>
          </w:p>
        </w:tc>
        <w:tc>
          <w:tcPr>
            <w:tcW w:w="1296" w:type="dxa"/>
            <w:tcBorders>
              <w:top w:val="nil"/>
              <w:left w:val="nil"/>
              <w:bottom w:val="single" w:sz="12" w:space="0" w:color="auto"/>
              <w:right w:val="nil"/>
            </w:tcBorders>
            <w:shd w:val="clear" w:color="auto" w:fill="auto"/>
            <w:noWrap/>
            <w:vAlign w:val="bottom"/>
          </w:tcPr>
          <w:p w14:paraId="03E3D858" w14:textId="48C091A1"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14.9</w:t>
            </w:r>
          </w:p>
        </w:tc>
        <w:tc>
          <w:tcPr>
            <w:tcW w:w="1296" w:type="dxa"/>
            <w:tcBorders>
              <w:top w:val="nil"/>
              <w:left w:val="nil"/>
              <w:bottom w:val="single" w:sz="12" w:space="0" w:color="auto"/>
              <w:right w:val="nil"/>
            </w:tcBorders>
            <w:shd w:val="clear" w:color="auto" w:fill="auto"/>
            <w:noWrap/>
            <w:vAlign w:val="bottom"/>
          </w:tcPr>
          <w:p w14:paraId="56EF676F" w14:textId="1E9FABD3"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23</w:t>
            </w:r>
          </w:p>
        </w:tc>
        <w:tc>
          <w:tcPr>
            <w:tcW w:w="1296" w:type="dxa"/>
            <w:tcBorders>
              <w:top w:val="nil"/>
              <w:left w:val="nil"/>
              <w:bottom w:val="single" w:sz="12" w:space="0" w:color="auto"/>
              <w:right w:val="nil"/>
            </w:tcBorders>
            <w:shd w:val="clear" w:color="auto" w:fill="auto"/>
            <w:noWrap/>
            <w:vAlign w:val="bottom"/>
          </w:tcPr>
          <w:p w14:paraId="395FE165" w14:textId="6E8F8B6D"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31.1</w:t>
            </w:r>
          </w:p>
        </w:tc>
        <w:tc>
          <w:tcPr>
            <w:tcW w:w="1296" w:type="dxa"/>
            <w:tcBorders>
              <w:top w:val="nil"/>
              <w:left w:val="nil"/>
              <w:bottom w:val="single" w:sz="12" w:space="0" w:color="auto"/>
              <w:right w:val="nil"/>
            </w:tcBorders>
            <w:shd w:val="clear" w:color="auto" w:fill="auto"/>
            <w:noWrap/>
            <w:vAlign w:val="bottom"/>
          </w:tcPr>
          <w:p w14:paraId="2E56B1E4" w14:textId="13E4C345"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58.0</w:t>
            </w:r>
          </w:p>
        </w:tc>
      </w:tr>
    </w:tbl>
    <w:p w14:paraId="46FB9913" w14:textId="77777777" w:rsidR="00D433A6" w:rsidRDefault="00D433A6" w:rsidP="00D433A6">
      <w:pPr>
        <w:pStyle w:val="TableSourcefootnotes"/>
        <w:tabs>
          <w:tab w:val="clear" w:pos="397"/>
          <w:tab w:val="left" w:pos="284"/>
        </w:tabs>
        <w:spacing w:before="0" w:after="0" w:line="240" w:lineRule="auto"/>
      </w:pPr>
    </w:p>
    <w:p w14:paraId="07DEA286" w14:textId="0A63BA18" w:rsidR="00AB2856" w:rsidRDefault="00AB2856" w:rsidP="00A21D6D">
      <w:pPr>
        <w:pStyle w:val="TableSourcefootnotes"/>
        <w:numPr>
          <w:ilvl w:val="0"/>
          <w:numId w:val="34"/>
        </w:numPr>
        <w:tabs>
          <w:tab w:val="clear" w:pos="397"/>
          <w:tab w:val="left" w:pos="284"/>
        </w:tabs>
        <w:spacing w:before="0" w:after="0" w:line="240" w:lineRule="auto"/>
        <w:ind w:left="284" w:hanging="284"/>
      </w:pPr>
      <w:r>
        <w:t>F</w:t>
      </w:r>
      <w:r w:rsidRPr="00E217FF">
        <w:rPr>
          <w:iCs/>
        </w:rPr>
        <w:t>reeze-all</w:t>
      </w:r>
      <w:r>
        <w:t xml:space="preserve"> cycles are fresh ART treatment cycles where all oocytes or embryos are cryopreserved, and an embryo transfer does not take place.</w:t>
      </w:r>
    </w:p>
    <w:p w14:paraId="3D2C3948" w14:textId="1C2BF8EC" w:rsidR="00D433A6" w:rsidRPr="00A379EC" w:rsidRDefault="00D433A6" w:rsidP="00A21D6D">
      <w:pPr>
        <w:pStyle w:val="TableSourcefootnotes"/>
        <w:numPr>
          <w:ilvl w:val="0"/>
          <w:numId w:val="34"/>
        </w:numPr>
        <w:tabs>
          <w:tab w:val="clear" w:pos="397"/>
          <w:tab w:val="left" w:pos="284"/>
        </w:tabs>
        <w:spacing w:before="0" w:after="0" w:line="240" w:lineRule="auto"/>
        <w:ind w:left="284" w:hanging="284"/>
      </w:pPr>
      <w:r>
        <w:t xml:space="preserve">Cycle one represents a woman’s first autologous (excluding </w:t>
      </w:r>
      <w:r w:rsidRPr="00E217FF">
        <w:rPr>
          <w:iCs/>
        </w:rPr>
        <w:t>freeze-all</w:t>
      </w:r>
      <w:r>
        <w:t>)</w:t>
      </w:r>
      <w:r w:rsidRPr="00A379EC">
        <w:t xml:space="preserve"> fresh ART treatment cycle between 1</w:t>
      </w:r>
      <w:r w:rsidRPr="00E217FF">
        <w:rPr>
          <w:vertAlign w:val="superscript"/>
        </w:rPr>
        <w:t>st</w:t>
      </w:r>
      <w:r w:rsidRPr="00A379EC">
        <w:t xml:space="preserve"> January </w:t>
      </w:r>
      <w:r w:rsidR="00393EB0">
        <w:t>201</w:t>
      </w:r>
      <w:r w:rsidR="00BA73D0">
        <w:t>8</w:t>
      </w:r>
      <w:r w:rsidR="00393EB0">
        <w:t xml:space="preserve"> </w:t>
      </w:r>
      <w:r w:rsidRPr="00A379EC">
        <w:t>and 31</w:t>
      </w:r>
      <w:r w:rsidRPr="00E217FF">
        <w:rPr>
          <w:vertAlign w:val="superscript"/>
        </w:rPr>
        <w:t>st</w:t>
      </w:r>
      <w:r w:rsidRPr="00A379EC">
        <w:t xml:space="preserve"> December </w:t>
      </w:r>
      <w:r w:rsidR="00393EB0">
        <w:t>201</w:t>
      </w:r>
      <w:r w:rsidR="00BA73D0">
        <w:t>8</w:t>
      </w:r>
      <w:r>
        <w:t xml:space="preserve">. Cycles two to five could be either a fresh or thaw cycle (excluding </w:t>
      </w:r>
      <w:r w:rsidRPr="00E217FF">
        <w:rPr>
          <w:iCs/>
        </w:rPr>
        <w:t>freeze-all</w:t>
      </w:r>
      <w:r w:rsidRPr="00C50C0D">
        <w:rPr>
          <w:iCs/>
        </w:rPr>
        <w:t xml:space="preserve"> cycles</w:t>
      </w:r>
      <w:r>
        <w:t>)</w:t>
      </w:r>
      <w:r w:rsidRPr="00A379EC">
        <w:t xml:space="preserve"> </w:t>
      </w:r>
      <w:r>
        <w:t>undertaken by a woman</w:t>
      </w:r>
      <w:r w:rsidRPr="00A379EC">
        <w:t xml:space="preserve"> until 31</w:t>
      </w:r>
      <w:r w:rsidRPr="00E217FF">
        <w:rPr>
          <w:vertAlign w:val="superscript"/>
        </w:rPr>
        <w:t>st</w:t>
      </w:r>
      <w:r w:rsidRPr="00A379EC">
        <w:t xml:space="preserve"> December </w:t>
      </w:r>
      <w:r>
        <w:t>202</w:t>
      </w:r>
      <w:r w:rsidR="00C631F5">
        <w:t>1</w:t>
      </w:r>
      <w:r w:rsidRPr="00A379EC">
        <w:t xml:space="preserve"> or </w:t>
      </w:r>
      <w:r>
        <w:t>birth</w:t>
      </w:r>
      <w:r w:rsidRPr="00A379EC">
        <w:t xml:space="preserve"> of a liveborn baby up to </w:t>
      </w:r>
      <w:r>
        <w:t>and including 31</w:t>
      </w:r>
      <w:r w:rsidRPr="00E217FF">
        <w:rPr>
          <w:vertAlign w:val="superscript"/>
        </w:rPr>
        <w:t>st</w:t>
      </w:r>
      <w:r>
        <w:t xml:space="preserve"> October 202</w:t>
      </w:r>
      <w:r w:rsidR="00223548">
        <w:t>2</w:t>
      </w:r>
      <w:r w:rsidRPr="00A379EC">
        <w:t xml:space="preserve">. </w:t>
      </w:r>
    </w:p>
    <w:p w14:paraId="649E4EA7" w14:textId="77777777" w:rsidR="00D433A6" w:rsidRPr="00A379EC" w:rsidRDefault="00D433A6" w:rsidP="00A21D6D">
      <w:pPr>
        <w:pStyle w:val="TableSourcefootnotes"/>
        <w:numPr>
          <w:ilvl w:val="0"/>
          <w:numId w:val="34"/>
        </w:numPr>
        <w:spacing w:before="0" w:after="0" w:line="240" w:lineRule="auto"/>
        <w:ind w:left="284" w:hanging="284"/>
      </w:pPr>
      <w:r w:rsidRPr="00A379EC">
        <w:t xml:space="preserve">A live </w:t>
      </w:r>
      <w:r>
        <w:t>birth</w:t>
      </w:r>
      <w:r w:rsidRPr="00A379EC">
        <w:t xml:space="preserve"> is the </w:t>
      </w:r>
      <w:r>
        <w:t>birth</w:t>
      </w:r>
      <w:r w:rsidRPr="00A379EC">
        <w:t xml:space="preserve"> of one or more liveborn infants, with the birth of twins or higher order multiple</w:t>
      </w:r>
      <w:r>
        <w:t>s counted as one live birth.</w:t>
      </w:r>
    </w:p>
    <w:p w14:paraId="283C5228" w14:textId="4C12D934" w:rsidR="00D433A6" w:rsidRPr="00A379EC" w:rsidRDefault="00D433A6" w:rsidP="00A21D6D">
      <w:pPr>
        <w:pStyle w:val="TableSourcefootnotes"/>
        <w:numPr>
          <w:ilvl w:val="0"/>
          <w:numId w:val="34"/>
        </w:numPr>
        <w:tabs>
          <w:tab w:val="clear" w:pos="397"/>
          <w:tab w:val="left" w:pos="284"/>
        </w:tabs>
        <w:spacing w:before="0" w:after="0" w:line="240" w:lineRule="auto"/>
        <w:ind w:left="284" w:hanging="284"/>
      </w:pPr>
      <w:r w:rsidRPr="00A379EC">
        <w:t xml:space="preserve">The cycle-specific live </w:t>
      </w:r>
      <w:r>
        <w:t>birth</w:t>
      </w:r>
      <w:r w:rsidRPr="00A379EC">
        <w:t xml:space="preserve"> rate is calculated as the number of live </w:t>
      </w:r>
      <w:r>
        <w:t>births</w:t>
      </w:r>
      <w:r w:rsidRPr="00A379EC">
        <w:t xml:space="preserve"> resulting from a specific ‘cycle number’ divided by the number of women who undertook that same ‘cycle number’. </w:t>
      </w:r>
    </w:p>
    <w:p w14:paraId="2D289B2E" w14:textId="5DF93233" w:rsidR="00D433A6" w:rsidRPr="00A379EC" w:rsidRDefault="00D433A6" w:rsidP="00A21D6D">
      <w:pPr>
        <w:pStyle w:val="TableSourcefootnotes"/>
        <w:numPr>
          <w:ilvl w:val="0"/>
          <w:numId w:val="34"/>
        </w:numPr>
        <w:tabs>
          <w:tab w:val="clear" w:pos="397"/>
          <w:tab w:val="left" w:pos="284"/>
        </w:tabs>
        <w:spacing w:before="0" w:after="0" w:line="240" w:lineRule="auto"/>
        <w:ind w:left="284" w:hanging="284"/>
      </w:pPr>
      <w:r w:rsidRPr="00A379EC">
        <w:t>The non-progression rate for a specific ‘cycle number’ is calculated as the number of women who did not return for further ART treatment cycles before 31</w:t>
      </w:r>
      <w:r w:rsidRPr="00E217FF">
        <w:rPr>
          <w:vertAlign w:val="superscript"/>
        </w:rPr>
        <w:t>st</w:t>
      </w:r>
      <w:r w:rsidRPr="00A379EC">
        <w:t xml:space="preserve"> December </w:t>
      </w:r>
      <w:r>
        <w:t>202</w:t>
      </w:r>
      <w:r w:rsidR="00C631F5">
        <w:t>1</w:t>
      </w:r>
      <w:r w:rsidRPr="00A379EC">
        <w:t xml:space="preserve"> divided by the number of women who did not have a live </w:t>
      </w:r>
      <w:r>
        <w:t>birth</w:t>
      </w:r>
      <w:r w:rsidRPr="00A379EC">
        <w:t xml:space="preserve"> in that ‘cycle number’. </w:t>
      </w:r>
    </w:p>
    <w:p w14:paraId="09D5F49A" w14:textId="102E6928" w:rsidR="00D433A6" w:rsidRDefault="00D433A6" w:rsidP="00A21D6D">
      <w:pPr>
        <w:pStyle w:val="TableSourcefootnotes"/>
        <w:numPr>
          <w:ilvl w:val="0"/>
          <w:numId w:val="34"/>
        </w:numPr>
        <w:spacing w:before="0" w:after="0" w:line="240" w:lineRule="auto"/>
        <w:ind w:left="284" w:hanging="284"/>
      </w:pPr>
      <w:r w:rsidRPr="00A379EC">
        <w:t xml:space="preserve">The cumulative live </w:t>
      </w:r>
      <w:r>
        <w:t>birth</w:t>
      </w:r>
      <w:r w:rsidRPr="00A379EC">
        <w:t xml:space="preserve"> rate for a specific ‘cycle number’ is calculated as the total number of live </w:t>
      </w:r>
      <w:r>
        <w:t>births</w:t>
      </w:r>
      <w:r w:rsidRPr="00A379EC">
        <w:t xml:space="preserve"> following this ‘cycle number’ and all previous cycles divided by the total number of women who started their first autologous fresh ART treatme</w:t>
      </w:r>
      <w:r>
        <w:t>nt cycle between 1</w:t>
      </w:r>
      <w:r w:rsidRPr="00E217FF">
        <w:rPr>
          <w:vertAlign w:val="superscript"/>
        </w:rPr>
        <w:t>st</w:t>
      </w:r>
      <w:r>
        <w:t xml:space="preserve"> January </w:t>
      </w:r>
      <w:r w:rsidR="00393EB0">
        <w:t>201</w:t>
      </w:r>
      <w:r w:rsidR="00BA73D0">
        <w:t>8</w:t>
      </w:r>
      <w:r w:rsidR="00393EB0" w:rsidRPr="00A379EC">
        <w:t xml:space="preserve"> </w:t>
      </w:r>
      <w:r w:rsidRPr="00A379EC">
        <w:t>and 31</w:t>
      </w:r>
      <w:r w:rsidRPr="00E217FF">
        <w:rPr>
          <w:vertAlign w:val="superscript"/>
        </w:rPr>
        <w:t>st</w:t>
      </w:r>
      <w:r w:rsidRPr="00A379EC">
        <w:t xml:space="preserve"> December </w:t>
      </w:r>
      <w:r w:rsidR="00393EB0">
        <w:t>201</w:t>
      </w:r>
      <w:r w:rsidR="00BA73D0">
        <w:t>8</w:t>
      </w:r>
      <w:r w:rsidRPr="00A379EC">
        <w:t xml:space="preserve">. </w:t>
      </w:r>
    </w:p>
    <w:p w14:paraId="02818BFE" w14:textId="77777777" w:rsidR="00D433A6" w:rsidRDefault="00D433A6" w:rsidP="00D433A6">
      <w:pPr>
        <w:pStyle w:val="TableSourcefootnotes"/>
        <w:tabs>
          <w:tab w:val="clear" w:pos="397"/>
          <w:tab w:val="left" w:pos="142"/>
        </w:tabs>
        <w:spacing w:before="0" w:after="0" w:line="240" w:lineRule="auto"/>
        <w:rPr>
          <w:i/>
          <w:iCs/>
        </w:rPr>
      </w:pPr>
    </w:p>
    <w:p w14:paraId="3EE453D5" w14:textId="77777777" w:rsidR="00D433A6" w:rsidRDefault="00D433A6" w:rsidP="00D433A6">
      <w:pPr>
        <w:pStyle w:val="TableSourcefootnotes"/>
        <w:tabs>
          <w:tab w:val="clear" w:pos="397"/>
          <w:tab w:val="left" w:pos="142"/>
        </w:tabs>
        <w:spacing w:before="0" w:after="0" w:line="240" w:lineRule="auto"/>
      </w:pPr>
      <w:r w:rsidRPr="00A379EC">
        <w:rPr>
          <w:i/>
          <w:iCs/>
        </w:rPr>
        <w:t>Note</w:t>
      </w:r>
      <w:r w:rsidRPr="00A379EC">
        <w:t>:</w:t>
      </w:r>
      <w:r>
        <w:t xml:space="preserve"> </w:t>
      </w:r>
      <w:r w:rsidRPr="00A379EC">
        <w:t xml:space="preserve">Further treatment cycles after the </w:t>
      </w:r>
      <w:r>
        <w:t>fifth</w:t>
      </w:r>
      <w:r w:rsidRPr="00A379EC">
        <w:t xml:space="preserve"> cycle and resulting live </w:t>
      </w:r>
      <w:r>
        <w:t>births</w:t>
      </w:r>
      <w:r w:rsidRPr="00A379EC">
        <w:t xml:space="preserve"> are not presented in this table due to small numbers. Data should be interpreted with caution due to small numbers in certain </w:t>
      </w:r>
      <w:r w:rsidRPr="00BD7D19">
        <w:t>cells and measure</w:t>
      </w:r>
      <w:r>
        <w:t>s</w:t>
      </w:r>
      <w:r w:rsidRPr="00BD7D19">
        <w:t xml:space="preserve"> of statistical variance are not supplied.</w:t>
      </w:r>
    </w:p>
    <w:p w14:paraId="5870F3F0" w14:textId="77777777" w:rsidR="00D433A6" w:rsidRDefault="00D433A6" w:rsidP="00D433A6">
      <w:pPr>
        <w:rPr>
          <w:b/>
          <w:bCs/>
        </w:rPr>
      </w:pPr>
    </w:p>
    <w:p w14:paraId="004B1BB4" w14:textId="77777777" w:rsidR="00D433A6" w:rsidRDefault="00D433A6" w:rsidP="00D433A6">
      <w:r>
        <w:rPr>
          <w:b/>
          <w:bCs/>
        </w:rPr>
        <w:br w:type="page"/>
      </w:r>
    </w:p>
    <w:p w14:paraId="5C726FE0" w14:textId="6D6C010D" w:rsidR="00D433A6" w:rsidRPr="00F23A58" w:rsidRDefault="00D433A6" w:rsidP="00B54834">
      <w:pPr>
        <w:pStyle w:val="Caption"/>
        <w:rPr>
          <w:lang w:eastAsia="en-AU"/>
        </w:rPr>
      </w:pPr>
      <w:bookmarkStart w:id="415" w:name="_Toc158026589"/>
      <w:r w:rsidRPr="00F23A58">
        <w:rPr>
          <w:lang w:eastAsia="en-AU"/>
        </w:rPr>
        <w:lastRenderedPageBreak/>
        <w:t xml:space="preserve">Table </w:t>
      </w:r>
      <w:r w:rsidR="000A47B5">
        <w:rPr>
          <w:lang w:eastAsia="en-AU"/>
        </w:rPr>
        <w:t>40</w:t>
      </w:r>
      <w:r w:rsidRPr="00F23A58">
        <w:rPr>
          <w:lang w:eastAsia="en-AU"/>
        </w:rPr>
        <w:t xml:space="preserve">: </w:t>
      </w:r>
      <w:r w:rsidR="002576D9" w:rsidRPr="00F23A58">
        <w:rPr>
          <w:lang w:eastAsia="en-AU"/>
        </w:rPr>
        <w:t>Cycle-specific and cumulative live birth rates for women aged 40 years and over who started their first autologous fresh cycle (excluding freeze-all cycles</w:t>
      </w:r>
      <w:r w:rsidR="002576D9" w:rsidRPr="002576D9">
        <w:rPr>
          <w:vertAlign w:val="superscript"/>
          <w:lang w:eastAsia="en-AU"/>
        </w:rPr>
        <w:t>(</w:t>
      </w:r>
      <w:r w:rsidR="00AB2856">
        <w:rPr>
          <w:vertAlign w:val="superscript"/>
          <w:lang w:eastAsia="en-AU"/>
        </w:rPr>
        <w:t>a</w:t>
      </w:r>
      <w:r w:rsidR="002576D9" w:rsidRPr="002576D9">
        <w:rPr>
          <w:vertAlign w:val="superscript"/>
          <w:lang w:eastAsia="en-AU"/>
        </w:rPr>
        <w:t>)</w:t>
      </w:r>
      <w:r w:rsidR="002576D9" w:rsidRPr="00F23A58">
        <w:rPr>
          <w:lang w:eastAsia="en-AU"/>
        </w:rPr>
        <w:t>) between 1st January 201</w:t>
      </w:r>
      <w:r w:rsidR="00BA73D0">
        <w:rPr>
          <w:lang w:eastAsia="en-AU"/>
        </w:rPr>
        <w:t>8</w:t>
      </w:r>
      <w:r w:rsidR="002576D9" w:rsidRPr="00F23A58">
        <w:rPr>
          <w:lang w:eastAsia="en-AU"/>
        </w:rPr>
        <w:t xml:space="preserve"> and 31st December 201</w:t>
      </w:r>
      <w:r w:rsidR="00BA73D0">
        <w:rPr>
          <w:lang w:eastAsia="en-AU"/>
        </w:rPr>
        <w:t>8</w:t>
      </w:r>
      <w:r w:rsidR="002576D9" w:rsidRPr="00F23A58">
        <w:rPr>
          <w:lang w:eastAsia="en-AU"/>
        </w:rPr>
        <w:t>, New Zealand, 201</w:t>
      </w:r>
      <w:r w:rsidR="00BA73D0">
        <w:rPr>
          <w:lang w:eastAsia="en-AU"/>
        </w:rPr>
        <w:t>8</w:t>
      </w:r>
      <w:r w:rsidR="002576D9" w:rsidRPr="00F23A58">
        <w:rPr>
          <w:lang w:eastAsia="en-AU"/>
        </w:rPr>
        <w:t>-202</w:t>
      </w:r>
      <w:r w:rsidR="00BA73D0">
        <w:rPr>
          <w:lang w:eastAsia="en-AU"/>
        </w:rPr>
        <w:t>1</w:t>
      </w:r>
      <w:bookmarkEnd w:id="415"/>
    </w:p>
    <w:tbl>
      <w:tblPr>
        <w:tblW w:w="9072" w:type="dxa"/>
        <w:tblLayout w:type="fixed"/>
        <w:tblCellMar>
          <w:top w:w="17" w:type="dxa"/>
          <w:left w:w="17" w:type="dxa"/>
          <w:bottom w:w="17" w:type="dxa"/>
          <w:right w:w="17" w:type="dxa"/>
        </w:tblCellMar>
        <w:tblLook w:val="04A0" w:firstRow="1" w:lastRow="0" w:firstColumn="1" w:lastColumn="0" w:noHBand="0" w:noVBand="1"/>
      </w:tblPr>
      <w:tblGrid>
        <w:gridCol w:w="1296"/>
        <w:gridCol w:w="1296"/>
        <w:gridCol w:w="1296"/>
        <w:gridCol w:w="1296"/>
        <w:gridCol w:w="1296"/>
        <w:gridCol w:w="1296"/>
        <w:gridCol w:w="1296"/>
      </w:tblGrid>
      <w:tr w:rsidR="00D433A6" w:rsidRPr="00B55251" w14:paraId="0EC94CD4" w14:textId="77777777" w:rsidTr="003D6A05">
        <w:trPr>
          <w:trHeight w:val="227"/>
        </w:trPr>
        <w:tc>
          <w:tcPr>
            <w:tcW w:w="1296" w:type="dxa"/>
            <w:tcBorders>
              <w:top w:val="single" w:sz="12" w:space="0" w:color="auto"/>
              <w:left w:val="nil"/>
              <w:bottom w:val="single" w:sz="4" w:space="0" w:color="auto"/>
              <w:right w:val="nil"/>
            </w:tcBorders>
            <w:shd w:val="clear" w:color="auto" w:fill="auto"/>
            <w:vAlign w:val="bottom"/>
            <w:hideMark/>
          </w:tcPr>
          <w:p w14:paraId="2D3ADA04" w14:textId="7A0DD518" w:rsidR="00D433A6" w:rsidRPr="00B55251" w:rsidRDefault="00D433A6" w:rsidP="003D6A05">
            <w:pPr>
              <w:spacing w:after="0" w:line="276" w:lineRule="auto"/>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Cycle number</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b</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45CA940F" w14:textId="77777777"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starting cycle</w:t>
            </w:r>
          </w:p>
        </w:tc>
        <w:tc>
          <w:tcPr>
            <w:tcW w:w="1296" w:type="dxa"/>
            <w:tcBorders>
              <w:top w:val="single" w:sz="12" w:space="0" w:color="auto"/>
              <w:left w:val="nil"/>
              <w:bottom w:val="single" w:sz="4" w:space="0" w:color="auto"/>
              <w:right w:val="nil"/>
            </w:tcBorders>
            <w:shd w:val="clear" w:color="auto" w:fill="auto"/>
            <w:vAlign w:val="bottom"/>
            <w:hideMark/>
          </w:tcPr>
          <w:p w14:paraId="079EDDAB" w14:textId="5E5A53AB"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Number of women who had a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c</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74AA90E8" w14:textId="60848154"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Cycle-specific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d</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4E85FF6E" w14:textId="77777777"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Number of women who did not progress to next treatment</w:t>
            </w:r>
          </w:p>
        </w:tc>
        <w:tc>
          <w:tcPr>
            <w:tcW w:w="1296" w:type="dxa"/>
            <w:tcBorders>
              <w:top w:val="single" w:sz="12" w:space="0" w:color="auto"/>
              <w:left w:val="nil"/>
              <w:bottom w:val="single" w:sz="4" w:space="0" w:color="auto"/>
              <w:right w:val="nil"/>
            </w:tcBorders>
            <w:shd w:val="clear" w:color="auto" w:fill="auto"/>
            <w:vAlign w:val="bottom"/>
            <w:hideMark/>
          </w:tcPr>
          <w:p w14:paraId="05A4EF37" w14:textId="17B3C5E7"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Non-progression rate (%)</w:t>
            </w:r>
            <w:r w:rsidRPr="00B55251">
              <w:rPr>
                <w:rFonts w:ascii="Arial" w:eastAsia="Times New Roman" w:hAnsi="Arial" w:cs="Arial"/>
                <w:b/>
                <w:bCs/>
                <w:color w:val="000000"/>
                <w:sz w:val="16"/>
                <w:szCs w:val="16"/>
                <w:vertAlign w:val="superscript"/>
                <w:lang w:eastAsia="en-AU"/>
              </w:rPr>
              <w:t>(</w:t>
            </w:r>
            <w:r w:rsidR="00AB2856">
              <w:rPr>
                <w:rFonts w:ascii="Arial" w:eastAsia="Times New Roman" w:hAnsi="Arial" w:cs="Arial"/>
                <w:b/>
                <w:bCs/>
                <w:color w:val="000000"/>
                <w:sz w:val="16"/>
                <w:szCs w:val="16"/>
                <w:vertAlign w:val="superscript"/>
                <w:lang w:eastAsia="en-AU"/>
              </w:rPr>
              <w:t>e</w:t>
            </w:r>
            <w:r w:rsidRPr="00B55251">
              <w:rPr>
                <w:rFonts w:ascii="Arial" w:eastAsia="Times New Roman" w:hAnsi="Arial" w:cs="Arial"/>
                <w:b/>
                <w:bCs/>
                <w:color w:val="000000"/>
                <w:sz w:val="16"/>
                <w:szCs w:val="16"/>
                <w:vertAlign w:val="superscript"/>
                <w:lang w:eastAsia="en-AU"/>
              </w:rPr>
              <w:t>)</w:t>
            </w:r>
          </w:p>
        </w:tc>
        <w:tc>
          <w:tcPr>
            <w:tcW w:w="1296" w:type="dxa"/>
            <w:tcBorders>
              <w:top w:val="single" w:sz="12" w:space="0" w:color="auto"/>
              <w:left w:val="nil"/>
              <w:bottom w:val="single" w:sz="4" w:space="0" w:color="auto"/>
              <w:right w:val="nil"/>
            </w:tcBorders>
            <w:shd w:val="clear" w:color="auto" w:fill="auto"/>
            <w:vAlign w:val="bottom"/>
            <w:hideMark/>
          </w:tcPr>
          <w:p w14:paraId="2379B2B3" w14:textId="5EC22897" w:rsidR="00D433A6" w:rsidRPr="00B55251" w:rsidRDefault="00D433A6" w:rsidP="003D6A05">
            <w:pPr>
              <w:spacing w:after="0" w:line="276" w:lineRule="auto"/>
              <w:jc w:val="right"/>
              <w:rPr>
                <w:rFonts w:ascii="Arial" w:eastAsia="Times New Roman" w:hAnsi="Arial" w:cs="Arial"/>
                <w:b/>
                <w:bCs/>
                <w:color w:val="000000"/>
                <w:sz w:val="16"/>
                <w:szCs w:val="16"/>
                <w:lang w:eastAsia="en-AU"/>
              </w:rPr>
            </w:pPr>
            <w:r w:rsidRPr="00B55251">
              <w:rPr>
                <w:rFonts w:ascii="Arial" w:eastAsia="Times New Roman" w:hAnsi="Arial" w:cs="Arial"/>
                <w:b/>
                <w:bCs/>
                <w:color w:val="000000"/>
                <w:sz w:val="16"/>
                <w:szCs w:val="16"/>
                <w:lang w:eastAsia="en-AU"/>
              </w:rPr>
              <w:t xml:space="preserve">Cumulative live </w:t>
            </w:r>
            <w:r>
              <w:rPr>
                <w:rFonts w:ascii="Arial" w:eastAsia="Times New Roman" w:hAnsi="Arial" w:cs="Arial"/>
                <w:b/>
                <w:bCs/>
                <w:color w:val="000000"/>
                <w:sz w:val="16"/>
                <w:szCs w:val="16"/>
                <w:lang w:eastAsia="en-AU"/>
              </w:rPr>
              <w:t>birth</w:t>
            </w:r>
            <w:r w:rsidRPr="00B55251">
              <w:rPr>
                <w:rFonts w:ascii="Arial" w:eastAsia="Times New Roman" w:hAnsi="Arial" w:cs="Arial"/>
                <w:b/>
                <w:bCs/>
                <w:color w:val="000000"/>
                <w:sz w:val="16"/>
                <w:szCs w:val="16"/>
                <w:lang w:eastAsia="en-AU"/>
              </w:rPr>
              <w:t xml:space="preserve"> rate (%)</w:t>
            </w:r>
            <w:r w:rsidRPr="00B55251">
              <w:rPr>
                <w:rFonts w:ascii="Arial" w:eastAsia="Times New Roman" w:hAnsi="Arial" w:cs="Arial"/>
                <w:b/>
                <w:bCs/>
                <w:color w:val="000000"/>
                <w:sz w:val="16"/>
                <w:szCs w:val="16"/>
                <w:vertAlign w:val="superscript"/>
                <w:lang w:eastAsia="en-AU"/>
              </w:rPr>
              <w:t>(</w:t>
            </w:r>
            <w:r w:rsidR="001D2653">
              <w:rPr>
                <w:rFonts w:ascii="Arial" w:eastAsia="Times New Roman" w:hAnsi="Arial" w:cs="Arial"/>
                <w:b/>
                <w:bCs/>
                <w:color w:val="000000"/>
                <w:sz w:val="16"/>
                <w:szCs w:val="16"/>
                <w:vertAlign w:val="superscript"/>
                <w:lang w:eastAsia="en-AU"/>
              </w:rPr>
              <w:t>f</w:t>
            </w:r>
            <w:r w:rsidRPr="00B55251">
              <w:rPr>
                <w:rFonts w:ascii="Arial" w:eastAsia="Times New Roman" w:hAnsi="Arial" w:cs="Arial"/>
                <w:b/>
                <w:bCs/>
                <w:color w:val="000000"/>
                <w:sz w:val="16"/>
                <w:szCs w:val="16"/>
                <w:vertAlign w:val="superscript"/>
                <w:lang w:eastAsia="en-AU"/>
              </w:rPr>
              <w:t>)</w:t>
            </w:r>
          </w:p>
        </w:tc>
      </w:tr>
      <w:tr w:rsidR="00BA2AA7" w14:paraId="70864D00" w14:textId="77777777" w:rsidTr="00555879">
        <w:trPr>
          <w:trHeight w:val="227"/>
        </w:trPr>
        <w:tc>
          <w:tcPr>
            <w:tcW w:w="1296" w:type="dxa"/>
            <w:tcBorders>
              <w:top w:val="single" w:sz="4" w:space="0" w:color="auto"/>
              <w:left w:val="nil"/>
              <w:bottom w:val="nil"/>
              <w:right w:val="nil"/>
            </w:tcBorders>
            <w:shd w:val="clear" w:color="auto" w:fill="auto"/>
            <w:noWrap/>
            <w:vAlign w:val="center"/>
            <w:hideMark/>
          </w:tcPr>
          <w:p w14:paraId="5B9525A6"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One</w:t>
            </w:r>
          </w:p>
        </w:tc>
        <w:tc>
          <w:tcPr>
            <w:tcW w:w="1296" w:type="dxa"/>
            <w:tcBorders>
              <w:top w:val="single" w:sz="4" w:space="0" w:color="auto"/>
              <w:left w:val="nil"/>
              <w:bottom w:val="nil"/>
              <w:right w:val="nil"/>
            </w:tcBorders>
            <w:shd w:val="clear" w:color="auto" w:fill="auto"/>
            <w:noWrap/>
            <w:vAlign w:val="bottom"/>
          </w:tcPr>
          <w:p w14:paraId="03D239D5" w14:textId="637147AE"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291</w:t>
            </w:r>
          </w:p>
        </w:tc>
        <w:tc>
          <w:tcPr>
            <w:tcW w:w="1296" w:type="dxa"/>
            <w:tcBorders>
              <w:top w:val="single" w:sz="4" w:space="0" w:color="auto"/>
              <w:left w:val="nil"/>
              <w:bottom w:val="nil"/>
              <w:right w:val="nil"/>
            </w:tcBorders>
            <w:shd w:val="clear" w:color="auto" w:fill="auto"/>
            <w:noWrap/>
            <w:vAlign w:val="bottom"/>
          </w:tcPr>
          <w:p w14:paraId="330162C4" w14:textId="0BD7D713"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32</w:t>
            </w:r>
          </w:p>
        </w:tc>
        <w:tc>
          <w:tcPr>
            <w:tcW w:w="1296" w:type="dxa"/>
            <w:tcBorders>
              <w:top w:val="single" w:sz="4" w:space="0" w:color="auto"/>
              <w:left w:val="nil"/>
              <w:bottom w:val="nil"/>
              <w:right w:val="nil"/>
            </w:tcBorders>
            <w:shd w:val="clear" w:color="auto" w:fill="auto"/>
            <w:noWrap/>
            <w:vAlign w:val="bottom"/>
          </w:tcPr>
          <w:p w14:paraId="5736D07E" w14:textId="7262A6DA"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11.0</w:t>
            </w:r>
          </w:p>
        </w:tc>
        <w:tc>
          <w:tcPr>
            <w:tcW w:w="1296" w:type="dxa"/>
            <w:tcBorders>
              <w:top w:val="single" w:sz="4" w:space="0" w:color="auto"/>
              <w:left w:val="nil"/>
              <w:bottom w:val="nil"/>
              <w:right w:val="nil"/>
            </w:tcBorders>
            <w:shd w:val="clear" w:color="auto" w:fill="auto"/>
            <w:noWrap/>
            <w:vAlign w:val="bottom"/>
          </w:tcPr>
          <w:p w14:paraId="6CE96310" w14:textId="4DA7E6D1"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113</w:t>
            </w:r>
          </w:p>
        </w:tc>
        <w:tc>
          <w:tcPr>
            <w:tcW w:w="1296" w:type="dxa"/>
            <w:tcBorders>
              <w:top w:val="single" w:sz="4" w:space="0" w:color="auto"/>
              <w:left w:val="nil"/>
              <w:bottom w:val="nil"/>
              <w:right w:val="nil"/>
            </w:tcBorders>
            <w:shd w:val="clear" w:color="auto" w:fill="auto"/>
            <w:noWrap/>
            <w:vAlign w:val="bottom"/>
          </w:tcPr>
          <w:p w14:paraId="508A4F3A" w14:textId="3D4EAFE0"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43.6</w:t>
            </w:r>
          </w:p>
        </w:tc>
        <w:tc>
          <w:tcPr>
            <w:tcW w:w="1296" w:type="dxa"/>
            <w:tcBorders>
              <w:top w:val="single" w:sz="4" w:space="0" w:color="auto"/>
              <w:left w:val="nil"/>
              <w:bottom w:val="nil"/>
              <w:right w:val="nil"/>
            </w:tcBorders>
            <w:shd w:val="clear" w:color="auto" w:fill="auto"/>
            <w:noWrap/>
            <w:vAlign w:val="bottom"/>
          </w:tcPr>
          <w:p w14:paraId="650E4BFE" w14:textId="0EBDF6F3"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11.0</w:t>
            </w:r>
          </w:p>
        </w:tc>
      </w:tr>
      <w:tr w:rsidR="00BA2AA7" w14:paraId="0C7D13F6" w14:textId="77777777" w:rsidTr="00555879">
        <w:trPr>
          <w:trHeight w:val="227"/>
        </w:trPr>
        <w:tc>
          <w:tcPr>
            <w:tcW w:w="1296" w:type="dxa"/>
            <w:tcBorders>
              <w:top w:val="nil"/>
              <w:left w:val="nil"/>
              <w:bottom w:val="nil"/>
              <w:right w:val="nil"/>
            </w:tcBorders>
            <w:shd w:val="clear" w:color="auto" w:fill="auto"/>
            <w:noWrap/>
            <w:vAlign w:val="center"/>
            <w:hideMark/>
          </w:tcPr>
          <w:p w14:paraId="6B44F142"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Two</w:t>
            </w:r>
          </w:p>
        </w:tc>
        <w:tc>
          <w:tcPr>
            <w:tcW w:w="1296" w:type="dxa"/>
            <w:tcBorders>
              <w:top w:val="nil"/>
              <w:left w:val="nil"/>
              <w:bottom w:val="nil"/>
              <w:right w:val="nil"/>
            </w:tcBorders>
            <w:shd w:val="clear" w:color="auto" w:fill="auto"/>
            <w:noWrap/>
            <w:vAlign w:val="bottom"/>
          </w:tcPr>
          <w:p w14:paraId="4EE85F58" w14:textId="28B78233"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146</w:t>
            </w:r>
          </w:p>
        </w:tc>
        <w:tc>
          <w:tcPr>
            <w:tcW w:w="1296" w:type="dxa"/>
            <w:tcBorders>
              <w:top w:val="nil"/>
              <w:left w:val="nil"/>
              <w:bottom w:val="nil"/>
              <w:right w:val="nil"/>
            </w:tcBorders>
            <w:shd w:val="clear" w:color="auto" w:fill="auto"/>
            <w:noWrap/>
            <w:vAlign w:val="bottom"/>
          </w:tcPr>
          <w:p w14:paraId="439EA23D" w14:textId="230AA1AA"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17</w:t>
            </w:r>
          </w:p>
        </w:tc>
        <w:tc>
          <w:tcPr>
            <w:tcW w:w="1296" w:type="dxa"/>
            <w:tcBorders>
              <w:top w:val="nil"/>
              <w:left w:val="nil"/>
              <w:bottom w:val="nil"/>
              <w:right w:val="nil"/>
            </w:tcBorders>
            <w:shd w:val="clear" w:color="auto" w:fill="auto"/>
            <w:noWrap/>
            <w:vAlign w:val="bottom"/>
          </w:tcPr>
          <w:p w14:paraId="37C2CDE2" w14:textId="69E8C701"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11.6</w:t>
            </w:r>
          </w:p>
        </w:tc>
        <w:tc>
          <w:tcPr>
            <w:tcW w:w="1296" w:type="dxa"/>
            <w:tcBorders>
              <w:top w:val="nil"/>
              <w:left w:val="nil"/>
              <w:bottom w:val="nil"/>
              <w:right w:val="nil"/>
            </w:tcBorders>
            <w:shd w:val="clear" w:color="auto" w:fill="auto"/>
            <w:noWrap/>
            <w:vAlign w:val="bottom"/>
          </w:tcPr>
          <w:p w14:paraId="47613B21" w14:textId="22275FCF"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52</w:t>
            </w:r>
          </w:p>
        </w:tc>
        <w:tc>
          <w:tcPr>
            <w:tcW w:w="1296" w:type="dxa"/>
            <w:tcBorders>
              <w:top w:val="nil"/>
              <w:left w:val="nil"/>
              <w:bottom w:val="nil"/>
              <w:right w:val="nil"/>
            </w:tcBorders>
            <w:shd w:val="clear" w:color="auto" w:fill="auto"/>
            <w:noWrap/>
            <w:vAlign w:val="bottom"/>
          </w:tcPr>
          <w:p w14:paraId="78264DA2" w14:textId="5B9357FF"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40.3</w:t>
            </w:r>
          </w:p>
        </w:tc>
        <w:tc>
          <w:tcPr>
            <w:tcW w:w="1296" w:type="dxa"/>
            <w:tcBorders>
              <w:top w:val="nil"/>
              <w:left w:val="nil"/>
              <w:bottom w:val="nil"/>
              <w:right w:val="nil"/>
            </w:tcBorders>
            <w:shd w:val="clear" w:color="auto" w:fill="auto"/>
            <w:noWrap/>
            <w:vAlign w:val="bottom"/>
          </w:tcPr>
          <w:p w14:paraId="707D2839" w14:textId="3EA3BCA2"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16.8</w:t>
            </w:r>
          </w:p>
        </w:tc>
      </w:tr>
      <w:tr w:rsidR="00BA2AA7" w14:paraId="3ACD7F0E" w14:textId="77777777" w:rsidTr="00555879">
        <w:trPr>
          <w:trHeight w:val="227"/>
        </w:trPr>
        <w:tc>
          <w:tcPr>
            <w:tcW w:w="1296" w:type="dxa"/>
            <w:tcBorders>
              <w:top w:val="nil"/>
              <w:left w:val="nil"/>
              <w:bottom w:val="nil"/>
              <w:right w:val="nil"/>
            </w:tcBorders>
            <w:shd w:val="clear" w:color="auto" w:fill="auto"/>
            <w:noWrap/>
            <w:vAlign w:val="center"/>
            <w:hideMark/>
          </w:tcPr>
          <w:p w14:paraId="35738495"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Three</w:t>
            </w:r>
          </w:p>
        </w:tc>
        <w:tc>
          <w:tcPr>
            <w:tcW w:w="1296" w:type="dxa"/>
            <w:tcBorders>
              <w:top w:val="nil"/>
              <w:left w:val="nil"/>
              <w:bottom w:val="nil"/>
              <w:right w:val="nil"/>
            </w:tcBorders>
            <w:shd w:val="clear" w:color="auto" w:fill="auto"/>
            <w:noWrap/>
            <w:vAlign w:val="bottom"/>
          </w:tcPr>
          <w:p w14:paraId="2BB21528" w14:textId="2A887B61"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77</w:t>
            </w:r>
          </w:p>
        </w:tc>
        <w:tc>
          <w:tcPr>
            <w:tcW w:w="1296" w:type="dxa"/>
            <w:tcBorders>
              <w:top w:val="nil"/>
              <w:left w:val="nil"/>
              <w:bottom w:val="nil"/>
              <w:right w:val="nil"/>
            </w:tcBorders>
            <w:shd w:val="clear" w:color="auto" w:fill="auto"/>
            <w:noWrap/>
            <w:vAlign w:val="bottom"/>
          </w:tcPr>
          <w:p w14:paraId="69E26EE1" w14:textId="50F1FAA0"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12</w:t>
            </w:r>
          </w:p>
        </w:tc>
        <w:tc>
          <w:tcPr>
            <w:tcW w:w="1296" w:type="dxa"/>
            <w:tcBorders>
              <w:top w:val="nil"/>
              <w:left w:val="nil"/>
              <w:bottom w:val="nil"/>
              <w:right w:val="nil"/>
            </w:tcBorders>
            <w:shd w:val="clear" w:color="auto" w:fill="auto"/>
            <w:noWrap/>
            <w:vAlign w:val="bottom"/>
          </w:tcPr>
          <w:p w14:paraId="2EC4954A" w14:textId="6E28A36A"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15.6</w:t>
            </w:r>
          </w:p>
        </w:tc>
        <w:tc>
          <w:tcPr>
            <w:tcW w:w="1296" w:type="dxa"/>
            <w:tcBorders>
              <w:top w:val="nil"/>
              <w:left w:val="nil"/>
              <w:bottom w:val="nil"/>
              <w:right w:val="nil"/>
            </w:tcBorders>
            <w:shd w:val="clear" w:color="auto" w:fill="auto"/>
            <w:noWrap/>
            <w:vAlign w:val="bottom"/>
          </w:tcPr>
          <w:p w14:paraId="46A012C5" w14:textId="28120ACD"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17</w:t>
            </w:r>
          </w:p>
        </w:tc>
        <w:tc>
          <w:tcPr>
            <w:tcW w:w="1296" w:type="dxa"/>
            <w:tcBorders>
              <w:top w:val="nil"/>
              <w:left w:val="nil"/>
              <w:bottom w:val="nil"/>
              <w:right w:val="nil"/>
            </w:tcBorders>
            <w:shd w:val="clear" w:color="auto" w:fill="auto"/>
            <w:noWrap/>
            <w:vAlign w:val="bottom"/>
          </w:tcPr>
          <w:p w14:paraId="05FCF612" w14:textId="57352686"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26.2</w:t>
            </w:r>
          </w:p>
        </w:tc>
        <w:tc>
          <w:tcPr>
            <w:tcW w:w="1296" w:type="dxa"/>
            <w:tcBorders>
              <w:top w:val="nil"/>
              <w:left w:val="nil"/>
              <w:bottom w:val="nil"/>
              <w:right w:val="nil"/>
            </w:tcBorders>
            <w:shd w:val="clear" w:color="auto" w:fill="auto"/>
            <w:noWrap/>
            <w:vAlign w:val="bottom"/>
          </w:tcPr>
          <w:p w14:paraId="5478D699" w14:textId="2D13CA88"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21.0</w:t>
            </w:r>
          </w:p>
        </w:tc>
      </w:tr>
      <w:tr w:rsidR="00BA2AA7" w14:paraId="382B20F0" w14:textId="77777777" w:rsidTr="00487E53">
        <w:trPr>
          <w:trHeight w:val="227"/>
        </w:trPr>
        <w:tc>
          <w:tcPr>
            <w:tcW w:w="1296" w:type="dxa"/>
            <w:tcBorders>
              <w:top w:val="nil"/>
              <w:left w:val="nil"/>
              <w:right w:val="nil"/>
            </w:tcBorders>
            <w:shd w:val="clear" w:color="auto" w:fill="auto"/>
            <w:noWrap/>
            <w:vAlign w:val="center"/>
            <w:hideMark/>
          </w:tcPr>
          <w:p w14:paraId="788FFCE5" w14:textId="77777777"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Four</w:t>
            </w:r>
          </w:p>
        </w:tc>
        <w:tc>
          <w:tcPr>
            <w:tcW w:w="1296" w:type="dxa"/>
            <w:tcBorders>
              <w:top w:val="nil"/>
              <w:left w:val="nil"/>
              <w:right w:val="nil"/>
            </w:tcBorders>
            <w:shd w:val="clear" w:color="auto" w:fill="auto"/>
            <w:noWrap/>
            <w:vAlign w:val="bottom"/>
          </w:tcPr>
          <w:p w14:paraId="46E5E1F7" w14:textId="6B4D93CD"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48</w:t>
            </w:r>
          </w:p>
        </w:tc>
        <w:tc>
          <w:tcPr>
            <w:tcW w:w="1296" w:type="dxa"/>
            <w:tcBorders>
              <w:top w:val="nil"/>
              <w:left w:val="nil"/>
              <w:right w:val="nil"/>
            </w:tcBorders>
            <w:shd w:val="clear" w:color="auto" w:fill="auto"/>
            <w:noWrap/>
            <w:vAlign w:val="bottom"/>
          </w:tcPr>
          <w:p w14:paraId="7C1A9579" w14:textId="1A2C1BDB"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6</w:t>
            </w:r>
          </w:p>
        </w:tc>
        <w:tc>
          <w:tcPr>
            <w:tcW w:w="1296" w:type="dxa"/>
            <w:tcBorders>
              <w:top w:val="nil"/>
              <w:left w:val="nil"/>
              <w:right w:val="nil"/>
            </w:tcBorders>
            <w:shd w:val="clear" w:color="auto" w:fill="auto"/>
            <w:noWrap/>
            <w:vAlign w:val="bottom"/>
          </w:tcPr>
          <w:p w14:paraId="22E52D82" w14:textId="2935681E"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12.5</w:t>
            </w:r>
          </w:p>
        </w:tc>
        <w:tc>
          <w:tcPr>
            <w:tcW w:w="1296" w:type="dxa"/>
            <w:tcBorders>
              <w:top w:val="nil"/>
              <w:left w:val="nil"/>
              <w:right w:val="nil"/>
            </w:tcBorders>
            <w:shd w:val="clear" w:color="auto" w:fill="auto"/>
            <w:noWrap/>
            <w:vAlign w:val="bottom"/>
          </w:tcPr>
          <w:p w14:paraId="4D0F9317" w14:textId="00E80C49" w:rsidR="00BA2AA7" w:rsidRPr="007264B2" w:rsidRDefault="00BA2AA7" w:rsidP="00BA2AA7">
            <w:pPr>
              <w:spacing w:after="0" w:line="276" w:lineRule="auto"/>
              <w:jc w:val="right"/>
              <w:rPr>
                <w:rFonts w:ascii="Arial" w:hAnsi="Arial" w:cs="Arial"/>
                <w:color w:val="000000"/>
                <w:sz w:val="16"/>
                <w:szCs w:val="16"/>
              </w:rPr>
            </w:pPr>
            <w:r>
              <w:rPr>
                <w:rFonts w:ascii="Arial" w:hAnsi="Arial" w:cs="Arial"/>
                <w:color w:val="000000"/>
                <w:sz w:val="16"/>
                <w:szCs w:val="16"/>
              </w:rPr>
              <w:t>15</w:t>
            </w:r>
          </w:p>
        </w:tc>
        <w:tc>
          <w:tcPr>
            <w:tcW w:w="1296" w:type="dxa"/>
            <w:tcBorders>
              <w:top w:val="nil"/>
              <w:left w:val="nil"/>
              <w:right w:val="nil"/>
            </w:tcBorders>
            <w:shd w:val="clear" w:color="auto" w:fill="auto"/>
            <w:noWrap/>
            <w:vAlign w:val="bottom"/>
          </w:tcPr>
          <w:p w14:paraId="698AC267" w14:textId="612C07A3"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35.7</w:t>
            </w:r>
          </w:p>
        </w:tc>
        <w:tc>
          <w:tcPr>
            <w:tcW w:w="1296" w:type="dxa"/>
            <w:tcBorders>
              <w:top w:val="nil"/>
              <w:left w:val="nil"/>
              <w:right w:val="nil"/>
            </w:tcBorders>
            <w:shd w:val="clear" w:color="auto" w:fill="auto"/>
            <w:noWrap/>
            <w:vAlign w:val="bottom"/>
          </w:tcPr>
          <w:p w14:paraId="0B50DC96" w14:textId="712DDE1E"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23.0</w:t>
            </w:r>
          </w:p>
        </w:tc>
      </w:tr>
      <w:tr w:rsidR="00BA2AA7" w14:paraId="06B6C2B4" w14:textId="77777777" w:rsidTr="00487E53">
        <w:trPr>
          <w:trHeight w:val="227"/>
        </w:trPr>
        <w:tc>
          <w:tcPr>
            <w:tcW w:w="1296" w:type="dxa"/>
            <w:tcBorders>
              <w:top w:val="nil"/>
              <w:left w:val="nil"/>
              <w:bottom w:val="single" w:sz="12" w:space="0" w:color="auto"/>
              <w:right w:val="nil"/>
            </w:tcBorders>
            <w:shd w:val="clear" w:color="auto" w:fill="auto"/>
            <w:noWrap/>
            <w:vAlign w:val="center"/>
          </w:tcPr>
          <w:p w14:paraId="70850B1B" w14:textId="54831683" w:rsidR="00BA2AA7" w:rsidRDefault="00BA2AA7" w:rsidP="00BA2AA7">
            <w:pPr>
              <w:spacing w:after="0" w:line="276" w:lineRule="auto"/>
              <w:rPr>
                <w:rFonts w:ascii="Arial" w:hAnsi="Arial" w:cs="Arial"/>
                <w:color w:val="000000"/>
                <w:sz w:val="16"/>
                <w:szCs w:val="16"/>
              </w:rPr>
            </w:pPr>
            <w:r>
              <w:rPr>
                <w:rFonts w:ascii="Arial" w:hAnsi="Arial" w:cs="Arial"/>
                <w:color w:val="000000"/>
                <w:sz w:val="16"/>
                <w:szCs w:val="16"/>
              </w:rPr>
              <w:t>Five</w:t>
            </w:r>
          </w:p>
        </w:tc>
        <w:tc>
          <w:tcPr>
            <w:tcW w:w="1296" w:type="dxa"/>
            <w:tcBorders>
              <w:top w:val="nil"/>
              <w:left w:val="nil"/>
              <w:bottom w:val="single" w:sz="12" w:space="0" w:color="auto"/>
              <w:right w:val="nil"/>
            </w:tcBorders>
            <w:shd w:val="clear" w:color="auto" w:fill="auto"/>
            <w:noWrap/>
            <w:vAlign w:val="bottom"/>
          </w:tcPr>
          <w:p w14:paraId="3B0807A4" w14:textId="07AF0B67"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27</w:t>
            </w:r>
          </w:p>
        </w:tc>
        <w:tc>
          <w:tcPr>
            <w:tcW w:w="1296" w:type="dxa"/>
            <w:tcBorders>
              <w:top w:val="nil"/>
              <w:left w:val="nil"/>
              <w:bottom w:val="single" w:sz="12" w:space="0" w:color="auto"/>
              <w:right w:val="nil"/>
            </w:tcBorders>
            <w:shd w:val="clear" w:color="auto" w:fill="auto"/>
            <w:noWrap/>
            <w:vAlign w:val="bottom"/>
          </w:tcPr>
          <w:p w14:paraId="3E19E9BB" w14:textId="61553479"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4</w:t>
            </w:r>
          </w:p>
        </w:tc>
        <w:tc>
          <w:tcPr>
            <w:tcW w:w="1296" w:type="dxa"/>
            <w:tcBorders>
              <w:top w:val="nil"/>
              <w:left w:val="nil"/>
              <w:bottom w:val="single" w:sz="12" w:space="0" w:color="auto"/>
              <w:right w:val="nil"/>
            </w:tcBorders>
            <w:shd w:val="clear" w:color="auto" w:fill="auto"/>
            <w:noWrap/>
            <w:vAlign w:val="bottom"/>
          </w:tcPr>
          <w:p w14:paraId="03288BE5" w14:textId="1CCAFFCB"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14.8</w:t>
            </w:r>
          </w:p>
        </w:tc>
        <w:tc>
          <w:tcPr>
            <w:tcW w:w="1296" w:type="dxa"/>
            <w:tcBorders>
              <w:top w:val="nil"/>
              <w:left w:val="nil"/>
              <w:bottom w:val="single" w:sz="12" w:space="0" w:color="auto"/>
              <w:right w:val="nil"/>
            </w:tcBorders>
            <w:shd w:val="clear" w:color="auto" w:fill="auto"/>
            <w:noWrap/>
            <w:vAlign w:val="bottom"/>
          </w:tcPr>
          <w:p w14:paraId="458B8551" w14:textId="32C3CF8F"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16</w:t>
            </w:r>
          </w:p>
        </w:tc>
        <w:tc>
          <w:tcPr>
            <w:tcW w:w="1296" w:type="dxa"/>
            <w:tcBorders>
              <w:top w:val="nil"/>
              <w:left w:val="nil"/>
              <w:bottom w:val="single" w:sz="12" w:space="0" w:color="auto"/>
              <w:right w:val="nil"/>
            </w:tcBorders>
            <w:shd w:val="clear" w:color="auto" w:fill="auto"/>
            <w:noWrap/>
            <w:vAlign w:val="bottom"/>
          </w:tcPr>
          <w:p w14:paraId="148645F4" w14:textId="1CFE7F5D"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69.6</w:t>
            </w:r>
          </w:p>
        </w:tc>
        <w:tc>
          <w:tcPr>
            <w:tcW w:w="1296" w:type="dxa"/>
            <w:tcBorders>
              <w:top w:val="nil"/>
              <w:left w:val="nil"/>
              <w:bottom w:val="single" w:sz="12" w:space="0" w:color="auto"/>
              <w:right w:val="nil"/>
            </w:tcBorders>
            <w:shd w:val="clear" w:color="auto" w:fill="auto"/>
            <w:noWrap/>
            <w:vAlign w:val="bottom"/>
          </w:tcPr>
          <w:p w14:paraId="7E365DBB" w14:textId="6A68C12A" w:rsidR="00BA2AA7" w:rsidRPr="007264B2" w:rsidRDefault="00BA2AA7" w:rsidP="00BA2AA7">
            <w:pPr>
              <w:spacing w:after="0" w:line="276" w:lineRule="auto"/>
              <w:jc w:val="right"/>
              <w:rPr>
                <w:rFonts w:ascii="Arial" w:hAnsi="Arial" w:cs="Arial"/>
                <w:color w:val="000000"/>
                <w:sz w:val="16"/>
                <w:szCs w:val="16"/>
              </w:rPr>
            </w:pPr>
            <w:r>
              <w:rPr>
                <w:rFonts w:ascii="Arial" w:hAnsi="Arial" w:cs="Arial"/>
                <w:sz w:val="16"/>
                <w:szCs w:val="16"/>
              </w:rPr>
              <w:t>24.4</w:t>
            </w:r>
          </w:p>
        </w:tc>
      </w:tr>
    </w:tbl>
    <w:p w14:paraId="65A36A3A" w14:textId="77777777" w:rsidR="00D433A6" w:rsidRDefault="00D433A6" w:rsidP="00D433A6">
      <w:pPr>
        <w:pStyle w:val="TableSourcefootnotes"/>
        <w:tabs>
          <w:tab w:val="clear" w:pos="397"/>
          <w:tab w:val="left" w:pos="284"/>
        </w:tabs>
        <w:spacing w:before="0" w:after="0" w:line="240" w:lineRule="auto"/>
      </w:pPr>
    </w:p>
    <w:p w14:paraId="32737BCC" w14:textId="3E3ABE7C" w:rsidR="00AB2856" w:rsidRDefault="00AB2856" w:rsidP="00A21D6D">
      <w:pPr>
        <w:pStyle w:val="TableSourcefootnotes"/>
        <w:numPr>
          <w:ilvl w:val="0"/>
          <w:numId w:val="35"/>
        </w:numPr>
        <w:tabs>
          <w:tab w:val="clear" w:pos="397"/>
          <w:tab w:val="left" w:pos="284"/>
        </w:tabs>
        <w:spacing w:before="0" w:after="0" w:line="240" w:lineRule="auto"/>
        <w:ind w:left="284" w:hanging="284"/>
      </w:pPr>
      <w:r>
        <w:t>F</w:t>
      </w:r>
      <w:r w:rsidRPr="00C16CAB">
        <w:t>reeze-all cycles are fresh ART treatment cycles where all oocytes or embryos are cryopreserved</w:t>
      </w:r>
      <w:r>
        <w:t>,</w:t>
      </w:r>
      <w:r w:rsidRPr="00C16CAB">
        <w:t xml:space="preserve"> and an embryo transfer does not take place</w:t>
      </w:r>
      <w:r>
        <w:t>.</w:t>
      </w:r>
    </w:p>
    <w:p w14:paraId="492F1BBF" w14:textId="16C9EB4F" w:rsidR="00D433A6" w:rsidRPr="00A379EC" w:rsidRDefault="00D433A6" w:rsidP="00A21D6D">
      <w:pPr>
        <w:pStyle w:val="TableSourcefootnotes"/>
        <w:numPr>
          <w:ilvl w:val="0"/>
          <w:numId w:val="35"/>
        </w:numPr>
        <w:tabs>
          <w:tab w:val="clear" w:pos="397"/>
          <w:tab w:val="left" w:pos="284"/>
        </w:tabs>
        <w:spacing w:before="0" w:after="0" w:line="240" w:lineRule="auto"/>
        <w:ind w:left="284" w:hanging="284"/>
      </w:pPr>
      <w:r>
        <w:t xml:space="preserve">Cycle one represents a woman’s first autologous (excluding </w:t>
      </w:r>
      <w:r w:rsidRPr="00E217FF">
        <w:rPr>
          <w:iCs/>
        </w:rPr>
        <w:t>freeze-all</w:t>
      </w:r>
      <w:r>
        <w:t>)</w:t>
      </w:r>
      <w:r w:rsidRPr="00A379EC">
        <w:t xml:space="preserve"> fresh ART treatment cycle between 1</w:t>
      </w:r>
      <w:r w:rsidRPr="00E217FF">
        <w:rPr>
          <w:vertAlign w:val="superscript"/>
        </w:rPr>
        <w:t>st</w:t>
      </w:r>
      <w:r w:rsidRPr="00A379EC">
        <w:t xml:space="preserve"> January </w:t>
      </w:r>
      <w:r w:rsidR="00393EB0">
        <w:t>201</w:t>
      </w:r>
      <w:r w:rsidR="00BA73D0">
        <w:t>8</w:t>
      </w:r>
      <w:r w:rsidR="00393EB0">
        <w:t xml:space="preserve"> </w:t>
      </w:r>
      <w:r w:rsidRPr="00A379EC">
        <w:t>and 31</w:t>
      </w:r>
      <w:r w:rsidRPr="00E217FF">
        <w:rPr>
          <w:vertAlign w:val="superscript"/>
        </w:rPr>
        <w:t>st</w:t>
      </w:r>
      <w:r w:rsidRPr="00A379EC">
        <w:t xml:space="preserve"> December </w:t>
      </w:r>
      <w:r w:rsidR="00393EB0">
        <w:t>201</w:t>
      </w:r>
      <w:r w:rsidR="00BA73D0">
        <w:t>8</w:t>
      </w:r>
      <w:r>
        <w:t xml:space="preserve">. Cycles two to five could be either a fresh or thaw cycle (excluding </w:t>
      </w:r>
      <w:r w:rsidRPr="00E217FF">
        <w:rPr>
          <w:iCs/>
        </w:rPr>
        <w:t>freeze-all</w:t>
      </w:r>
      <w:r w:rsidRPr="001B4AFD">
        <w:rPr>
          <w:iCs/>
        </w:rPr>
        <w:t xml:space="preserve"> cycles</w:t>
      </w:r>
      <w:r>
        <w:t>)</w:t>
      </w:r>
      <w:r w:rsidRPr="00A379EC">
        <w:t xml:space="preserve"> </w:t>
      </w:r>
      <w:r>
        <w:t>undertaken by a woman</w:t>
      </w:r>
      <w:r w:rsidRPr="00A379EC">
        <w:t xml:space="preserve"> until 31</w:t>
      </w:r>
      <w:r w:rsidRPr="00E217FF">
        <w:rPr>
          <w:vertAlign w:val="superscript"/>
        </w:rPr>
        <w:t>st</w:t>
      </w:r>
      <w:r w:rsidRPr="00A379EC">
        <w:t xml:space="preserve"> December </w:t>
      </w:r>
      <w:r>
        <w:t>202</w:t>
      </w:r>
      <w:r w:rsidR="00C631F5">
        <w:t>1</w:t>
      </w:r>
      <w:r w:rsidRPr="00A379EC">
        <w:t xml:space="preserve"> or </w:t>
      </w:r>
      <w:r>
        <w:t>birth</w:t>
      </w:r>
      <w:r w:rsidRPr="00A379EC">
        <w:t xml:space="preserve"> of a liveborn baby up to </w:t>
      </w:r>
      <w:r>
        <w:t>and including 31</w:t>
      </w:r>
      <w:r w:rsidRPr="00E217FF">
        <w:rPr>
          <w:vertAlign w:val="superscript"/>
        </w:rPr>
        <w:t>st</w:t>
      </w:r>
      <w:r>
        <w:t xml:space="preserve"> October 202</w:t>
      </w:r>
      <w:r w:rsidR="00223548">
        <w:t>2</w:t>
      </w:r>
      <w:r w:rsidRPr="00A379EC">
        <w:t xml:space="preserve">. </w:t>
      </w:r>
    </w:p>
    <w:p w14:paraId="2F483EB6" w14:textId="77777777" w:rsidR="00D433A6" w:rsidRPr="00A379EC" w:rsidRDefault="00D433A6" w:rsidP="00A21D6D">
      <w:pPr>
        <w:pStyle w:val="TableSourcefootnotes"/>
        <w:numPr>
          <w:ilvl w:val="0"/>
          <w:numId w:val="35"/>
        </w:numPr>
        <w:spacing w:before="0" w:after="0" w:line="240" w:lineRule="auto"/>
        <w:ind w:left="284" w:hanging="284"/>
      </w:pPr>
      <w:r w:rsidRPr="00A379EC">
        <w:t xml:space="preserve">A live </w:t>
      </w:r>
      <w:r>
        <w:t>birth</w:t>
      </w:r>
      <w:r w:rsidRPr="00A379EC">
        <w:t xml:space="preserve"> is the </w:t>
      </w:r>
      <w:r>
        <w:t>birth</w:t>
      </w:r>
      <w:r w:rsidRPr="00A379EC">
        <w:t xml:space="preserve"> of one or more liveborn infants, with the birth of twins or higher order multiple</w:t>
      </w:r>
      <w:r>
        <w:t>s counted as one live birth.</w:t>
      </w:r>
    </w:p>
    <w:p w14:paraId="019A9B2C" w14:textId="77777777" w:rsidR="00D433A6" w:rsidRPr="00A379EC" w:rsidRDefault="00D433A6" w:rsidP="00A21D6D">
      <w:pPr>
        <w:pStyle w:val="TableSourcefootnotes"/>
        <w:numPr>
          <w:ilvl w:val="0"/>
          <w:numId w:val="35"/>
        </w:numPr>
        <w:tabs>
          <w:tab w:val="clear" w:pos="397"/>
          <w:tab w:val="left" w:pos="284"/>
        </w:tabs>
        <w:spacing w:before="0" w:after="0" w:line="240" w:lineRule="auto"/>
        <w:ind w:left="284" w:hanging="284"/>
      </w:pPr>
      <w:r w:rsidRPr="00A379EC">
        <w:t xml:space="preserve">The cycle-specific live </w:t>
      </w:r>
      <w:r>
        <w:t>birth</w:t>
      </w:r>
      <w:r w:rsidRPr="00A379EC">
        <w:t xml:space="preserve"> rate is calculated as the number of live </w:t>
      </w:r>
      <w:r>
        <w:t>births</w:t>
      </w:r>
      <w:r w:rsidRPr="00A379EC">
        <w:t xml:space="preserve"> resulting from a specific ‘cycle number’ divided by the number of women who undertook that same ‘cycle number’. </w:t>
      </w:r>
    </w:p>
    <w:p w14:paraId="233F8C4D" w14:textId="5B54EF78" w:rsidR="00D433A6" w:rsidRPr="00A379EC" w:rsidRDefault="00D433A6" w:rsidP="00A21D6D">
      <w:pPr>
        <w:pStyle w:val="TableSourcefootnotes"/>
        <w:numPr>
          <w:ilvl w:val="0"/>
          <w:numId w:val="35"/>
        </w:numPr>
        <w:tabs>
          <w:tab w:val="clear" w:pos="397"/>
          <w:tab w:val="left" w:pos="284"/>
        </w:tabs>
        <w:spacing w:before="0" w:after="0" w:line="240" w:lineRule="auto"/>
        <w:ind w:left="284" w:hanging="284"/>
      </w:pPr>
      <w:r w:rsidRPr="00A379EC">
        <w:t>The non-progression rate for a specific ‘cycle number’ is calculated as the number of women who did not return for further ART treatment cycles before 31</w:t>
      </w:r>
      <w:r w:rsidRPr="00E217FF">
        <w:rPr>
          <w:vertAlign w:val="superscript"/>
        </w:rPr>
        <w:t>st</w:t>
      </w:r>
      <w:r w:rsidRPr="00A379EC">
        <w:t xml:space="preserve"> December </w:t>
      </w:r>
      <w:r>
        <w:t>202</w:t>
      </w:r>
      <w:r w:rsidR="00C631F5">
        <w:t>1</w:t>
      </w:r>
      <w:r w:rsidRPr="00A379EC">
        <w:t xml:space="preserve"> divided by the number of women who did not have a live </w:t>
      </w:r>
      <w:r>
        <w:t>birth</w:t>
      </w:r>
      <w:r w:rsidRPr="00A379EC">
        <w:t xml:space="preserve"> in that ‘cycle number’. </w:t>
      </w:r>
    </w:p>
    <w:p w14:paraId="57F62AFB" w14:textId="44539906" w:rsidR="00D433A6" w:rsidRDefault="00D433A6" w:rsidP="00A21D6D">
      <w:pPr>
        <w:pStyle w:val="TableSourcefootnotes"/>
        <w:numPr>
          <w:ilvl w:val="0"/>
          <w:numId w:val="35"/>
        </w:numPr>
        <w:spacing w:before="0" w:after="0" w:line="240" w:lineRule="auto"/>
        <w:ind w:left="284" w:hanging="284"/>
      </w:pPr>
      <w:r w:rsidRPr="00A379EC">
        <w:t xml:space="preserve">The cumulative live </w:t>
      </w:r>
      <w:r>
        <w:t>birth</w:t>
      </w:r>
      <w:r w:rsidRPr="00A379EC">
        <w:t xml:space="preserve"> rate for a specific ‘cycle number’ is calculated as the total number of live </w:t>
      </w:r>
      <w:r>
        <w:t>births</w:t>
      </w:r>
      <w:r w:rsidRPr="00A379EC">
        <w:t xml:space="preserve"> following this ‘cycle number’ and all previous cycles divided by the total number of women who started their first autologous fresh ART treatme</w:t>
      </w:r>
      <w:r>
        <w:t>nt cycle between 1</w:t>
      </w:r>
      <w:r w:rsidRPr="00E217FF">
        <w:rPr>
          <w:vertAlign w:val="superscript"/>
        </w:rPr>
        <w:t>st</w:t>
      </w:r>
      <w:r>
        <w:t xml:space="preserve"> January </w:t>
      </w:r>
      <w:r w:rsidR="00393EB0">
        <w:t>201</w:t>
      </w:r>
      <w:r w:rsidR="00BA73D0">
        <w:t>8</w:t>
      </w:r>
      <w:r w:rsidR="00393EB0" w:rsidRPr="00A379EC">
        <w:t xml:space="preserve"> </w:t>
      </w:r>
      <w:r w:rsidRPr="00A379EC">
        <w:t>and 31</w:t>
      </w:r>
      <w:r w:rsidRPr="00E217FF">
        <w:rPr>
          <w:vertAlign w:val="superscript"/>
        </w:rPr>
        <w:t>st</w:t>
      </w:r>
      <w:r w:rsidRPr="00A379EC">
        <w:t xml:space="preserve"> December </w:t>
      </w:r>
      <w:r w:rsidR="00393EB0">
        <w:t>201</w:t>
      </w:r>
      <w:r w:rsidR="00BA73D0">
        <w:t>8</w:t>
      </w:r>
      <w:r w:rsidRPr="00A379EC">
        <w:t xml:space="preserve">. </w:t>
      </w:r>
    </w:p>
    <w:p w14:paraId="20BB75B2" w14:textId="77777777" w:rsidR="00D433A6" w:rsidRDefault="00D433A6" w:rsidP="00D433A6">
      <w:pPr>
        <w:pStyle w:val="TableSourcefootnotes"/>
        <w:tabs>
          <w:tab w:val="clear" w:pos="397"/>
          <w:tab w:val="left" w:pos="426"/>
        </w:tabs>
        <w:spacing w:before="0" w:after="0" w:line="240" w:lineRule="auto"/>
        <w:rPr>
          <w:i/>
          <w:iCs/>
        </w:rPr>
      </w:pPr>
    </w:p>
    <w:p w14:paraId="529EF093" w14:textId="77777777" w:rsidR="00D433A6" w:rsidRPr="00EF19F1" w:rsidRDefault="00D433A6" w:rsidP="00D433A6">
      <w:pPr>
        <w:pStyle w:val="TableSourcefootnotes"/>
        <w:tabs>
          <w:tab w:val="clear" w:pos="397"/>
          <w:tab w:val="left" w:pos="426"/>
        </w:tabs>
        <w:spacing w:before="0" w:after="0" w:line="240" w:lineRule="auto"/>
      </w:pPr>
      <w:r w:rsidRPr="00A379EC">
        <w:rPr>
          <w:i/>
          <w:iCs/>
        </w:rPr>
        <w:t>Note</w:t>
      </w:r>
      <w:r w:rsidRPr="00A379EC">
        <w:t>:</w:t>
      </w:r>
      <w:r w:rsidRPr="00A379EC">
        <w:tab/>
        <w:t>Further treatment cycles after the</w:t>
      </w:r>
      <w:r>
        <w:t xml:space="preserve"> fifth</w:t>
      </w:r>
      <w:r w:rsidRPr="00A379EC">
        <w:t xml:space="preserve"> cycle and resulting live </w:t>
      </w:r>
      <w:r>
        <w:t>births</w:t>
      </w:r>
      <w:r w:rsidRPr="00A379EC">
        <w:t xml:space="preserve"> are not presented in this table due to small numbers. Data should be interpreted with caution due to small numbers in certain </w:t>
      </w:r>
      <w:r w:rsidRPr="00BD7D19">
        <w:t>cells and measure</w:t>
      </w:r>
      <w:r>
        <w:t>s</w:t>
      </w:r>
      <w:r w:rsidRPr="00BD7D19">
        <w:t xml:space="preserve"> of statistical variance are not supplied.</w:t>
      </w:r>
    </w:p>
    <w:p w14:paraId="09DE465A" w14:textId="3680191C" w:rsidR="00D433A6" w:rsidRDefault="00D433A6">
      <w:pPr>
        <w:spacing w:after="160" w:line="259" w:lineRule="auto"/>
        <w:rPr>
          <w:rFonts w:cs="Arial"/>
        </w:rPr>
      </w:pPr>
    </w:p>
    <w:p w14:paraId="49E890DE" w14:textId="77777777" w:rsidR="00740D98" w:rsidRDefault="00740D98">
      <w:pPr>
        <w:spacing w:after="160" w:line="259" w:lineRule="auto"/>
        <w:rPr>
          <w:rFonts w:ascii="Arial" w:eastAsiaTheme="majorEastAsia" w:hAnsi="Arial" w:cs="Arial"/>
          <w:b/>
          <w:bCs/>
          <w:sz w:val="44"/>
          <w:szCs w:val="28"/>
        </w:rPr>
      </w:pPr>
    </w:p>
    <w:p w14:paraId="3232574A" w14:textId="35DA1181" w:rsidR="009303CD" w:rsidRPr="006444C2" w:rsidRDefault="009303CD" w:rsidP="00FA33C7">
      <w:pPr>
        <w:pStyle w:val="Heading1"/>
        <w:rPr>
          <w:rFonts w:cs="Arial"/>
        </w:rPr>
      </w:pPr>
      <w:bookmarkStart w:id="416" w:name="_Toc159568727"/>
      <w:r w:rsidRPr="006444C2">
        <w:rPr>
          <w:rFonts w:cs="Arial"/>
        </w:rPr>
        <w:lastRenderedPageBreak/>
        <w:t>Appendix A: Contributing fertility clinics</w:t>
      </w:r>
      <w:bookmarkEnd w:id="397"/>
      <w:bookmarkEnd w:id="398"/>
      <w:bookmarkEnd w:id="416"/>
    </w:p>
    <w:p w14:paraId="504B8953" w14:textId="77777777" w:rsidR="009303CD" w:rsidRPr="006444C2" w:rsidRDefault="009303CD" w:rsidP="009303CD">
      <w:pPr>
        <w:pStyle w:val="NPESUbodytext"/>
        <w:rPr>
          <w:rFonts w:cs="Arial"/>
        </w:rPr>
      </w:pPr>
      <w:r w:rsidRPr="006444C2">
        <w:rPr>
          <w:rFonts w:cs="Arial"/>
        </w:rPr>
        <w:t>Fertility Associates, Auckland (Dr Simon Kelly)</w:t>
      </w:r>
    </w:p>
    <w:p w14:paraId="7CE00E04" w14:textId="78014914" w:rsidR="009303CD" w:rsidRPr="006444C2" w:rsidRDefault="009303CD" w:rsidP="009303CD">
      <w:pPr>
        <w:pStyle w:val="NPESUbodytext"/>
        <w:rPr>
          <w:rFonts w:cs="Arial"/>
        </w:rPr>
      </w:pPr>
      <w:r w:rsidRPr="006444C2">
        <w:rPr>
          <w:rFonts w:cs="Arial"/>
        </w:rPr>
        <w:t>Fertility Associates</w:t>
      </w:r>
      <w:r w:rsidR="00150A8A" w:rsidRPr="006444C2">
        <w:rPr>
          <w:rFonts w:cs="Arial"/>
        </w:rPr>
        <w:t xml:space="preserve"> </w:t>
      </w:r>
      <w:r w:rsidRPr="006444C2">
        <w:rPr>
          <w:rFonts w:cs="Arial"/>
        </w:rPr>
        <w:t>Christchurch, Christchurch (Dr Sarah Wakeman)</w:t>
      </w:r>
    </w:p>
    <w:p w14:paraId="3A8699A1" w14:textId="645D8750" w:rsidR="009303CD" w:rsidRPr="006444C2" w:rsidRDefault="009303CD" w:rsidP="009303CD">
      <w:pPr>
        <w:pStyle w:val="NPESUbodytext"/>
        <w:rPr>
          <w:rFonts w:cs="Arial"/>
        </w:rPr>
      </w:pPr>
      <w:r w:rsidRPr="006444C2">
        <w:rPr>
          <w:rFonts w:cs="Arial"/>
        </w:rPr>
        <w:t>Fertility Associates Hamilton, Hamilton (Dr VP Singh)</w:t>
      </w:r>
    </w:p>
    <w:p w14:paraId="731CFC6C" w14:textId="46363A02" w:rsidR="00150A8A" w:rsidRPr="006444C2" w:rsidRDefault="00150A8A" w:rsidP="009303CD">
      <w:pPr>
        <w:pStyle w:val="NPESUbodytext"/>
        <w:rPr>
          <w:rFonts w:cs="Arial"/>
        </w:rPr>
      </w:pPr>
      <w:r w:rsidRPr="006444C2">
        <w:rPr>
          <w:rFonts w:cs="Arial"/>
        </w:rPr>
        <w:t>Fertility Associates Otago, Dunedin (Associate Professor Wayne Gillett)</w:t>
      </w:r>
    </w:p>
    <w:p w14:paraId="58C077CC" w14:textId="77777777" w:rsidR="009303CD" w:rsidRPr="006444C2" w:rsidRDefault="009303CD" w:rsidP="009303CD">
      <w:pPr>
        <w:pStyle w:val="NPESUbodytext"/>
        <w:rPr>
          <w:rFonts w:cs="Arial"/>
        </w:rPr>
      </w:pPr>
      <w:r w:rsidRPr="006444C2">
        <w:rPr>
          <w:rFonts w:cs="Arial"/>
        </w:rPr>
        <w:t>Fertility Associates Wellington, Wellington (Dr Andrew Murray)</w:t>
      </w:r>
    </w:p>
    <w:p w14:paraId="6AC0C3CB" w14:textId="7F40A027" w:rsidR="009303CD" w:rsidRPr="006444C2" w:rsidRDefault="009303CD" w:rsidP="009303CD">
      <w:pPr>
        <w:pStyle w:val="NPESUbodytext"/>
        <w:rPr>
          <w:rFonts w:cs="Arial"/>
        </w:rPr>
      </w:pPr>
      <w:r w:rsidRPr="006444C2">
        <w:rPr>
          <w:rFonts w:cs="Arial"/>
        </w:rPr>
        <w:t xml:space="preserve">Fertility Plus, Auckland (Dr </w:t>
      </w:r>
      <w:r w:rsidR="009E023F">
        <w:rPr>
          <w:rFonts w:cs="Arial"/>
        </w:rPr>
        <w:t>Cindy Farquhar</w:t>
      </w:r>
      <w:r w:rsidRPr="006444C2">
        <w:rPr>
          <w:rFonts w:cs="Arial"/>
        </w:rPr>
        <w:t>)</w:t>
      </w:r>
    </w:p>
    <w:p w14:paraId="0024382A" w14:textId="3A389753" w:rsidR="009303CD" w:rsidRPr="006444C2" w:rsidRDefault="009303CD" w:rsidP="009303CD">
      <w:pPr>
        <w:pStyle w:val="NPESUbodytext"/>
        <w:rPr>
          <w:rFonts w:cs="Arial"/>
        </w:rPr>
      </w:pPr>
      <w:r w:rsidRPr="006444C2">
        <w:rPr>
          <w:rFonts w:cs="Arial"/>
        </w:rPr>
        <w:t>Repromed Auckland, Auckland (</w:t>
      </w:r>
      <w:r w:rsidR="005441BC" w:rsidRPr="000D75B4">
        <w:rPr>
          <w:rFonts w:cs="Arial"/>
        </w:rPr>
        <w:t>Dr Devashana Gupta</w:t>
      </w:r>
      <w:r w:rsidRPr="006444C2">
        <w:rPr>
          <w:rFonts w:cs="Arial"/>
        </w:rPr>
        <w:t>)</w:t>
      </w:r>
    </w:p>
    <w:p w14:paraId="626BF469" w14:textId="77777777" w:rsidR="009303CD" w:rsidRPr="00617599" w:rsidRDefault="009303CD" w:rsidP="009303CD">
      <w:pPr>
        <w:pStyle w:val="Heading1"/>
        <w:rPr>
          <w:rFonts w:cs="Arial"/>
        </w:rPr>
      </w:pPr>
      <w:bookmarkStart w:id="417" w:name="_Toc453054858"/>
      <w:bookmarkStart w:id="418" w:name="_Toc452112622"/>
      <w:bookmarkStart w:id="419" w:name="_Toc159568728"/>
      <w:r w:rsidRPr="00617599">
        <w:rPr>
          <w:rFonts w:cs="Arial"/>
        </w:rPr>
        <w:lastRenderedPageBreak/>
        <w:t>Appendix B: Data used in this report</w:t>
      </w:r>
      <w:bookmarkEnd w:id="417"/>
      <w:bookmarkEnd w:id="418"/>
      <w:bookmarkEnd w:id="419"/>
    </w:p>
    <w:p w14:paraId="628C5386" w14:textId="61117388" w:rsidR="009303CD" w:rsidRPr="00617599" w:rsidRDefault="009303CD" w:rsidP="009303CD">
      <w:pPr>
        <w:pStyle w:val="NPESUbodytext"/>
        <w:rPr>
          <w:rFonts w:cs="Arial"/>
        </w:rPr>
      </w:pPr>
      <w:r w:rsidRPr="00D519BD">
        <w:rPr>
          <w:rFonts w:cs="Arial"/>
        </w:rPr>
        <w:t xml:space="preserve">The data presented in this report are supplied by </w:t>
      </w:r>
      <w:r w:rsidR="00346ED0">
        <w:rPr>
          <w:rFonts w:cs="Arial"/>
        </w:rPr>
        <w:t>eight</w:t>
      </w:r>
      <w:r w:rsidR="00346ED0" w:rsidRPr="00D519BD">
        <w:rPr>
          <w:rFonts w:cs="Arial"/>
        </w:rPr>
        <w:t xml:space="preserve"> </w:t>
      </w:r>
      <w:r w:rsidRPr="00D519BD">
        <w:rPr>
          <w:rFonts w:cs="Arial"/>
        </w:rPr>
        <w:t xml:space="preserve">fertility </w:t>
      </w:r>
      <w:r w:rsidR="00D519BD" w:rsidRPr="00D519BD">
        <w:rPr>
          <w:rFonts w:cs="Arial"/>
        </w:rPr>
        <w:t>clinics</w:t>
      </w:r>
      <w:r w:rsidRPr="00D519BD">
        <w:rPr>
          <w:rFonts w:cs="Arial"/>
        </w:rPr>
        <w:t xml:space="preserve"> in New Zealand and are compiled into ANZARD</w:t>
      </w:r>
      <w:r w:rsidR="00346ED0">
        <w:rPr>
          <w:rFonts w:cs="Arial"/>
        </w:rPr>
        <w:t xml:space="preserve"> </w:t>
      </w:r>
      <w:r w:rsidR="003A212B">
        <w:rPr>
          <w:rFonts w:cs="Arial"/>
        </w:rPr>
        <w:t>3</w:t>
      </w:r>
      <w:r w:rsidRPr="00D519BD">
        <w:rPr>
          <w:rFonts w:cs="Arial"/>
        </w:rPr>
        <w:t xml:space="preserve">.0. </w:t>
      </w:r>
      <w:r w:rsidR="003A212B" w:rsidRPr="20413307">
        <w:rPr>
          <w:rFonts w:cs="Arial"/>
        </w:rPr>
        <w:t>ANZARD 3.0 includes autologous treatment cycles, treatment involving donated oocytes or embryos, and treatment involving surrogacy arrangements. ANZARD 3.0 collects data on the use of ART techniques such as ICSI, oocyte/embryo freezing methods, PGT and cleavage/blastocyst transfers. In addition to ART procedures, ANZARD 3.0 also collects data on artificial insemination cycles using donated sperm (DI) from ART Units. The outcomes of pregnancies, births and babies born following ART and DI treatments are also maintained in ANZARD 3.0. This includes the method of birth, birth status, birthweight, gestational age, plurality, perinatal mortality</w:t>
      </w:r>
      <w:r w:rsidR="00EB2BC5">
        <w:rPr>
          <w:rFonts w:cs="Arial"/>
        </w:rPr>
        <w:t>,</w:t>
      </w:r>
      <w:r w:rsidR="003A212B" w:rsidRPr="20413307">
        <w:rPr>
          <w:rFonts w:cs="Arial"/>
        </w:rPr>
        <w:t xml:space="preserve"> and selected information on maternal morbidity. </w:t>
      </w:r>
      <w:r w:rsidRPr="00617599">
        <w:rPr>
          <w:rFonts w:cs="Arial"/>
        </w:rPr>
        <w:t xml:space="preserve"> </w:t>
      </w:r>
    </w:p>
    <w:p w14:paraId="3C6D221B" w14:textId="4279D3C8" w:rsidR="009303CD" w:rsidRPr="00617599" w:rsidRDefault="009303CD" w:rsidP="009303CD">
      <w:pPr>
        <w:pStyle w:val="NPESUbodytext"/>
        <w:rPr>
          <w:rFonts w:cs="Arial"/>
        </w:rPr>
      </w:pPr>
      <w:r w:rsidRPr="00617599">
        <w:rPr>
          <w:rFonts w:cs="Arial"/>
        </w:rPr>
        <w:t xml:space="preserve">This report presents information on ART and DI treatment cycles that took place in fertility clinics in New Zealand in </w:t>
      </w:r>
      <w:r w:rsidR="002C669F">
        <w:rPr>
          <w:rFonts w:cs="Arial"/>
        </w:rPr>
        <w:t>20</w:t>
      </w:r>
      <w:r w:rsidR="003A212B">
        <w:rPr>
          <w:rFonts w:cs="Arial"/>
        </w:rPr>
        <w:t>2</w:t>
      </w:r>
      <w:r w:rsidR="00197CB6">
        <w:rPr>
          <w:rFonts w:cs="Arial"/>
        </w:rPr>
        <w:t>1</w:t>
      </w:r>
      <w:r w:rsidRPr="00617599">
        <w:rPr>
          <w:rFonts w:cs="Arial"/>
        </w:rPr>
        <w:t xml:space="preserve">, and the resulting pregnancies and births. The babies included in this report were conceived through treatment cycles undertaken in </w:t>
      </w:r>
      <w:r w:rsidR="002C669F">
        <w:rPr>
          <w:rFonts w:cs="Arial"/>
        </w:rPr>
        <w:t>20</w:t>
      </w:r>
      <w:r w:rsidR="003A212B">
        <w:rPr>
          <w:rFonts w:cs="Arial"/>
        </w:rPr>
        <w:t>2</w:t>
      </w:r>
      <w:r w:rsidR="00197CB6">
        <w:rPr>
          <w:rFonts w:cs="Arial"/>
        </w:rPr>
        <w:t>1</w:t>
      </w:r>
      <w:r w:rsidRPr="00617599">
        <w:rPr>
          <w:rFonts w:cs="Arial"/>
        </w:rPr>
        <w:t xml:space="preserve"> and were born in either </w:t>
      </w:r>
      <w:r w:rsidR="002C669F">
        <w:rPr>
          <w:rFonts w:cs="Arial"/>
        </w:rPr>
        <w:t>20</w:t>
      </w:r>
      <w:r w:rsidR="003A212B">
        <w:rPr>
          <w:rFonts w:cs="Arial"/>
        </w:rPr>
        <w:t>2</w:t>
      </w:r>
      <w:r w:rsidR="00197CB6">
        <w:rPr>
          <w:rFonts w:cs="Arial"/>
        </w:rPr>
        <w:t>1</w:t>
      </w:r>
      <w:r w:rsidRPr="00617599">
        <w:rPr>
          <w:rFonts w:cs="Arial"/>
        </w:rPr>
        <w:t xml:space="preserve"> or 20</w:t>
      </w:r>
      <w:r w:rsidR="00F00A63">
        <w:rPr>
          <w:rFonts w:cs="Arial"/>
        </w:rPr>
        <w:t>2</w:t>
      </w:r>
      <w:r w:rsidR="00197CB6">
        <w:rPr>
          <w:rFonts w:cs="Arial"/>
        </w:rPr>
        <w:t>2</w:t>
      </w:r>
      <w:r w:rsidRPr="00617599">
        <w:rPr>
          <w:rFonts w:cs="Arial"/>
        </w:rPr>
        <w:t xml:space="preserve">. </w:t>
      </w:r>
    </w:p>
    <w:p w14:paraId="41C24B43" w14:textId="77777777" w:rsidR="009303CD" w:rsidRPr="00617599" w:rsidRDefault="009303CD" w:rsidP="009303CD">
      <w:pPr>
        <w:pStyle w:val="Heading2"/>
        <w:tabs>
          <w:tab w:val="left" w:pos="5704"/>
        </w:tabs>
        <w:rPr>
          <w:rFonts w:cs="Arial"/>
        </w:rPr>
      </w:pPr>
      <w:bookmarkStart w:id="420" w:name="_Toc148345178"/>
      <w:bookmarkStart w:id="421" w:name="_Toc127249250"/>
      <w:bookmarkStart w:id="422" w:name="_Toc127248579"/>
      <w:bookmarkStart w:id="423" w:name="_Toc126748340"/>
      <w:bookmarkStart w:id="424" w:name="_Toc126724825"/>
      <w:bookmarkStart w:id="425" w:name="_Toc126724539"/>
      <w:bookmarkStart w:id="426" w:name="_Toc126550114"/>
      <w:bookmarkStart w:id="427" w:name="_Toc126491623"/>
      <w:bookmarkStart w:id="428" w:name="_Toc126491514"/>
      <w:bookmarkStart w:id="429" w:name="_Toc125440965"/>
      <w:bookmarkStart w:id="430" w:name="_Toc125440920"/>
      <w:bookmarkStart w:id="431" w:name="_Toc125431734"/>
      <w:bookmarkStart w:id="432" w:name="_Toc125431680"/>
      <w:bookmarkStart w:id="433" w:name="_Toc125278850"/>
      <w:bookmarkStart w:id="434" w:name="_Toc453061492"/>
      <w:bookmarkStart w:id="435" w:name="_Toc453059089"/>
      <w:bookmarkStart w:id="436" w:name="_Toc453057418"/>
      <w:bookmarkStart w:id="437" w:name="_Toc453055633"/>
      <w:bookmarkStart w:id="438" w:name="_Toc453054859"/>
      <w:bookmarkStart w:id="439" w:name="_Toc452112623"/>
      <w:bookmarkStart w:id="440" w:name="_Toc422408390"/>
      <w:bookmarkStart w:id="441" w:name="_Toc422220205"/>
      <w:bookmarkStart w:id="442" w:name="_Toc422219898"/>
      <w:bookmarkStart w:id="443" w:name="_Toc421699704"/>
      <w:bookmarkStart w:id="444" w:name="_Toc421692539"/>
      <w:bookmarkStart w:id="445" w:name="_Toc389646245"/>
      <w:bookmarkStart w:id="446" w:name="_Toc389646055"/>
      <w:bookmarkStart w:id="447" w:name="_Toc340648600"/>
      <w:bookmarkStart w:id="448" w:name="_Toc340571544"/>
      <w:bookmarkStart w:id="449" w:name="_Toc340497609"/>
      <w:bookmarkStart w:id="450" w:name="_Toc340225636"/>
      <w:bookmarkStart w:id="451" w:name="_Toc340224055"/>
      <w:bookmarkStart w:id="452" w:name="_Toc340223988"/>
      <w:bookmarkStart w:id="453" w:name="_Toc338150825"/>
      <w:bookmarkStart w:id="454" w:name="_Toc337718854"/>
      <w:bookmarkStart w:id="455" w:name="_Toc335985288"/>
      <w:bookmarkStart w:id="456" w:name="_Toc335985132"/>
      <w:bookmarkStart w:id="457" w:name="_Toc333226697"/>
      <w:bookmarkStart w:id="458" w:name="_Toc330404353"/>
      <w:bookmarkStart w:id="459" w:name="_Toc327351292"/>
      <w:bookmarkStart w:id="460" w:name="_Toc327282265"/>
      <w:bookmarkStart w:id="461" w:name="_Toc300481067"/>
      <w:bookmarkStart w:id="462" w:name="_Toc300236335"/>
      <w:bookmarkStart w:id="463" w:name="_Toc300234489"/>
      <w:bookmarkStart w:id="464" w:name="_Toc297042067"/>
      <w:bookmarkStart w:id="465" w:name="_Toc296951872"/>
      <w:bookmarkStart w:id="466" w:name="_Toc296692896"/>
      <w:bookmarkStart w:id="467" w:name="_Toc268079498"/>
      <w:bookmarkStart w:id="468" w:name="_Toc263854087"/>
      <w:bookmarkStart w:id="469" w:name="_Toc236735697"/>
      <w:bookmarkStart w:id="470" w:name="_Toc236732922"/>
      <w:bookmarkStart w:id="471" w:name="_Toc236712473"/>
      <w:bookmarkStart w:id="472" w:name="_Toc236562298"/>
      <w:bookmarkStart w:id="473" w:name="_Toc233600490"/>
      <w:bookmarkStart w:id="474" w:name="_Toc233520818"/>
      <w:bookmarkStart w:id="475" w:name="_Toc233452491"/>
      <w:bookmarkStart w:id="476" w:name="_Toc233440892"/>
      <w:bookmarkStart w:id="477" w:name="_Toc233015377"/>
      <w:bookmarkStart w:id="478" w:name="_Toc232920331"/>
      <w:bookmarkStart w:id="479" w:name="_Toc232844179"/>
      <w:bookmarkStart w:id="480" w:name="_Toc232565314"/>
      <w:bookmarkStart w:id="481" w:name="_Toc232397845"/>
      <w:bookmarkStart w:id="482" w:name="_Toc202343340"/>
      <w:bookmarkStart w:id="483" w:name="_Toc202333857"/>
      <w:bookmarkStart w:id="484" w:name="_Toc202333509"/>
      <w:bookmarkStart w:id="485" w:name="_Toc202332718"/>
      <w:bookmarkStart w:id="486" w:name="_Toc201648084"/>
      <w:bookmarkStart w:id="487" w:name="_Toc198457667"/>
      <w:bookmarkStart w:id="488" w:name="_Toc198011897"/>
      <w:bookmarkStart w:id="489" w:name="_Toc176968959"/>
      <w:bookmarkStart w:id="490" w:name="_Toc176946987"/>
      <w:bookmarkStart w:id="491" w:name="_Toc176934300"/>
      <w:bookmarkStart w:id="492" w:name="_Toc176341938"/>
      <w:bookmarkStart w:id="493" w:name="_Toc176334619"/>
      <w:bookmarkStart w:id="494" w:name="_Toc175992480"/>
      <w:bookmarkStart w:id="495" w:name="_Toc175984176"/>
      <w:bookmarkStart w:id="496" w:name="_Toc175984113"/>
      <w:bookmarkStart w:id="497" w:name="_Toc174779395"/>
      <w:bookmarkStart w:id="498" w:name="_Toc174344090"/>
      <w:bookmarkStart w:id="499" w:name="_Toc174181127"/>
      <w:bookmarkStart w:id="500" w:name="_Toc174163284"/>
      <w:bookmarkStart w:id="501" w:name="_Toc174163185"/>
      <w:bookmarkStart w:id="502" w:name="_Toc174162961"/>
      <w:bookmarkStart w:id="503" w:name="_Toc173827237"/>
      <w:bookmarkStart w:id="504" w:name="_Toc170017039"/>
      <w:bookmarkStart w:id="505" w:name="_Toc170016960"/>
      <w:bookmarkStart w:id="506" w:name="_Toc170016912"/>
      <w:bookmarkStart w:id="507" w:name="_Toc167079126"/>
      <w:bookmarkStart w:id="508" w:name="_Toc167076253"/>
      <w:bookmarkStart w:id="509" w:name="_Toc150837801"/>
      <w:bookmarkStart w:id="510" w:name="_Toc150837621"/>
      <w:bookmarkStart w:id="511" w:name="_Toc150837101"/>
      <w:bookmarkStart w:id="512" w:name="_Toc150829308"/>
      <w:bookmarkStart w:id="513" w:name="_Toc150052837"/>
      <w:bookmarkStart w:id="514" w:name="_Toc149632700"/>
      <w:bookmarkStart w:id="515" w:name="_Toc149388739"/>
      <w:bookmarkStart w:id="516" w:name="_Toc149131418"/>
      <w:r w:rsidRPr="00617599">
        <w:rPr>
          <w:rFonts w:cs="Arial"/>
        </w:rPr>
        <w:t xml:space="preserve">Data </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617599">
        <w:rPr>
          <w:rFonts w:cs="Arial"/>
        </w:rPr>
        <w:t>validation</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617599">
        <w:rPr>
          <w:rFonts w:cs="Arial"/>
        </w:rPr>
        <w:tab/>
      </w:r>
    </w:p>
    <w:p w14:paraId="55CE20EE" w14:textId="112A319D" w:rsidR="009303CD" w:rsidRPr="00617599" w:rsidRDefault="009303CD" w:rsidP="009303CD">
      <w:pPr>
        <w:pStyle w:val="NPESUbodytext"/>
        <w:rPr>
          <w:rFonts w:cs="Arial"/>
        </w:rPr>
      </w:pPr>
      <w:r w:rsidRPr="00617599">
        <w:rPr>
          <w:rFonts w:cs="Arial"/>
        </w:rPr>
        <w:t>Most fertility centres have computerised data information management systems and provide the National Perinatal Epidemiology and Statistics Unit (NPESU) with high</w:t>
      </w:r>
      <w:r w:rsidR="00093BBE">
        <w:rPr>
          <w:rFonts w:cs="Arial"/>
        </w:rPr>
        <w:t>-</w:t>
      </w:r>
      <w:r w:rsidRPr="00617599">
        <w:rPr>
          <w:rFonts w:cs="Arial"/>
        </w:rPr>
        <w:t xml:space="preserve">quality data. All data processed by NPESU undergo a validation process, with data queries being followed up with fertility centre staff. </w:t>
      </w:r>
    </w:p>
    <w:p w14:paraId="5FD23143" w14:textId="7889C99A" w:rsidR="009303CD" w:rsidRPr="005441BC" w:rsidRDefault="005441BC" w:rsidP="000D75B4">
      <w:pPr>
        <w:pStyle w:val="AIHWbodytext"/>
        <w:rPr>
          <w:rFonts w:cs="Arial"/>
        </w:rPr>
      </w:pPr>
      <w:r w:rsidRPr="20413307">
        <w:rPr>
          <w:rFonts w:cs="Arial"/>
          <w:color w:val="auto"/>
        </w:rPr>
        <w:t xml:space="preserve">The Reproductive Technology Accreditation Committee (RTAC) of </w:t>
      </w:r>
      <w:r>
        <w:rPr>
          <w:rFonts w:cs="Arial"/>
          <w:color w:val="auto"/>
        </w:rPr>
        <w:t>the Fertility Society of Australia and New Zealand</w:t>
      </w:r>
      <w:r w:rsidRPr="20413307">
        <w:rPr>
          <w:rFonts w:cs="Arial"/>
          <w:color w:val="auto"/>
        </w:rPr>
        <w:t xml:space="preserve"> </w:t>
      </w:r>
      <w:r>
        <w:rPr>
          <w:rFonts w:cs="Arial"/>
          <w:color w:val="auto"/>
        </w:rPr>
        <w:t>(</w:t>
      </w:r>
      <w:r w:rsidRPr="20413307">
        <w:rPr>
          <w:rFonts w:cs="Arial"/>
          <w:color w:val="auto"/>
        </w:rPr>
        <w:t>FSANZ</w:t>
      </w:r>
      <w:r>
        <w:rPr>
          <w:rFonts w:cs="Arial"/>
          <w:color w:val="auto"/>
        </w:rPr>
        <w:t>)</w:t>
      </w:r>
      <w:r w:rsidRPr="20413307">
        <w:rPr>
          <w:rFonts w:cs="Arial"/>
          <w:color w:val="auto"/>
        </w:rPr>
        <w:t xml:space="preserve"> also plays a role in ensuring the quality of ANZARD 3.0 data. ANZARD submissions from ART Units are audited by </w:t>
      </w:r>
      <w:r>
        <w:rPr>
          <w:rFonts w:cs="Arial"/>
          <w:color w:val="auto"/>
        </w:rPr>
        <w:t>c</w:t>
      </w:r>
      <w:r w:rsidRPr="20413307">
        <w:rPr>
          <w:rFonts w:cs="Arial"/>
          <w:color w:val="auto"/>
        </w:rPr>
        <w:t xml:space="preserve">ertifying </w:t>
      </w:r>
      <w:r>
        <w:rPr>
          <w:rFonts w:cs="Arial"/>
          <w:color w:val="auto"/>
        </w:rPr>
        <w:t>b</w:t>
      </w:r>
      <w:r w:rsidRPr="20413307">
        <w:rPr>
          <w:rFonts w:cs="Arial"/>
          <w:color w:val="auto"/>
        </w:rPr>
        <w:t>odies according to the RTAC Code of Practice</w:t>
      </w:r>
      <w:r>
        <w:rPr>
          <w:rFonts w:cs="Arial"/>
          <w:color w:val="auto"/>
        </w:rPr>
        <w:t>.</w:t>
      </w:r>
      <w:r w:rsidRPr="20413307">
        <w:rPr>
          <w:rFonts w:cs="Arial"/>
          <w:color w:val="auto"/>
        </w:rPr>
        <w:t xml:space="preserve"> </w:t>
      </w:r>
      <w:r>
        <w:rPr>
          <w:rFonts w:cs="Arial"/>
          <w:color w:val="auto"/>
        </w:rPr>
        <w:t>T</w:t>
      </w:r>
      <w:r w:rsidRPr="20413307">
        <w:rPr>
          <w:rFonts w:cs="Arial"/>
          <w:color w:val="auto"/>
        </w:rPr>
        <w:t xml:space="preserve">his includes selected records against ART Unit files in their annual inspections. All ART cycles and DI undertaken in Australia and New Zealand must be reported to ANZARD as part of their accreditation by the </w:t>
      </w:r>
      <w:r>
        <w:rPr>
          <w:rFonts w:cs="Arial"/>
          <w:color w:val="auto"/>
        </w:rPr>
        <w:t>RTAC</w:t>
      </w:r>
      <w:r w:rsidRPr="20413307">
        <w:rPr>
          <w:rFonts w:cs="Arial"/>
          <w:color w:val="auto"/>
        </w:rPr>
        <w:t xml:space="preserve"> of the </w:t>
      </w:r>
      <w:r>
        <w:rPr>
          <w:rFonts w:cs="Arial"/>
          <w:color w:val="auto"/>
        </w:rPr>
        <w:t>FSANZ</w:t>
      </w:r>
      <w:r w:rsidRPr="20413307">
        <w:rPr>
          <w:rFonts w:cs="Arial"/>
          <w:color w:val="auto"/>
        </w:rPr>
        <w:t>.</w:t>
      </w:r>
    </w:p>
    <w:p w14:paraId="1DB8B946" w14:textId="77777777" w:rsidR="009303CD" w:rsidRPr="00617599" w:rsidRDefault="009303CD" w:rsidP="009303CD">
      <w:pPr>
        <w:pStyle w:val="Heading2"/>
        <w:rPr>
          <w:rFonts w:cs="Arial"/>
        </w:rPr>
      </w:pPr>
      <w:bookmarkStart w:id="517" w:name="_Toc453061493"/>
      <w:bookmarkStart w:id="518" w:name="_Toc453059090"/>
      <w:bookmarkStart w:id="519" w:name="_Toc453057419"/>
      <w:bookmarkStart w:id="520" w:name="_Toc453055634"/>
      <w:bookmarkStart w:id="521" w:name="_Toc453054860"/>
      <w:bookmarkStart w:id="522" w:name="_Toc452112624"/>
      <w:bookmarkStart w:id="523" w:name="_Toc422408391"/>
      <w:bookmarkStart w:id="524" w:name="_Toc422220206"/>
      <w:bookmarkStart w:id="525" w:name="_Toc422219899"/>
      <w:bookmarkStart w:id="526" w:name="_Toc421699705"/>
      <w:bookmarkStart w:id="527" w:name="_Toc421692540"/>
      <w:bookmarkStart w:id="528" w:name="_Toc389646246"/>
      <w:bookmarkStart w:id="529" w:name="_Toc389646056"/>
      <w:bookmarkStart w:id="530" w:name="_Toc340648601"/>
      <w:bookmarkStart w:id="531" w:name="_Toc340571545"/>
      <w:bookmarkStart w:id="532" w:name="_Toc340497610"/>
      <w:bookmarkStart w:id="533" w:name="_Toc340225637"/>
      <w:bookmarkStart w:id="534" w:name="_Toc340224056"/>
      <w:bookmarkStart w:id="535" w:name="_Toc340223989"/>
      <w:bookmarkStart w:id="536" w:name="_Toc338150826"/>
      <w:bookmarkStart w:id="537" w:name="_Toc337718855"/>
      <w:bookmarkStart w:id="538" w:name="_Toc335985289"/>
      <w:bookmarkStart w:id="539" w:name="_Toc335985133"/>
      <w:bookmarkStart w:id="540" w:name="_Toc333226698"/>
      <w:bookmarkStart w:id="541" w:name="_Toc330404354"/>
      <w:bookmarkStart w:id="542" w:name="_Toc327351293"/>
      <w:bookmarkStart w:id="543" w:name="_Toc327282266"/>
      <w:bookmarkStart w:id="544" w:name="_Toc300481068"/>
      <w:bookmarkStart w:id="545" w:name="_Toc300236336"/>
      <w:bookmarkStart w:id="546" w:name="_Toc300234490"/>
      <w:bookmarkStart w:id="547" w:name="_Toc297042068"/>
      <w:bookmarkStart w:id="548" w:name="_Toc296951873"/>
      <w:bookmarkStart w:id="549" w:name="_Toc296692897"/>
      <w:bookmarkStart w:id="550" w:name="_Toc268079499"/>
      <w:bookmarkStart w:id="551" w:name="_Toc263854088"/>
      <w:bookmarkStart w:id="552" w:name="_Toc236735698"/>
      <w:bookmarkStart w:id="553" w:name="_Toc236732923"/>
      <w:bookmarkStart w:id="554" w:name="_Toc236712474"/>
      <w:bookmarkStart w:id="555" w:name="_Toc236562299"/>
      <w:bookmarkStart w:id="556" w:name="_Toc233600491"/>
      <w:bookmarkStart w:id="557" w:name="_Toc233520819"/>
      <w:bookmarkStart w:id="558" w:name="_Toc233452492"/>
      <w:bookmarkStart w:id="559" w:name="_Toc233440893"/>
      <w:bookmarkStart w:id="560" w:name="_Toc233015378"/>
      <w:bookmarkStart w:id="561" w:name="_Toc232920332"/>
      <w:bookmarkStart w:id="562" w:name="_Toc232844180"/>
      <w:bookmarkStart w:id="563" w:name="_Toc232565315"/>
      <w:bookmarkStart w:id="564" w:name="_Toc232397846"/>
      <w:bookmarkStart w:id="565" w:name="_Toc202343341"/>
      <w:bookmarkStart w:id="566" w:name="_Toc202333858"/>
      <w:bookmarkStart w:id="567" w:name="_Toc202333510"/>
      <w:bookmarkStart w:id="568" w:name="_Toc202332719"/>
      <w:bookmarkStart w:id="569" w:name="_Toc201648085"/>
      <w:bookmarkStart w:id="570" w:name="_Toc198457668"/>
      <w:bookmarkStart w:id="571" w:name="_Toc198011898"/>
      <w:bookmarkStart w:id="572" w:name="_Toc176968960"/>
      <w:bookmarkStart w:id="573" w:name="_Toc176946988"/>
      <w:bookmarkStart w:id="574" w:name="_Toc176934301"/>
      <w:bookmarkStart w:id="575" w:name="_Toc176341939"/>
      <w:bookmarkStart w:id="576" w:name="_Toc176334620"/>
      <w:bookmarkStart w:id="577" w:name="_Toc175992481"/>
      <w:bookmarkStart w:id="578" w:name="_Toc175984177"/>
      <w:bookmarkStart w:id="579" w:name="_Toc175984114"/>
      <w:bookmarkStart w:id="580" w:name="_Toc174779396"/>
      <w:bookmarkStart w:id="581" w:name="_Toc174344091"/>
      <w:bookmarkStart w:id="582" w:name="_Toc174181128"/>
      <w:bookmarkStart w:id="583" w:name="_Toc174163285"/>
      <w:bookmarkStart w:id="584" w:name="_Toc174163186"/>
      <w:bookmarkStart w:id="585" w:name="_Toc174162962"/>
      <w:bookmarkStart w:id="586" w:name="_Toc173827238"/>
      <w:bookmarkStart w:id="587" w:name="_Toc170017040"/>
      <w:bookmarkStart w:id="588" w:name="_Toc170016961"/>
      <w:bookmarkStart w:id="589" w:name="_Toc170016913"/>
      <w:bookmarkStart w:id="590" w:name="_Toc167079127"/>
      <w:bookmarkStart w:id="591" w:name="_Toc167076254"/>
      <w:bookmarkStart w:id="592" w:name="_Toc150837802"/>
      <w:bookmarkStart w:id="593" w:name="_Toc150837622"/>
      <w:bookmarkStart w:id="594" w:name="_Toc150837102"/>
      <w:bookmarkStart w:id="595" w:name="_Toc150829309"/>
      <w:bookmarkStart w:id="596" w:name="_Toc150052838"/>
      <w:bookmarkStart w:id="597" w:name="_Toc149632701"/>
      <w:bookmarkStart w:id="598" w:name="_Toc149388740"/>
      <w:bookmarkStart w:id="599" w:name="_Toc149131419"/>
      <w:bookmarkStart w:id="600" w:name="_Toc148345179"/>
      <w:bookmarkStart w:id="601" w:name="_Toc127249251"/>
      <w:bookmarkStart w:id="602" w:name="_Toc127248580"/>
      <w:bookmarkStart w:id="603" w:name="_Toc126748341"/>
      <w:bookmarkStart w:id="604" w:name="_Toc126724826"/>
      <w:bookmarkStart w:id="605" w:name="_Toc126724540"/>
      <w:bookmarkStart w:id="606" w:name="_Toc126550115"/>
      <w:bookmarkStart w:id="607" w:name="_Toc126491624"/>
      <w:bookmarkStart w:id="608" w:name="_Toc126491515"/>
      <w:bookmarkStart w:id="609" w:name="_Toc125440966"/>
      <w:bookmarkStart w:id="610" w:name="_Toc125440921"/>
      <w:bookmarkStart w:id="611" w:name="_Toc125431735"/>
      <w:bookmarkStart w:id="612" w:name="_Toc125431681"/>
      <w:bookmarkStart w:id="613" w:name="_Toc125278851"/>
      <w:r w:rsidRPr="00617599">
        <w:rPr>
          <w:rFonts w:cs="Arial"/>
        </w:rPr>
        <w:t>Data presentation</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52A8756A" w14:textId="4017FA5D" w:rsidR="009303CD" w:rsidRPr="00617599" w:rsidRDefault="009303CD" w:rsidP="009303CD">
      <w:pPr>
        <w:pStyle w:val="NPESUbodytext"/>
        <w:rPr>
          <w:rFonts w:cs="Arial"/>
        </w:rPr>
      </w:pPr>
      <w:r w:rsidRPr="00617599">
        <w:rPr>
          <w:rFonts w:cs="Arial"/>
        </w:rPr>
        <w:t>Data presented in Chapters 2 to 6 are for treatment cycles and not patients. It is possible for an individual woman to undergo more than one treatment cycle in a year or experience more than one pregnancy. This means that information reported about patient characteristics, such as age, parity</w:t>
      </w:r>
      <w:r w:rsidR="00467622">
        <w:rPr>
          <w:rFonts w:cs="Arial"/>
        </w:rPr>
        <w:t>,</w:t>
      </w:r>
      <w:r w:rsidRPr="00617599">
        <w:rPr>
          <w:rFonts w:cs="Arial"/>
        </w:rPr>
        <w:t xml:space="preserve"> and cause of infertility, is based on calculations in which individuals may be counted more than once.</w:t>
      </w:r>
    </w:p>
    <w:p w14:paraId="23AD4C2F" w14:textId="71000D30" w:rsidR="009303CD" w:rsidRPr="00617599" w:rsidRDefault="009303CD" w:rsidP="009303CD">
      <w:pPr>
        <w:pStyle w:val="NPESUbodytext"/>
        <w:rPr>
          <w:rFonts w:cs="Arial"/>
        </w:rPr>
      </w:pPr>
      <w:r w:rsidRPr="00617599">
        <w:rPr>
          <w:rFonts w:cs="Arial"/>
        </w:rPr>
        <w:t xml:space="preserve">The rates of clinical pregnancy and live </w:t>
      </w:r>
      <w:r w:rsidR="00EC42AE">
        <w:rPr>
          <w:rFonts w:cs="Arial"/>
        </w:rPr>
        <w:t>birth</w:t>
      </w:r>
      <w:r w:rsidRPr="00617599">
        <w:rPr>
          <w:rFonts w:cs="Arial"/>
        </w:rPr>
        <w:t xml:space="preserve"> in Chapters 2 to 6 were measured per initiated cycle. Where the number of initiated cycles was not available, the rates were measured per embryo transfer cycle.</w:t>
      </w:r>
    </w:p>
    <w:p w14:paraId="0468FED6" w14:textId="23B87393" w:rsidR="009750E3" w:rsidRDefault="009303CD" w:rsidP="00360E75">
      <w:pPr>
        <w:pStyle w:val="NPESUbodytext"/>
        <w:rPr>
          <w:highlight w:val="yellow"/>
        </w:rPr>
      </w:pPr>
      <w:r w:rsidRPr="00617599">
        <w:rPr>
          <w:rFonts w:cs="Arial"/>
        </w:rPr>
        <w:t>Where applicable, percentages in tables have been calculated including the ‘Not stated’ category. Throughout the report, for totals, percentages may not add up to 100.0 and, for subtotals, they may not add up to the sum of the percentages for the categories. This is due to rounding error.</w:t>
      </w:r>
    </w:p>
    <w:p w14:paraId="0C01531C" w14:textId="7636A039" w:rsidR="009303CD" w:rsidRPr="00617599" w:rsidRDefault="009303CD" w:rsidP="009303CD">
      <w:pPr>
        <w:pStyle w:val="Heading2"/>
        <w:rPr>
          <w:rFonts w:cs="Arial"/>
        </w:rPr>
      </w:pPr>
      <w:bookmarkStart w:id="614" w:name="_Toc202343342"/>
      <w:bookmarkStart w:id="615" w:name="_Toc202333859"/>
      <w:bookmarkStart w:id="616" w:name="_Toc202333511"/>
      <w:bookmarkStart w:id="617" w:name="_Toc202332720"/>
      <w:bookmarkStart w:id="618" w:name="_Toc201648086"/>
      <w:bookmarkStart w:id="619" w:name="_Toc198457669"/>
      <w:bookmarkStart w:id="620" w:name="_Toc198011899"/>
      <w:bookmarkStart w:id="621" w:name="_Toc176968961"/>
      <w:bookmarkStart w:id="622" w:name="_Toc176946989"/>
      <w:bookmarkStart w:id="623" w:name="_Toc176934302"/>
      <w:bookmarkStart w:id="624" w:name="_Toc176341940"/>
      <w:bookmarkStart w:id="625" w:name="_Toc176334621"/>
      <w:bookmarkStart w:id="626" w:name="_Toc175992482"/>
      <w:bookmarkStart w:id="627" w:name="_Toc175984178"/>
      <w:bookmarkStart w:id="628" w:name="_Toc175984115"/>
      <w:bookmarkStart w:id="629" w:name="_Toc174779397"/>
      <w:bookmarkStart w:id="630" w:name="_Toc174344092"/>
      <w:bookmarkStart w:id="631" w:name="_Toc174181129"/>
      <w:bookmarkStart w:id="632" w:name="_Toc174163286"/>
      <w:bookmarkStart w:id="633" w:name="_Toc174163187"/>
      <w:bookmarkStart w:id="634" w:name="_Toc174162963"/>
      <w:bookmarkStart w:id="635" w:name="_Toc173827239"/>
      <w:bookmarkStart w:id="636" w:name="_Toc170017041"/>
      <w:bookmarkStart w:id="637" w:name="_Toc170016962"/>
      <w:bookmarkStart w:id="638" w:name="_Toc170016914"/>
      <w:bookmarkStart w:id="639" w:name="_Toc167079128"/>
      <w:bookmarkStart w:id="640" w:name="_Toc167076255"/>
      <w:bookmarkStart w:id="641" w:name="_Toc150837803"/>
      <w:bookmarkStart w:id="642" w:name="_Toc150837623"/>
      <w:bookmarkStart w:id="643" w:name="_Toc150837103"/>
      <w:bookmarkStart w:id="644" w:name="_Toc150829310"/>
      <w:bookmarkStart w:id="645" w:name="_Toc150052839"/>
      <w:bookmarkStart w:id="646" w:name="_Toc149632702"/>
      <w:bookmarkStart w:id="647" w:name="_Toc149388741"/>
      <w:bookmarkStart w:id="648" w:name="_Toc149131420"/>
      <w:bookmarkStart w:id="649" w:name="_Toc148345180"/>
      <w:bookmarkStart w:id="650" w:name="_Toc127249252"/>
      <w:bookmarkStart w:id="651" w:name="_Toc127248581"/>
      <w:bookmarkStart w:id="652" w:name="_Toc126748342"/>
      <w:bookmarkStart w:id="653" w:name="_Toc126724827"/>
      <w:bookmarkStart w:id="654" w:name="_Toc126724541"/>
      <w:bookmarkStart w:id="655" w:name="_Toc126550116"/>
      <w:bookmarkStart w:id="656" w:name="_Toc126491625"/>
      <w:bookmarkStart w:id="657" w:name="_Toc126491516"/>
      <w:bookmarkStart w:id="658" w:name="_Toc125440967"/>
      <w:bookmarkStart w:id="659" w:name="_Toc125440922"/>
      <w:bookmarkStart w:id="660" w:name="_Toc125431736"/>
      <w:bookmarkStart w:id="661" w:name="_Toc125431682"/>
      <w:bookmarkStart w:id="662" w:name="_Toc125278852"/>
      <w:bookmarkStart w:id="663" w:name="_Toc453061494"/>
      <w:bookmarkStart w:id="664" w:name="_Toc453059091"/>
      <w:bookmarkStart w:id="665" w:name="_Toc453057420"/>
      <w:bookmarkStart w:id="666" w:name="_Toc453055635"/>
      <w:bookmarkStart w:id="667" w:name="_Toc453054861"/>
      <w:bookmarkStart w:id="668" w:name="_Toc452112625"/>
      <w:bookmarkStart w:id="669" w:name="_Toc422408392"/>
      <w:bookmarkStart w:id="670" w:name="_Toc422220207"/>
      <w:bookmarkStart w:id="671" w:name="_Toc422219900"/>
      <w:bookmarkStart w:id="672" w:name="_Toc421699706"/>
      <w:bookmarkStart w:id="673" w:name="_Toc421692541"/>
      <w:bookmarkStart w:id="674" w:name="_Toc389646247"/>
      <w:bookmarkStart w:id="675" w:name="_Toc389646057"/>
      <w:bookmarkStart w:id="676" w:name="_Toc340648602"/>
      <w:bookmarkStart w:id="677" w:name="_Toc340571546"/>
      <w:bookmarkStart w:id="678" w:name="_Toc340497611"/>
      <w:bookmarkStart w:id="679" w:name="_Toc340225638"/>
      <w:bookmarkStart w:id="680" w:name="_Toc340224057"/>
      <w:bookmarkStart w:id="681" w:name="_Toc340223990"/>
      <w:bookmarkStart w:id="682" w:name="_Toc338150827"/>
      <w:bookmarkStart w:id="683" w:name="_Toc337718856"/>
      <w:bookmarkStart w:id="684" w:name="_Toc335985290"/>
      <w:bookmarkStart w:id="685" w:name="_Toc335985134"/>
      <w:bookmarkStart w:id="686" w:name="_Toc333226699"/>
      <w:bookmarkStart w:id="687" w:name="_Toc330404355"/>
      <w:bookmarkStart w:id="688" w:name="_Toc327351294"/>
      <w:bookmarkStart w:id="689" w:name="_Toc327282267"/>
      <w:bookmarkStart w:id="690" w:name="_Toc300481069"/>
      <w:bookmarkStart w:id="691" w:name="_Toc300236337"/>
      <w:bookmarkStart w:id="692" w:name="_Toc300234491"/>
      <w:bookmarkStart w:id="693" w:name="_Toc297042069"/>
      <w:bookmarkStart w:id="694" w:name="_Toc296951874"/>
      <w:bookmarkStart w:id="695" w:name="_Toc296692898"/>
      <w:bookmarkStart w:id="696" w:name="_Toc268079500"/>
      <w:bookmarkStart w:id="697" w:name="_Toc263854089"/>
      <w:bookmarkStart w:id="698" w:name="_Toc236735699"/>
      <w:bookmarkStart w:id="699" w:name="_Toc236732924"/>
      <w:bookmarkStart w:id="700" w:name="_Toc236712475"/>
      <w:bookmarkStart w:id="701" w:name="_Toc236562300"/>
      <w:bookmarkStart w:id="702" w:name="_Toc233600492"/>
      <w:bookmarkStart w:id="703" w:name="_Toc233520820"/>
      <w:bookmarkStart w:id="704" w:name="_Toc233452493"/>
      <w:bookmarkStart w:id="705" w:name="_Toc233440894"/>
      <w:bookmarkStart w:id="706" w:name="_Toc233015379"/>
      <w:bookmarkStart w:id="707" w:name="_Toc232920333"/>
      <w:bookmarkStart w:id="708" w:name="_Toc232844181"/>
      <w:bookmarkStart w:id="709" w:name="_Toc232565316"/>
      <w:bookmarkStart w:id="710" w:name="_Toc232397847"/>
      <w:r w:rsidRPr="00617599">
        <w:rPr>
          <w:rFonts w:cs="Arial"/>
        </w:rPr>
        <w:t>Data limitations</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29DDFE7D" w14:textId="3CD5A6C7" w:rsidR="009303CD" w:rsidRPr="00617599" w:rsidRDefault="009303CD" w:rsidP="009303CD">
      <w:pPr>
        <w:pStyle w:val="NPESUbodytext"/>
        <w:rPr>
          <w:rFonts w:cs="Arial"/>
        </w:rPr>
      </w:pPr>
      <w:r w:rsidRPr="00617599">
        <w:rPr>
          <w:rFonts w:cs="Arial"/>
        </w:rPr>
        <w:t xml:space="preserve">Follow-up of pregnancy and birth outcomes is limited because the ongoing care of pregnant patients is often carried out by non-ART practitioners. The method of follow-up varies by </w:t>
      </w:r>
      <w:r w:rsidRPr="00617599">
        <w:rPr>
          <w:rFonts w:cs="Arial"/>
        </w:rPr>
        <w:lastRenderedPageBreak/>
        <w:t xml:space="preserve">fertility centre and includes follow-up with the patient or </w:t>
      </w:r>
      <w:r w:rsidR="00553BE9" w:rsidRPr="00617599">
        <w:rPr>
          <w:rFonts w:cs="Arial"/>
        </w:rPr>
        <w:t>clinician,</w:t>
      </w:r>
      <w:r w:rsidRPr="00617599">
        <w:rPr>
          <w:rFonts w:cs="Arial"/>
        </w:rPr>
        <w:t xml:space="preserve"> or the use of routine data sourced from a health department. In a small proportion of cases this information is not available. For pregnancies in which there is successful follow-up, data are limited by the self-reported nature of the information. Fertility centre staff invest significant effort in validating such information by obtaining medical records from clinicians or hospitals. Data about previous ART treatment and history of pregnancies are, in some cases, reported by patients.</w:t>
      </w:r>
    </w:p>
    <w:p w14:paraId="0BA30273" w14:textId="56BE717A" w:rsidR="005441BC" w:rsidRPr="00293254" w:rsidRDefault="005441BC" w:rsidP="005441BC">
      <w:pPr>
        <w:pStyle w:val="AIHWbodytext"/>
        <w:rPr>
          <w:rFonts w:cs="Arial"/>
          <w:color w:val="auto"/>
        </w:rPr>
      </w:pPr>
      <w:r w:rsidRPr="20413307">
        <w:rPr>
          <w:rFonts w:cs="Arial"/>
          <w:color w:val="auto"/>
        </w:rPr>
        <w:t>Note that some contributing ART Units may have closed or changed their name since 202</w:t>
      </w:r>
      <w:r w:rsidR="00197CB6">
        <w:rPr>
          <w:rFonts w:cs="Arial"/>
          <w:color w:val="auto"/>
        </w:rPr>
        <w:t>1</w:t>
      </w:r>
      <w:r w:rsidRPr="20413307">
        <w:rPr>
          <w:rFonts w:cs="Arial"/>
          <w:color w:val="auto"/>
        </w:rPr>
        <w:t xml:space="preserve">. The </w:t>
      </w:r>
      <w:r>
        <w:rPr>
          <w:rFonts w:cs="Arial"/>
          <w:color w:val="auto"/>
        </w:rPr>
        <w:t>m</w:t>
      </w:r>
      <w:r w:rsidRPr="20413307">
        <w:rPr>
          <w:rFonts w:cs="Arial"/>
          <w:color w:val="auto"/>
        </w:rPr>
        <w:t xml:space="preserve">edical </w:t>
      </w:r>
      <w:r>
        <w:rPr>
          <w:rFonts w:cs="Arial"/>
          <w:color w:val="auto"/>
        </w:rPr>
        <w:t>d</w:t>
      </w:r>
      <w:r w:rsidRPr="20413307">
        <w:rPr>
          <w:rFonts w:cs="Arial"/>
          <w:color w:val="auto"/>
        </w:rPr>
        <w:t>irector listed is based on information provided by the FSANZ at the time this report was prepared.</w:t>
      </w:r>
    </w:p>
    <w:p w14:paraId="4478C66B" w14:textId="77777777" w:rsidR="009303CD" w:rsidRPr="00617599" w:rsidRDefault="009303CD" w:rsidP="009303CD">
      <w:pPr>
        <w:pStyle w:val="NPESUbodytext"/>
        <w:rPr>
          <w:rFonts w:cs="Arial"/>
          <w:highlight w:val="yellow"/>
        </w:rPr>
      </w:pPr>
    </w:p>
    <w:p w14:paraId="689C8557" w14:textId="77777777" w:rsidR="003A212B" w:rsidRPr="00293254" w:rsidRDefault="003A212B" w:rsidP="003A212B">
      <w:pPr>
        <w:pStyle w:val="Heading1"/>
        <w:tabs>
          <w:tab w:val="left" w:pos="7110"/>
        </w:tabs>
        <w:rPr>
          <w:rFonts w:cs="Arial"/>
        </w:rPr>
      </w:pPr>
      <w:bookmarkStart w:id="711" w:name="_Toc115262494"/>
      <w:bookmarkStart w:id="712" w:name="_Toc159568729"/>
      <w:bookmarkStart w:id="713" w:name="_Toc453054862"/>
      <w:bookmarkStart w:id="714" w:name="_Toc452112626"/>
      <w:r w:rsidRPr="00293254">
        <w:rPr>
          <w:rFonts w:cs="Arial"/>
        </w:rPr>
        <w:lastRenderedPageBreak/>
        <w:t>Glossary</w:t>
      </w:r>
      <w:bookmarkEnd w:id="711"/>
      <w:bookmarkEnd w:id="712"/>
    </w:p>
    <w:p w14:paraId="57B45304" w14:textId="77777777" w:rsidR="003A212B" w:rsidRPr="003A212B" w:rsidRDefault="003A212B" w:rsidP="003A212B">
      <w:pPr>
        <w:pStyle w:val="AIHWbodytext"/>
        <w:rPr>
          <w:rFonts w:cs="Arial"/>
          <w:color w:val="auto"/>
          <w:szCs w:val="22"/>
        </w:rPr>
      </w:pPr>
      <w:r w:rsidRPr="003A212B">
        <w:rPr>
          <w:rFonts w:cs="Arial"/>
          <w:color w:val="auto"/>
          <w:szCs w:val="22"/>
        </w:rPr>
        <w:t>This report categorises ART treatments according to whether a woman used her own oocytes or embryos, or oocytes or embryos were donated by another woman or couple, and whether the embryos were transferred soon after fertilisation or following cryopreservation.</w:t>
      </w:r>
    </w:p>
    <w:p w14:paraId="3BE1A1C9" w14:textId="77777777" w:rsidR="003A212B" w:rsidRPr="003A212B" w:rsidRDefault="003A212B" w:rsidP="003A212B">
      <w:pPr>
        <w:pStyle w:val="AIHWbodytext"/>
        <w:rPr>
          <w:rFonts w:cs="Arial"/>
          <w:color w:val="auto"/>
          <w:szCs w:val="22"/>
        </w:rPr>
      </w:pPr>
      <w:r w:rsidRPr="003A212B">
        <w:rPr>
          <w:rFonts w:cs="Arial"/>
          <w:b/>
          <w:color w:val="auto"/>
          <w:szCs w:val="22"/>
        </w:rPr>
        <w:t>Artificial insemination:</w:t>
      </w:r>
      <w:r w:rsidRPr="003A212B">
        <w:rPr>
          <w:rFonts w:cs="Arial"/>
          <w:color w:val="auto"/>
          <w:szCs w:val="22"/>
        </w:rPr>
        <w:t xml:space="preserve"> a range of techniques for placing sperm into the female genital tract and can be used with controlled ovarian hyperstimulation or in unstimulated cycles. These techniques are referred to as ‘donor insemination’ (DI) in this report.</w:t>
      </w:r>
    </w:p>
    <w:p w14:paraId="5A0873FC" w14:textId="77777777" w:rsidR="003A212B" w:rsidRPr="003A212B" w:rsidRDefault="003A212B" w:rsidP="003A212B">
      <w:pPr>
        <w:pStyle w:val="AIHWbodytext"/>
        <w:rPr>
          <w:rFonts w:cs="Arial"/>
          <w:color w:val="auto"/>
          <w:szCs w:val="22"/>
        </w:rPr>
      </w:pPr>
      <w:r w:rsidRPr="003A212B">
        <w:rPr>
          <w:rFonts w:cs="Arial"/>
          <w:b/>
          <w:bCs/>
          <w:color w:val="auto"/>
          <w:szCs w:val="22"/>
        </w:rPr>
        <w:t xml:space="preserve">ART (assisted reproductive technology): </w:t>
      </w:r>
      <w:r w:rsidRPr="003A212B">
        <w:rPr>
          <w:rFonts w:cs="Arial"/>
          <w:bCs/>
          <w:color w:val="auto"/>
          <w:szCs w:val="22"/>
        </w:rPr>
        <w:t xml:space="preserve">treatments or </w:t>
      </w:r>
      <w:r w:rsidRPr="003A212B">
        <w:rPr>
          <w:rFonts w:cs="Arial"/>
          <w:color w:val="auto"/>
          <w:szCs w:val="22"/>
        </w:rPr>
        <w:t>procedures that involve the in vitro handling of human oocytes (eggs) and sperm or embryos for the purposes of establishing a pregnancy. ART does not include artificial insemination.</w:t>
      </w:r>
    </w:p>
    <w:p w14:paraId="11566DD4" w14:textId="77777777" w:rsidR="003A212B" w:rsidRPr="003A212B" w:rsidRDefault="003A212B" w:rsidP="003A212B">
      <w:pPr>
        <w:pStyle w:val="AIHWbodytext"/>
        <w:rPr>
          <w:rFonts w:cs="Arial"/>
          <w:color w:val="auto"/>
          <w:szCs w:val="22"/>
        </w:rPr>
      </w:pPr>
      <w:r w:rsidRPr="003A212B">
        <w:rPr>
          <w:rFonts w:cs="Arial"/>
          <w:b/>
          <w:bCs/>
          <w:color w:val="auto"/>
          <w:szCs w:val="22"/>
        </w:rPr>
        <w:t xml:space="preserve">ART Unit: </w:t>
      </w:r>
      <w:r w:rsidRPr="003A212B">
        <w:rPr>
          <w:rFonts w:cs="Arial"/>
          <w:color w:val="auto"/>
          <w:szCs w:val="22"/>
        </w:rPr>
        <w:t xml:space="preserve">a facility with a laboratory collecting or preparing human gametes and/or embryos for therapeutic service, possibly across a range of sites of clinical activity. Where the collection of gametes/embryos takes place at a different site to the preparation, the two sites </w:t>
      </w:r>
      <w:bookmarkStart w:id="715" w:name="_Int_rOPRRkIR"/>
      <w:r w:rsidRPr="003A212B">
        <w:rPr>
          <w:rFonts w:cs="Arial"/>
          <w:color w:val="auto"/>
          <w:szCs w:val="22"/>
        </w:rPr>
        <w:t>are considered to be</w:t>
      </w:r>
      <w:bookmarkEnd w:id="715"/>
      <w:r w:rsidRPr="003A212B">
        <w:rPr>
          <w:rFonts w:cs="Arial"/>
          <w:color w:val="auto"/>
          <w:szCs w:val="22"/>
        </w:rPr>
        <w:t xml:space="preserve"> a single ART Unit.</w:t>
      </w:r>
    </w:p>
    <w:p w14:paraId="3BC02B58" w14:textId="77777777" w:rsidR="003A212B" w:rsidRPr="003A212B" w:rsidRDefault="003A212B" w:rsidP="003A212B">
      <w:pPr>
        <w:pStyle w:val="AIHWbodytext"/>
        <w:rPr>
          <w:rFonts w:cs="Arial"/>
          <w:color w:val="auto"/>
          <w:szCs w:val="22"/>
        </w:rPr>
      </w:pPr>
      <w:r w:rsidRPr="003A212B">
        <w:rPr>
          <w:rFonts w:cs="Arial"/>
          <w:b/>
          <w:bCs/>
          <w:color w:val="auto"/>
          <w:szCs w:val="22"/>
        </w:rPr>
        <w:t>Assisted hatching:</w:t>
      </w:r>
      <w:r w:rsidRPr="003A212B">
        <w:rPr>
          <w:rFonts w:cs="Arial"/>
          <w:color w:val="auto"/>
          <w:szCs w:val="22"/>
        </w:rPr>
        <w:t xml:space="preserve"> when the outer layer of the embryo, the zona pellucida, is either thinned or perforated in the laboratory to aid ‘hatching’ of the embryo, the aim being to potentially improve the chance of implantation in the uterus.</w:t>
      </w:r>
    </w:p>
    <w:p w14:paraId="564B93D4" w14:textId="77777777" w:rsidR="003A212B" w:rsidRPr="003A212B" w:rsidRDefault="003A212B" w:rsidP="003A212B">
      <w:pPr>
        <w:pStyle w:val="AIHWbodytext"/>
        <w:rPr>
          <w:rFonts w:cs="Arial"/>
          <w:color w:val="auto"/>
          <w:szCs w:val="22"/>
        </w:rPr>
      </w:pPr>
      <w:r w:rsidRPr="003A212B">
        <w:rPr>
          <w:rFonts w:cs="Arial"/>
          <w:b/>
          <w:color w:val="auto"/>
          <w:szCs w:val="22"/>
        </w:rPr>
        <w:t xml:space="preserve">Autologous cycle: </w:t>
      </w:r>
      <w:r w:rsidRPr="003A212B">
        <w:rPr>
          <w:rFonts w:cs="Arial"/>
          <w:color w:val="auto"/>
          <w:szCs w:val="22"/>
        </w:rPr>
        <w:t>an ART treatment cycle in which a woman intends to use, or uses, her own oocytes or embryos. GIFT cycles are classified separately from autologous cycles.</w:t>
      </w:r>
    </w:p>
    <w:p w14:paraId="2C730315" w14:textId="77777777" w:rsidR="003A212B" w:rsidRPr="003A212B" w:rsidRDefault="003A212B" w:rsidP="003A212B">
      <w:pPr>
        <w:pStyle w:val="AIHWbodytext"/>
        <w:rPr>
          <w:rFonts w:cs="Arial"/>
          <w:color w:val="auto"/>
          <w:szCs w:val="22"/>
        </w:rPr>
      </w:pPr>
      <w:r w:rsidRPr="003A212B">
        <w:rPr>
          <w:rFonts w:cs="Arial"/>
          <w:b/>
          <w:color w:val="auto"/>
          <w:szCs w:val="22"/>
        </w:rPr>
        <w:t>Birth:</w:t>
      </w:r>
      <w:r w:rsidRPr="003A212B">
        <w:rPr>
          <w:rFonts w:cs="Arial"/>
          <w:color w:val="auto"/>
          <w:szCs w:val="22"/>
        </w:rPr>
        <w:t xml:space="preserve"> a birth event in which one or more babies of 20 weeks or more gestation or of 400 grams or more birthweight is born, either liveborn or stillborn. </w:t>
      </w:r>
    </w:p>
    <w:p w14:paraId="534A1904" w14:textId="77777777" w:rsidR="003A212B" w:rsidRPr="003A212B" w:rsidRDefault="003A212B" w:rsidP="003A212B">
      <w:pPr>
        <w:pStyle w:val="AIHWbodytext"/>
        <w:rPr>
          <w:rFonts w:cs="Arial"/>
          <w:color w:val="auto"/>
          <w:szCs w:val="22"/>
        </w:rPr>
      </w:pPr>
      <w:r w:rsidRPr="003A212B">
        <w:rPr>
          <w:rFonts w:cs="Arial"/>
          <w:b/>
          <w:color w:val="auto"/>
          <w:szCs w:val="22"/>
        </w:rPr>
        <w:t>Blastocyst:</w:t>
      </w:r>
      <w:r w:rsidRPr="003A212B">
        <w:rPr>
          <w:rFonts w:cs="Arial"/>
          <w:color w:val="auto"/>
          <w:szCs w:val="22"/>
        </w:rPr>
        <w:t xml:space="preserve"> an embryo comprising around 100 cells usually developed by five or six days after fertilisation. </w:t>
      </w:r>
    </w:p>
    <w:p w14:paraId="5CAE86DE" w14:textId="77777777" w:rsidR="003A212B" w:rsidRPr="003A212B" w:rsidRDefault="003A212B" w:rsidP="003A212B">
      <w:pPr>
        <w:pStyle w:val="AIHWbodytext"/>
        <w:rPr>
          <w:rFonts w:cs="Arial"/>
          <w:color w:val="auto"/>
          <w:szCs w:val="22"/>
        </w:rPr>
      </w:pPr>
      <w:r w:rsidRPr="003A212B">
        <w:rPr>
          <w:rFonts w:cs="Arial"/>
          <w:b/>
          <w:color w:val="auto"/>
          <w:szCs w:val="22"/>
        </w:rPr>
        <w:t>Caesarean section:</w:t>
      </w:r>
      <w:r w:rsidRPr="003A212B">
        <w:rPr>
          <w:rFonts w:cs="Arial"/>
          <w:color w:val="auto"/>
          <w:szCs w:val="22"/>
        </w:rPr>
        <w:t xml:space="preserve"> an operative birth by surgical incision through the abdominal wall and uterus.</w:t>
      </w:r>
    </w:p>
    <w:p w14:paraId="2E78D960" w14:textId="77777777" w:rsidR="003A212B" w:rsidRPr="003A212B" w:rsidRDefault="003A212B" w:rsidP="003A212B">
      <w:pPr>
        <w:pStyle w:val="AIHWbodytext"/>
        <w:rPr>
          <w:rFonts w:cs="Arial"/>
          <w:color w:val="auto"/>
          <w:szCs w:val="22"/>
        </w:rPr>
      </w:pPr>
      <w:r w:rsidRPr="003A212B">
        <w:rPr>
          <w:rFonts w:cs="Arial"/>
          <w:b/>
          <w:color w:val="auto"/>
          <w:szCs w:val="22"/>
        </w:rPr>
        <w:t>Cleavage-stage embryo:</w:t>
      </w:r>
      <w:r w:rsidRPr="003A212B">
        <w:rPr>
          <w:rFonts w:cs="Arial"/>
          <w:color w:val="auto"/>
          <w:szCs w:val="22"/>
        </w:rPr>
        <w:t xml:space="preserve"> an embryo comprising about eight cells usually developed two to four days after fertilisation. </w:t>
      </w:r>
    </w:p>
    <w:p w14:paraId="6D3812D6" w14:textId="77777777" w:rsidR="003A212B" w:rsidRPr="003A212B" w:rsidRDefault="003A212B" w:rsidP="003A212B">
      <w:pPr>
        <w:pStyle w:val="AIHWbodytext"/>
        <w:rPr>
          <w:rFonts w:cs="Arial"/>
          <w:color w:val="auto"/>
          <w:szCs w:val="22"/>
        </w:rPr>
      </w:pPr>
      <w:r w:rsidRPr="003A212B">
        <w:rPr>
          <w:rFonts w:cs="Arial"/>
          <w:b/>
          <w:color w:val="auto"/>
          <w:szCs w:val="22"/>
        </w:rPr>
        <w:t>Clinical pregnancy:</w:t>
      </w:r>
      <w:r w:rsidRPr="003A212B">
        <w:rPr>
          <w:rFonts w:cs="Arial"/>
          <w:color w:val="auto"/>
          <w:szCs w:val="22"/>
        </w:rPr>
        <w:t xml:space="preserve"> a pregnancy in which at least one of the following criteria is met:</w:t>
      </w:r>
    </w:p>
    <w:p w14:paraId="1B378937" w14:textId="77777777" w:rsidR="003A212B" w:rsidRPr="003A212B" w:rsidRDefault="003A212B" w:rsidP="003A212B">
      <w:pPr>
        <w:pStyle w:val="Bullet1"/>
        <w:tabs>
          <w:tab w:val="clear" w:pos="360"/>
          <w:tab w:val="num" w:pos="397"/>
        </w:tabs>
        <w:spacing w:after="40"/>
        <w:ind w:left="397" w:hanging="397"/>
        <w:rPr>
          <w:rFonts w:cs="Arial"/>
          <w:szCs w:val="22"/>
        </w:rPr>
      </w:pPr>
      <w:r w:rsidRPr="003A212B">
        <w:rPr>
          <w:rFonts w:cs="Arial"/>
          <w:szCs w:val="22"/>
        </w:rPr>
        <w:t xml:space="preserve">known to be ongoing at 20 weeks </w:t>
      </w:r>
    </w:p>
    <w:p w14:paraId="3C97C4FE" w14:textId="77777777" w:rsidR="003A212B" w:rsidRPr="003A212B" w:rsidRDefault="003A212B" w:rsidP="003A212B">
      <w:pPr>
        <w:pStyle w:val="Bullet1"/>
        <w:tabs>
          <w:tab w:val="clear" w:pos="360"/>
          <w:tab w:val="num" w:pos="397"/>
        </w:tabs>
        <w:spacing w:after="40"/>
        <w:ind w:left="397" w:hanging="397"/>
        <w:rPr>
          <w:rFonts w:cs="Arial"/>
          <w:szCs w:val="22"/>
        </w:rPr>
      </w:pPr>
      <w:r w:rsidRPr="003A212B">
        <w:rPr>
          <w:rFonts w:cs="Arial"/>
          <w:szCs w:val="22"/>
        </w:rPr>
        <w:t xml:space="preserve">evidence by ultrasound of an intrauterine sac (with or without a fetal heart) </w:t>
      </w:r>
    </w:p>
    <w:p w14:paraId="256D1F17" w14:textId="77777777" w:rsidR="003A212B" w:rsidRPr="003A212B" w:rsidRDefault="003A212B" w:rsidP="003A212B">
      <w:pPr>
        <w:pStyle w:val="Bullet1"/>
        <w:tabs>
          <w:tab w:val="clear" w:pos="360"/>
          <w:tab w:val="num" w:pos="397"/>
        </w:tabs>
        <w:spacing w:after="40"/>
        <w:ind w:left="397" w:hanging="397"/>
        <w:rPr>
          <w:rFonts w:cs="Arial"/>
          <w:szCs w:val="22"/>
        </w:rPr>
      </w:pPr>
      <w:r w:rsidRPr="003A212B">
        <w:rPr>
          <w:rFonts w:cs="Arial"/>
          <w:szCs w:val="22"/>
        </w:rPr>
        <w:t xml:space="preserve">examination of products of conception reveals chorionic villi, or </w:t>
      </w:r>
    </w:p>
    <w:p w14:paraId="664E6E86" w14:textId="77777777" w:rsidR="003A212B" w:rsidRPr="003A212B" w:rsidRDefault="003A212B" w:rsidP="003A212B">
      <w:pPr>
        <w:pStyle w:val="Bullet1"/>
        <w:tabs>
          <w:tab w:val="clear" w:pos="360"/>
          <w:tab w:val="num" w:pos="397"/>
        </w:tabs>
        <w:spacing w:after="40"/>
        <w:ind w:left="397" w:hanging="397"/>
        <w:rPr>
          <w:rFonts w:cs="Arial"/>
          <w:szCs w:val="22"/>
        </w:rPr>
      </w:pPr>
      <w:r w:rsidRPr="003A212B">
        <w:rPr>
          <w:rFonts w:cs="Arial"/>
          <w:szCs w:val="22"/>
        </w:rPr>
        <w:t>an ectopic pregnancy has been diagnosed by laparoscope or by ultrasound.</w:t>
      </w:r>
    </w:p>
    <w:p w14:paraId="69F2FB38" w14:textId="77777777" w:rsidR="003A212B" w:rsidRPr="003A212B" w:rsidRDefault="003A212B" w:rsidP="003A212B">
      <w:pPr>
        <w:pStyle w:val="AIHWbodytext"/>
        <w:rPr>
          <w:rFonts w:cs="Arial"/>
          <w:color w:val="auto"/>
          <w:szCs w:val="22"/>
        </w:rPr>
      </w:pPr>
      <w:r w:rsidRPr="003A212B">
        <w:rPr>
          <w:rFonts w:cs="Arial"/>
          <w:b/>
          <w:color w:val="auto"/>
          <w:szCs w:val="22"/>
        </w:rPr>
        <w:t xml:space="preserve">Controlled ovarian hyperstimulation: </w:t>
      </w:r>
      <w:r w:rsidRPr="003A212B">
        <w:rPr>
          <w:rFonts w:cs="Arial"/>
          <w:color w:val="auto"/>
          <w:szCs w:val="22"/>
        </w:rPr>
        <w:t>medical treatment to induce the development of multiple ovarian follicles in order to obtain multiple oocytes at oocyte pick-up (OPU).</w:t>
      </w:r>
    </w:p>
    <w:p w14:paraId="299C8CCE" w14:textId="77777777" w:rsidR="003A212B" w:rsidRPr="003A212B" w:rsidRDefault="003A212B" w:rsidP="003A212B">
      <w:pPr>
        <w:pStyle w:val="AIHWbodytext"/>
        <w:rPr>
          <w:rFonts w:cs="Arial"/>
          <w:color w:val="auto"/>
          <w:szCs w:val="22"/>
        </w:rPr>
      </w:pPr>
      <w:r w:rsidRPr="003A212B">
        <w:rPr>
          <w:rFonts w:cs="Arial"/>
          <w:b/>
          <w:color w:val="auto"/>
          <w:szCs w:val="22"/>
        </w:rPr>
        <w:t xml:space="preserve">Cryopreservation: </w:t>
      </w:r>
      <w:r w:rsidRPr="003A212B">
        <w:rPr>
          <w:rFonts w:cs="Arial"/>
          <w:color w:val="auto"/>
          <w:szCs w:val="22"/>
        </w:rPr>
        <w:t>freezing embryos for potential future ART treatment.</w:t>
      </w:r>
    </w:p>
    <w:p w14:paraId="75D27F2B" w14:textId="77777777" w:rsidR="003A212B" w:rsidRPr="003A212B" w:rsidRDefault="003A212B" w:rsidP="003A212B">
      <w:pPr>
        <w:pStyle w:val="AIHWbodytext"/>
        <w:rPr>
          <w:rFonts w:cs="Arial"/>
          <w:b/>
          <w:color w:val="auto"/>
          <w:szCs w:val="22"/>
        </w:rPr>
      </w:pPr>
      <w:r w:rsidRPr="003A212B">
        <w:rPr>
          <w:rFonts w:cs="Arial"/>
          <w:b/>
          <w:color w:val="auto"/>
          <w:szCs w:val="22"/>
        </w:rPr>
        <w:t xml:space="preserve">Cycle: </w:t>
      </w:r>
      <w:r w:rsidRPr="003A212B">
        <w:rPr>
          <w:szCs w:val="22"/>
        </w:rPr>
        <w:t>when a medical procedure is attempted or takes place, or when certain laboratory procedures are undertaken. This is further broken down to specific terms, ‘treatment cycles’ and ‘lab-only cycles.’ Please refer to the glossary for definitions of these specific terms.</w:t>
      </w:r>
    </w:p>
    <w:p w14:paraId="276587A3" w14:textId="77777777" w:rsidR="003A212B" w:rsidRPr="003A212B" w:rsidRDefault="003A212B" w:rsidP="003A212B">
      <w:pPr>
        <w:pStyle w:val="AIHWbodytext"/>
        <w:rPr>
          <w:rFonts w:cs="Arial"/>
          <w:color w:val="auto"/>
          <w:szCs w:val="22"/>
        </w:rPr>
      </w:pPr>
      <w:r w:rsidRPr="003A212B">
        <w:rPr>
          <w:rFonts w:cs="Arial"/>
          <w:b/>
          <w:color w:val="auto"/>
          <w:szCs w:val="22"/>
        </w:rPr>
        <w:t>DI (donor insemination) cycle:</w:t>
      </w:r>
      <w:r w:rsidRPr="003A212B">
        <w:rPr>
          <w:rFonts w:cs="Arial"/>
          <w:color w:val="auto"/>
          <w:szCs w:val="22"/>
        </w:rPr>
        <w:t xml:space="preserve"> an artificial insemination cycle in which sperm not from the woman’s partner (donor sperm) is used.</w:t>
      </w:r>
    </w:p>
    <w:p w14:paraId="7D114B28" w14:textId="77777777" w:rsidR="003A212B" w:rsidRPr="003A212B" w:rsidRDefault="003A212B" w:rsidP="003A212B">
      <w:pPr>
        <w:pStyle w:val="AIHWbodytext"/>
        <w:rPr>
          <w:rFonts w:cs="Arial"/>
          <w:color w:val="auto"/>
          <w:szCs w:val="22"/>
        </w:rPr>
      </w:pPr>
      <w:r w:rsidRPr="003A212B">
        <w:rPr>
          <w:rFonts w:cs="Arial"/>
          <w:b/>
          <w:color w:val="auto"/>
          <w:szCs w:val="22"/>
        </w:rPr>
        <w:t xml:space="preserve">Discontinued cycle: </w:t>
      </w:r>
      <w:r w:rsidRPr="003A212B">
        <w:rPr>
          <w:rFonts w:cs="Arial"/>
          <w:color w:val="auto"/>
          <w:szCs w:val="22"/>
        </w:rPr>
        <w:t>an ART cycle that does not proceed to oocyte pick-up (OPU) or embryo transfer.</w:t>
      </w:r>
    </w:p>
    <w:p w14:paraId="1B7D40A9" w14:textId="63143CA5" w:rsidR="003A212B" w:rsidRPr="003A212B" w:rsidRDefault="003A212B" w:rsidP="003A212B">
      <w:pPr>
        <w:pStyle w:val="AIHWbodytext"/>
        <w:rPr>
          <w:rFonts w:cs="Arial"/>
          <w:color w:val="auto"/>
          <w:szCs w:val="22"/>
        </w:rPr>
      </w:pPr>
      <w:r w:rsidRPr="003A212B">
        <w:rPr>
          <w:rFonts w:cs="Arial"/>
          <w:b/>
          <w:color w:val="auto"/>
          <w:szCs w:val="22"/>
        </w:rPr>
        <w:lastRenderedPageBreak/>
        <w:t>Donation cycle:</w:t>
      </w:r>
      <w:r w:rsidRPr="003A212B">
        <w:rPr>
          <w:rFonts w:cs="Arial"/>
          <w:color w:val="auto"/>
          <w:szCs w:val="22"/>
        </w:rPr>
        <w:t xml:space="preserve"> </w:t>
      </w:r>
      <w:r w:rsidR="009C4128" w:rsidRPr="00293254">
        <w:rPr>
          <w:rFonts w:cs="Arial"/>
          <w:color w:val="auto"/>
        </w:rPr>
        <w:t xml:space="preserve">an ART treatment cycle where a </w:t>
      </w:r>
      <w:r w:rsidR="009C4128" w:rsidRPr="00A27753">
        <w:rPr>
          <w:rFonts w:cs="Arial"/>
          <w:color w:val="auto"/>
        </w:rPr>
        <w:t>female patient who is not an intending parent</w:t>
      </w:r>
      <w:r w:rsidR="009C4128">
        <w:rPr>
          <w:rFonts w:cs="Arial"/>
          <w:color w:val="auto"/>
        </w:rPr>
        <w:t>, intends to donate or</w:t>
      </w:r>
      <w:r w:rsidR="009C4128" w:rsidRPr="00A27753">
        <w:rPr>
          <w:rFonts w:cs="Arial"/>
          <w:color w:val="auto"/>
        </w:rPr>
        <w:t xml:space="preserve"> donates her oocytes</w:t>
      </w:r>
      <w:r w:rsidR="009C4128">
        <w:rPr>
          <w:rFonts w:cs="Arial"/>
          <w:color w:val="auto"/>
        </w:rPr>
        <w:t>/</w:t>
      </w:r>
      <w:r w:rsidR="009C4128" w:rsidRPr="0001457F">
        <w:rPr>
          <w:rFonts w:cs="Arial"/>
          <w:color w:val="auto"/>
        </w:rPr>
        <w:t>embryos</w:t>
      </w:r>
      <w:r w:rsidR="009C4128" w:rsidRPr="00A27753">
        <w:rPr>
          <w:rFonts w:cs="Arial"/>
          <w:color w:val="auto"/>
        </w:rPr>
        <w:t xml:space="preserve"> to others, or where a female intending parent provides oocytes</w:t>
      </w:r>
      <w:r w:rsidR="009C4128">
        <w:rPr>
          <w:rFonts w:cs="Arial"/>
          <w:color w:val="auto"/>
        </w:rPr>
        <w:t>/</w:t>
      </w:r>
      <w:r w:rsidR="009C4128" w:rsidRPr="0001457F">
        <w:rPr>
          <w:rFonts w:cs="Arial"/>
          <w:color w:val="auto"/>
        </w:rPr>
        <w:t>embryos</w:t>
      </w:r>
      <w:r w:rsidR="009C4128" w:rsidRPr="00A27753">
        <w:rPr>
          <w:rFonts w:cs="Arial"/>
          <w:color w:val="auto"/>
        </w:rPr>
        <w:t xml:space="preserve"> to a female partner who is also an intending </w:t>
      </w:r>
      <w:r w:rsidR="009C4128" w:rsidRPr="0001457F">
        <w:rPr>
          <w:rFonts w:cs="Arial"/>
        </w:rPr>
        <w:t>par</w:t>
      </w:r>
      <w:r w:rsidR="009C4128" w:rsidRPr="00A27753">
        <w:rPr>
          <w:rFonts w:cs="Arial"/>
          <w:color w:val="auto"/>
        </w:rPr>
        <w:t>ent</w:t>
      </w:r>
      <w:r w:rsidR="009C4128" w:rsidRPr="00293254">
        <w:rPr>
          <w:rFonts w:cs="Arial"/>
          <w:color w:val="auto"/>
        </w:rPr>
        <w:t>. A donation cycle may result in the donation of either oocytes or embryos to a recipient</w:t>
      </w:r>
      <w:r w:rsidR="009C4128">
        <w:rPr>
          <w:rFonts w:cs="Arial"/>
          <w:color w:val="auto"/>
        </w:rPr>
        <w:t>(s)</w:t>
      </w:r>
      <w:r w:rsidR="009C4128" w:rsidRPr="00293254">
        <w:rPr>
          <w:rFonts w:cs="Arial"/>
          <w:color w:val="auto"/>
        </w:rPr>
        <w:t xml:space="preserve">. The use of donor sperm does not alter the donor status of the cycle. </w:t>
      </w:r>
    </w:p>
    <w:p w14:paraId="2F264214" w14:textId="77777777" w:rsidR="003A212B" w:rsidRPr="003A212B" w:rsidRDefault="003A212B" w:rsidP="003A212B">
      <w:pPr>
        <w:pStyle w:val="AIHWbodytext"/>
        <w:rPr>
          <w:rFonts w:cs="Arial"/>
          <w:color w:val="auto"/>
          <w:szCs w:val="22"/>
        </w:rPr>
      </w:pPr>
      <w:r w:rsidRPr="003A212B">
        <w:rPr>
          <w:rFonts w:cs="Arial"/>
          <w:b/>
          <w:color w:val="auto"/>
          <w:szCs w:val="22"/>
        </w:rPr>
        <w:t xml:space="preserve">Ectopic pregnancy: </w:t>
      </w:r>
      <w:r w:rsidRPr="003A212B">
        <w:rPr>
          <w:rFonts w:cs="Arial"/>
          <w:color w:val="auto"/>
          <w:szCs w:val="22"/>
        </w:rPr>
        <w:t xml:space="preserve">a pregnancy in which implantation takes place outside the uterine cavity. </w:t>
      </w:r>
    </w:p>
    <w:p w14:paraId="69C1B2F5" w14:textId="77777777" w:rsidR="003A212B" w:rsidRPr="003A212B" w:rsidRDefault="003A212B" w:rsidP="003A212B">
      <w:pPr>
        <w:pStyle w:val="AIHWbodytext"/>
        <w:rPr>
          <w:rFonts w:cs="Arial"/>
          <w:color w:val="auto"/>
          <w:szCs w:val="22"/>
        </w:rPr>
      </w:pPr>
      <w:r w:rsidRPr="003A212B">
        <w:rPr>
          <w:rFonts w:cs="Arial"/>
          <w:b/>
          <w:color w:val="auto"/>
          <w:szCs w:val="22"/>
        </w:rPr>
        <w:t xml:space="preserve">Embryo: </w:t>
      </w:r>
      <w:r w:rsidRPr="003A212B">
        <w:rPr>
          <w:rFonts w:cs="Arial"/>
          <w:color w:val="auto"/>
          <w:szCs w:val="22"/>
        </w:rPr>
        <w:t>an egg that has been fertilised by a sperm and has undergone one or more divisions.</w:t>
      </w:r>
    </w:p>
    <w:p w14:paraId="46FB5BF6" w14:textId="77777777" w:rsidR="003A212B" w:rsidRPr="003A212B" w:rsidRDefault="003A212B" w:rsidP="003A212B">
      <w:pPr>
        <w:pStyle w:val="AIHWbodytext"/>
        <w:rPr>
          <w:rFonts w:cs="Arial"/>
          <w:b/>
          <w:color w:val="auto"/>
          <w:szCs w:val="22"/>
        </w:rPr>
      </w:pPr>
      <w:r w:rsidRPr="003A212B">
        <w:rPr>
          <w:rFonts w:cs="Arial"/>
          <w:b/>
          <w:color w:val="auto"/>
          <w:szCs w:val="22"/>
        </w:rPr>
        <w:t>Embryo transfer:</w:t>
      </w:r>
      <w:r w:rsidRPr="003A212B">
        <w:rPr>
          <w:rFonts w:cs="Arial"/>
          <w:color w:val="auto"/>
          <w:szCs w:val="22"/>
        </w:rPr>
        <w:t xml:space="preserve"> a procedure whereby embryo(s) are placed in the uterus or fallopian tube. The embryo(s) can be fresh or thawed following cryopreservation and may include the transfer of cleavage-stage embryos or blastocysts. </w:t>
      </w:r>
    </w:p>
    <w:p w14:paraId="3403C8FB" w14:textId="77777777" w:rsidR="003A212B" w:rsidRPr="003A212B" w:rsidRDefault="003A212B" w:rsidP="003A212B">
      <w:pPr>
        <w:pStyle w:val="AIHWbodytext"/>
        <w:rPr>
          <w:rFonts w:cs="Arial"/>
          <w:b/>
          <w:color w:val="auto"/>
          <w:szCs w:val="22"/>
        </w:rPr>
      </w:pPr>
      <w:r w:rsidRPr="003A212B">
        <w:rPr>
          <w:rFonts w:cs="Arial"/>
          <w:b/>
          <w:iCs/>
          <w:color w:val="auto"/>
          <w:szCs w:val="22"/>
        </w:rPr>
        <w:t>Freeze-all (freeze-only)</w:t>
      </w:r>
      <w:r w:rsidRPr="003A212B">
        <w:rPr>
          <w:rFonts w:cs="Arial"/>
          <w:b/>
          <w:i/>
          <w:color w:val="auto"/>
          <w:szCs w:val="22"/>
        </w:rPr>
        <w:t xml:space="preserve"> </w:t>
      </w:r>
      <w:r w:rsidRPr="003A212B">
        <w:rPr>
          <w:rFonts w:cs="Arial"/>
          <w:b/>
          <w:color w:val="auto"/>
          <w:szCs w:val="22"/>
        </w:rPr>
        <w:t>cycle:</w:t>
      </w:r>
      <w:r w:rsidRPr="003A212B">
        <w:rPr>
          <w:rFonts w:cs="Arial"/>
          <w:color w:val="auto"/>
          <w:szCs w:val="22"/>
        </w:rPr>
        <w:t xml:space="preserve"> a fresh cycle where all oocytes or embryos that are potentially suitable for transfer are cryopreserved for potential future use. </w:t>
      </w:r>
    </w:p>
    <w:p w14:paraId="10420C25" w14:textId="77777777" w:rsidR="003A212B" w:rsidRPr="003A212B" w:rsidRDefault="003A212B" w:rsidP="003A212B">
      <w:pPr>
        <w:pStyle w:val="AIHWbodytext"/>
        <w:rPr>
          <w:rFonts w:cs="Arial"/>
          <w:b/>
          <w:color w:val="auto"/>
          <w:szCs w:val="22"/>
        </w:rPr>
      </w:pPr>
      <w:r w:rsidRPr="003A212B">
        <w:rPr>
          <w:rFonts w:cs="Arial"/>
          <w:b/>
          <w:color w:val="auto"/>
          <w:szCs w:val="22"/>
        </w:rPr>
        <w:t>Fresh cycle:</w:t>
      </w:r>
      <w:r w:rsidRPr="003A212B">
        <w:rPr>
          <w:rFonts w:cs="Arial"/>
          <w:color w:val="auto"/>
          <w:szCs w:val="22"/>
        </w:rPr>
        <w:t xml:space="preserve"> an ART treatment cycle that intends to use, or uses, embryo(s) that have not been cryopreserved (frozen). </w:t>
      </w:r>
    </w:p>
    <w:p w14:paraId="50D89B71" w14:textId="77777777" w:rsidR="003A212B" w:rsidRPr="003A212B" w:rsidRDefault="003A212B" w:rsidP="003A212B">
      <w:pPr>
        <w:pStyle w:val="AIHWbodytext"/>
        <w:rPr>
          <w:rFonts w:cs="Arial"/>
          <w:color w:val="auto"/>
          <w:szCs w:val="22"/>
        </w:rPr>
      </w:pPr>
      <w:r w:rsidRPr="003A212B">
        <w:rPr>
          <w:rFonts w:cs="Arial"/>
          <w:b/>
          <w:color w:val="auto"/>
          <w:szCs w:val="22"/>
        </w:rPr>
        <w:t>Gestational age:</w:t>
      </w:r>
      <w:r w:rsidRPr="003A212B">
        <w:rPr>
          <w:rFonts w:cs="Arial"/>
          <w:color w:val="auto"/>
          <w:szCs w:val="22"/>
        </w:rPr>
        <w:t xml:space="preserve"> the completed weeks of gestation of the fetus. This is calculated as follows:</w:t>
      </w:r>
    </w:p>
    <w:p w14:paraId="20D01A24" w14:textId="77777777" w:rsidR="003A212B" w:rsidRPr="003A212B" w:rsidRDefault="003A212B" w:rsidP="003A212B">
      <w:pPr>
        <w:pStyle w:val="Bullet1"/>
        <w:tabs>
          <w:tab w:val="clear" w:pos="360"/>
          <w:tab w:val="num" w:pos="397"/>
        </w:tabs>
        <w:spacing w:after="40"/>
        <w:ind w:left="397" w:hanging="397"/>
        <w:rPr>
          <w:rFonts w:cs="Arial"/>
          <w:szCs w:val="22"/>
        </w:rPr>
      </w:pPr>
      <w:r w:rsidRPr="003A212B">
        <w:rPr>
          <w:rFonts w:cs="Arial"/>
          <w:szCs w:val="22"/>
        </w:rPr>
        <w:t>cycles with embryos transferred: (pregnancy end date – embryo transfer date + 16 days) for transfer of cleavage-stage embryos and (pregnancy end date – embryo transfer date + 19 days) for transfer of blastocysts</w:t>
      </w:r>
    </w:p>
    <w:p w14:paraId="6A87939E" w14:textId="77777777" w:rsidR="003A212B" w:rsidRPr="003A212B" w:rsidRDefault="003A212B" w:rsidP="003A212B">
      <w:pPr>
        <w:pStyle w:val="Bullet1"/>
        <w:tabs>
          <w:tab w:val="clear" w:pos="360"/>
          <w:tab w:val="num" w:pos="397"/>
        </w:tabs>
        <w:spacing w:after="40"/>
        <w:ind w:left="397" w:hanging="397"/>
        <w:rPr>
          <w:rFonts w:cs="Arial"/>
          <w:szCs w:val="22"/>
        </w:rPr>
      </w:pPr>
      <w:r w:rsidRPr="003A212B">
        <w:rPr>
          <w:rFonts w:cs="Arial"/>
          <w:szCs w:val="22"/>
        </w:rPr>
        <w:t>GIFT cycles: (pregnancy end date – OPU date) + 14 days</w:t>
      </w:r>
    </w:p>
    <w:p w14:paraId="6E370B9B" w14:textId="77777777" w:rsidR="003A212B" w:rsidRPr="003A212B" w:rsidRDefault="003A212B" w:rsidP="003A212B">
      <w:pPr>
        <w:pStyle w:val="Bullet1"/>
        <w:tabs>
          <w:tab w:val="clear" w:pos="360"/>
          <w:tab w:val="num" w:pos="397"/>
        </w:tabs>
        <w:spacing w:after="40"/>
        <w:ind w:left="397" w:hanging="397"/>
        <w:rPr>
          <w:rFonts w:cs="Arial"/>
          <w:szCs w:val="22"/>
        </w:rPr>
      </w:pPr>
      <w:r w:rsidRPr="003A212B">
        <w:rPr>
          <w:rFonts w:cs="Arial"/>
          <w:szCs w:val="22"/>
        </w:rPr>
        <w:t>DI cycles: (pregnancy end date – date of insemination) + 14 days.</w:t>
      </w:r>
    </w:p>
    <w:p w14:paraId="50C53923" w14:textId="77777777" w:rsidR="003A212B" w:rsidRPr="003A212B" w:rsidRDefault="003A212B" w:rsidP="003A212B">
      <w:pPr>
        <w:pStyle w:val="AIHWbodytext"/>
        <w:rPr>
          <w:rFonts w:cs="Arial"/>
          <w:color w:val="auto"/>
          <w:szCs w:val="22"/>
        </w:rPr>
      </w:pPr>
      <w:r w:rsidRPr="003A212B">
        <w:rPr>
          <w:rFonts w:cs="Arial"/>
          <w:b/>
          <w:color w:val="auto"/>
          <w:szCs w:val="22"/>
        </w:rPr>
        <w:t>GIFT</w:t>
      </w:r>
      <w:r w:rsidRPr="003A212B">
        <w:rPr>
          <w:rFonts w:cs="Arial"/>
          <w:b/>
          <w:bCs/>
          <w:color w:val="auto"/>
          <w:szCs w:val="22"/>
        </w:rPr>
        <w:t xml:space="preserve"> (gamete intrafallopian transfer)</w:t>
      </w:r>
      <w:r w:rsidRPr="003A212B">
        <w:rPr>
          <w:rFonts w:cs="Arial"/>
          <w:b/>
          <w:color w:val="auto"/>
          <w:szCs w:val="22"/>
        </w:rPr>
        <w:t>:</w:t>
      </w:r>
      <w:r w:rsidRPr="003A212B">
        <w:rPr>
          <w:rFonts w:cs="Arial"/>
          <w:color w:val="auto"/>
          <w:szCs w:val="22"/>
        </w:rPr>
        <w:t xml:space="preserve"> an ART treatment where mature oocytes and sperm are placed directly into a woman’s fallopian tubes so that in vivo fertilisation may take place. GIFT cycles are classified separately from autologous cycles.</w:t>
      </w:r>
    </w:p>
    <w:p w14:paraId="392DC90F" w14:textId="77777777" w:rsidR="003A212B" w:rsidRPr="003A212B" w:rsidRDefault="003A212B" w:rsidP="003A212B">
      <w:pPr>
        <w:pStyle w:val="AIHWbodytext"/>
        <w:rPr>
          <w:rFonts w:cs="Arial"/>
          <w:color w:val="auto"/>
          <w:szCs w:val="22"/>
        </w:rPr>
      </w:pPr>
      <w:r w:rsidRPr="003A212B">
        <w:rPr>
          <w:rFonts w:cs="Arial"/>
          <w:b/>
          <w:color w:val="auto"/>
          <w:szCs w:val="22"/>
        </w:rPr>
        <w:t>Heterotopic pregnancy:</w:t>
      </w:r>
      <w:r w:rsidRPr="003A212B">
        <w:rPr>
          <w:rFonts w:cs="Arial"/>
          <w:color w:val="auto"/>
          <w:szCs w:val="22"/>
        </w:rPr>
        <w:t xml:space="preserve"> a double gestation pregnancy in which implantation takes place both inside and outside the uterine cavity.</w:t>
      </w:r>
    </w:p>
    <w:p w14:paraId="2C871A05" w14:textId="77777777" w:rsidR="003A212B" w:rsidRPr="003A212B" w:rsidRDefault="003A212B" w:rsidP="003A212B">
      <w:pPr>
        <w:pStyle w:val="AIHWbodytext"/>
        <w:rPr>
          <w:rFonts w:cs="Arial"/>
          <w:color w:val="auto"/>
          <w:szCs w:val="22"/>
        </w:rPr>
      </w:pPr>
      <w:r w:rsidRPr="003A212B">
        <w:rPr>
          <w:rFonts w:cs="Arial"/>
          <w:b/>
          <w:color w:val="auto"/>
          <w:szCs w:val="22"/>
        </w:rPr>
        <w:t>ICSI (intracytoplasmic sperm injection):</w:t>
      </w:r>
      <w:r w:rsidRPr="003A212B">
        <w:rPr>
          <w:rFonts w:cs="Arial"/>
          <w:color w:val="auto"/>
          <w:szCs w:val="22"/>
        </w:rPr>
        <w:t xml:space="preserve"> a procedure whereby a single sperm is injected directly into the oocyte to aid fertilisation. If an embryo transfer cycle involves the transfer of at least one embryo created using ICSI, it is counted as an ICSI cycle. </w:t>
      </w:r>
    </w:p>
    <w:p w14:paraId="55FDF5ED" w14:textId="77777777" w:rsidR="003A212B" w:rsidRPr="003A212B" w:rsidRDefault="003A212B" w:rsidP="003A212B">
      <w:pPr>
        <w:pStyle w:val="AIHWbodytext"/>
        <w:rPr>
          <w:rFonts w:cs="Arial"/>
          <w:b/>
          <w:color w:val="auto"/>
          <w:szCs w:val="22"/>
        </w:rPr>
      </w:pPr>
      <w:r w:rsidRPr="003A212B">
        <w:rPr>
          <w:rFonts w:cs="Arial"/>
          <w:b/>
          <w:color w:val="auto"/>
          <w:szCs w:val="22"/>
        </w:rPr>
        <w:t xml:space="preserve">IVF (in vitro fertilisation): </w:t>
      </w:r>
      <w:r w:rsidRPr="003A212B">
        <w:rPr>
          <w:rFonts w:cs="Arial"/>
          <w:color w:val="auto"/>
          <w:szCs w:val="22"/>
        </w:rPr>
        <w:t>an ART procedure that involves extracorporeal fertilisation.</w:t>
      </w:r>
    </w:p>
    <w:p w14:paraId="0AD06336" w14:textId="77777777" w:rsidR="003A212B" w:rsidRPr="003A212B" w:rsidRDefault="003A212B" w:rsidP="003A212B">
      <w:pPr>
        <w:pStyle w:val="Default"/>
        <w:rPr>
          <w:color w:val="auto"/>
          <w:sz w:val="22"/>
          <w:szCs w:val="22"/>
          <w:lang w:eastAsia="en-US"/>
        </w:rPr>
      </w:pPr>
      <w:r w:rsidRPr="003A212B">
        <w:rPr>
          <w:b/>
          <w:color w:val="auto"/>
          <w:sz w:val="22"/>
          <w:szCs w:val="22"/>
        </w:rPr>
        <w:t xml:space="preserve">Lab-only cycle: </w:t>
      </w:r>
      <w:r w:rsidRPr="003A212B">
        <w:rPr>
          <w:color w:val="auto"/>
          <w:sz w:val="22"/>
          <w:szCs w:val="22"/>
          <w:lang w:eastAsia="en-US"/>
        </w:rPr>
        <w:t xml:space="preserve">involves a laboratory procedure with no planned patient involvement and includes the following scenarios: </w:t>
      </w:r>
    </w:p>
    <w:p w14:paraId="777AC77C" w14:textId="77777777" w:rsidR="003A212B" w:rsidRPr="003A212B" w:rsidRDefault="003A212B" w:rsidP="00814AD1">
      <w:pPr>
        <w:pStyle w:val="Default"/>
        <w:numPr>
          <w:ilvl w:val="0"/>
          <w:numId w:val="30"/>
        </w:numPr>
        <w:rPr>
          <w:color w:val="auto"/>
          <w:sz w:val="22"/>
          <w:szCs w:val="22"/>
          <w:lang w:eastAsia="en-US"/>
        </w:rPr>
      </w:pPr>
      <w:r w:rsidRPr="003A212B">
        <w:rPr>
          <w:color w:val="auto"/>
          <w:sz w:val="22"/>
          <w:szCs w:val="22"/>
          <w:lang w:eastAsia="en-US"/>
        </w:rPr>
        <w:t xml:space="preserve">receipt of donor oocytes with the intention of fertilisation and freezing of all resulting embryos </w:t>
      </w:r>
    </w:p>
    <w:p w14:paraId="3C43DB14" w14:textId="77777777" w:rsidR="003A212B" w:rsidRPr="003A212B" w:rsidRDefault="003A212B" w:rsidP="00814AD1">
      <w:pPr>
        <w:pStyle w:val="Default"/>
        <w:numPr>
          <w:ilvl w:val="0"/>
          <w:numId w:val="30"/>
        </w:numPr>
        <w:rPr>
          <w:color w:val="auto"/>
          <w:sz w:val="22"/>
          <w:szCs w:val="22"/>
          <w:lang w:eastAsia="en-US"/>
        </w:rPr>
      </w:pPr>
      <w:r w:rsidRPr="003A212B">
        <w:rPr>
          <w:color w:val="auto"/>
          <w:sz w:val="22"/>
          <w:szCs w:val="22"/>
          <w:lang w:eastAsia="en-US"/>
        </w:rPr>
        <w:t xml:space="preserve">attempted/actual oocyte thaw with intention of fertilisation and freezing of all resulting embryos </w:t>
      </w:r>
    </w:p>
    <w:p w14:paraId="12387200" w14:textId="77777777" w:rsidR="003A212B" w:rsidRPr="000D75B4" w:rsidRDefault="003A212B" w:rsidP="00814AD1">
      <w:pPr>
        <w:pStyle w:val="Default"/>
        <w:numPr>
          <w:ilvl w:val="0"/>
          <w:numId w:val="30"/>
        </w:numPr>
        <w:rPr>
          <w:color w:val="auto"/>
          <w:sz w:val="22"/>
          <w:szCs w:val="22"/>
        </w:rPr>
      </w:pPr>
      <w:r w:rsidRPr="003A212B">
        <w:rPr>
          <w:color w:val="auto"/>
          <w:sz w:val="22"/>
          <w:szCs w:val="22"/>
          <w:lang w:eastAsia="en-US"/>
        </w:rPr>
        <w:t xml:space="preserve">PGT cycles where embryos are thawed and refrozen with no intention of embryo transfer in the reported cycle. </w:t>
      </w:r>
    </w:p>
    <w:p w14:paraId="1A7A1469" w14:textId="77777777" w:rsidR="003A212B" w:rsidRPr="003A212B" w:rsidRDefault="003A212B" w:rsidP="003A212B">
      <w:pPr>
        <w:pStyle w:val="AIHWbodytext"/>
        <w:rPr>
          <w:rFonts w:ascii="Open Sans" w:hAnsi="Open Sans" w:cs="Open Sans"/>
          <w:color w:val="212529"/>
          <w:szCs w:val="22"/>
          <w:shd w:val="clear" w:color="auto" w:fill="FFFFFF"/>
        </w:rPr>
      </w:pPr>
      <w:r w:rsidRPr="003A212B">
        <w:rPr>
          <w:rFonts w:cs="Arial"/>
          <w:b/>
          <w:bCs/>
          <w:color w:val="auto"/>
          <w:szCs w:val="22"/>
        </w:rPr>
        <w:t xml:space="preserve">Live birth: </w:t>
      </w:r>
      <w:r w:rsidRPr="003A212B">
        <w:rPr>
          <w:rFonts w:cs="Arial"/>
          <w:color w:val="auto"/>
          <w:szCs w:val="22"/>
        </w:rPr>
        <w:t xml:space="preserve">according to the World Health Organization (WHO) definition, a live birth is defined as “the complete expulsion or extraction from the mother of a baby, irrespective of the duration of the pregnancy, which, after such separation, breathes or shows any other evidence of life, such as beating of the heart, pulsation of the umbilical cord, or definite movement of the voluntary muscles, whether or not the umbilical cord has been cut or the placenta is attached. Each product of such a birth is considered liveborn” (AIHW 2022). In this report, live births are included if they meet the WHO definition and if they are of 20 </w:t>
      </w:r>
      <w:r w:rsidRPr="003A212B">
        <w:rPr>
          <w:rFonts w:cs="Arial"/>
          <w:color w:val="auto"/>
          <w:szCs w:val="22"/>
        </w:rPr>
        <w:lastRenderedPageBreak/>
        <w:t>weeks or more gestation or 400 grams or more birthweight. Live births are counted as birth events, e.g. the birth of one or more liveborn infants. For example, where a multiple birth (twins, triplets) results in a liveborn and a stillborn baby, this is still considered one live birth.</w:t>
      </w:r>
    </w:p>
    <w:p w14:paraId="586DD2A4" w14:textId="77777777" w:rsidR="003A212B" w:rsidRPr="003A212B" w:rsidRDefault="003A212B" w:rsidP="003A212B">
      <w:pPr>
        <w:pStyle w:val="AIHWbodytext"/>
        <w:rPr>
          <w:rFonts w:cs="Arial"/>
          <w:color w:val="auto"/>
          <w:szCs w:val="22"/>
        </w:rPr>
      </w:pPr>
      <w:r w:rsidRPr="003A212B">
        <w:rPr>
          <w:rFonts w:cs="Arial"/>
          <w:b/>
          <w:color w:val="auto"/>
          <w:szCs w:val="22"/>
        </w:rPr>
        <w:t>Low birthweight:</w:t>
      </w:r>
      <w:r w:rsidRPr="003A212B">
        <w:rPr>
          <w:rFonts w:cs="Arial"/>
          <w:color w:val="auto"/>
          <w:szCs w:val="22"/>
        </w:rPr>
        <w:t xml:space="preserve"> a birthweight of less than 2,500 grams.</w:t>
      </w:r>
    </w:p>
    <w:p w14:paraId="0836B6E5" w14:textId="77777777" w:rsidR="003A212B" w:rsidRPr="003A212B" w:rsidRDefault="003A212B" w:rsidP="003A212B">
      <w:pPr>
        <w:pStyle w:val="AIHWbodytext"/>
        <w:rPr>
          <w:rFonts w:cs="Arial"/>
          <w:color w:val="auto"/>
          <w:szCs w:val="22"/>
        </w:rPr>
      </w:pPr>
      <w:r w:rsidRPr="003A212B">
        <w:rPr>
          <w:rFonts w:cs="Arial"/>
          <w:b/>
          <w:color w:val="auto"/>
          <w:szCs w:val="22"/>
        </w:rPr>
        <w:t>Nulliparous:</w:t>
      </w:r>
      <w:r w:rsidRPr="003A212B">
        <w:rPr>
          <w:rFonts w:cs="Arial"/>
          <w:color w:val="auto"/>
          <w:szCs w:val="22"/>
        </w:rPr>
        <w:t xml:space="preserve"> refers to a woman who has never had a pregnancy of 20 weeks or more gestation. </w:t>
      </w:r>
    </w:p>
    <w:p w14:paraId="36133673" w14:textId="77777777" w:rsidR="003A212B" w:rsidRPr="003A212B" w:rsidRDefault="003A212B" w:rsidP="003A212B">
      <w:pPr>
        <w:pStyle w:val="AIHWbodytext"/>
        <w:rPr>
          <w:rFonts w:cs="Arial"/>
          <w:color w:val="auto"/>
          <w:szCs w:val="22"/>
        </w:rPr>
      </w:pPr>
      <w:r w:rsidRPr="003A212B">
        <w:rPr>
          <w:rFonts w:cs="Arial"/>
          <w:b/>
          <w:color w:val="auto"/>
          <w:szCs w:val="22"/>
        </w:rPr>
        <w:t xml:space="preserve">OHSS (ovarian hyperstimulation syndrome): </w:t>
      </w:r>
      <w:r w:rsidRPr="003A212B">
        <w:rPr>
          <w:rFonts w:cs="Arial"/>
          <w:color w:val="auto"/>
          <w:szCs w:val="22"/>
        </w:rPr>
        <w:t>the complication of ovulation stimulation therapy, which involves the administration of follicle stimulating hormone (FSH). OHSS symptoms include abdominal pain and fluid retention.</w:t>
      </w:r>
    </w:p>
    <w:p w14:paraId="1A1CA9A7" w14:textId="77777777" w:rsidR="003A212B" w:rsidRPr="003A212B" w:rsidRDefault="003A212B" w:rsidP="003A212B">
      <w:pPr>
        <w:pStyle w:val="AIHWbodytext"/>
        <w:rPr>
          <w:rFonts w:cs="Arial"/>
          <w:color w:val="auto"/>
          <w:szCs w:val="22"/>
        </w:rPr>
      </w:pPr>
      <w:r w:rsidRPr="003A212B">
        <w:rPr>
          <w:rFonts w:cs="Arial"/>
          <w:b/>
          <w:bCs/>
          <w:color w:val="auto"/>
          <w:szCs w:val="22"/>
        </w:rPr>
        <w:t xml:space="preserve">Oocyte (egg): </w:t>
      </w:r>
      <w:r w:rsidRPr="003A212B">
        <w:rPr>
          <w:rFonts w:cs="Arial"/>
          <w:color w:val="auto"/>
          <w:szCs w:val="22"/>
        </w:rPr>
        <w:t>a female reproductive cell.</w:t>
      </w:r>
    </w:p>
    <w:p w14:paraId="58A53745" w14:textId="77777777" w:rsidR="003A212B" w:rsidRPr="003A212B" w:rsidRDefault="003A212B" w:rsidP="003A212B">
      <w:pPr>
        <w:pStyle w:val="AIHWbodytext"/>
        <w:rPr>
          <w:rFonts w:cs="Arial"/>
          <w:color w:val="auto"/>
          <w:szCs w:val="22"/>
        </w:rPr>
      </w:pPr>
      <w:r w:rsidRPr="003A212B">
        <w:rPr>
          <w:rFonts w:cs="Arial"/>
          <w:b/>
          <w:color w:val="auto"/>
          <w:szCs w:val="22"/>
        </w:rPr>
        <w:t>OPU (oocyte pick-up):</w:t>
      </w:r>
      <w:r w:rsidRPr="003A212B">
        <w:rPr>
          <w:rFonts w:cs="Arial"/>
          <w:color w:val="auto"/>
          <w:szCs w:val="22"/>
        </w:rPr>
        <w:t xml:space="preserve"> the procedure to collect oocytes from ovaries, usually by ultrasound-guided transvaginal aspiration and rarely by laparoscopic surgery. </w:t>
      </w:r>
    </w:p>
    <w:p w14:paraId="55463678" w14:textId="77777777" w:rsidR="003A212B" w:rsidRPr="003A212B" w:rsidRDefault="003A212B" w:rsidP="003A212B">
      <w:pPr>
        <w:pStyle w:val="AIHWbodytext"/>
        <w:rPr>
          <w:rFonts w:cs="Arial"/>
          <w:color w:val="auto"/>
          <w:szCs w:val="22"/>
        </w:rPr>
      </w:pPr>
      <w:r w:rsidRPr="003A212B">
        <w:rPr>
          <w:rFonts w:cs="Arial"/>
          <w:b/>
          <w:color w:val="auto"/>
          <w:szCs w:val="22"/>
        </w:rPr>
        <w:t>Parity:</w:t>
      </w:r>
      <w:r w:rsidRPr="003A212B">
        <w:rPr>
          <w:rFonts w:cs="Arial"/>
          <w:color w:val="auto"/>
          <w:szCs w:val="22"/>
        </w:rPr>
        <w:t xml:space="preserve"> a classification of a woman in terms of the number of previous pregnancies experienced that reached 20 weeks or more gestation. </w:t>
      </w:r>
    </w:p>
    <w:p w14:paraId="01A482B9" w14:textId="77777777" w:rsidR="003A212B" w:rsidRPr="003A212B" w:rsidRDefault="003A212B" w:rsidP="003A212B">
      <w:pPr>
        <w:pStyle w:val="AIHWbodytext"/>
        <w:rPr>
          <w:rFonts w:cs="Arial"/>
          <w:color w:val="auto"/>
          <w:szCs w:val="22"/>
        </w:rPr>
      </w:pPr>
      <w:r w:rsidRPr="003A212B">
        <w:rPr>
          <w:rFonts w:cs="Arial"/>
          <w:b/>
          <w:color w:val="auto"/>
          <w:szCs w:val="22"/>
        </w:rPr>
        <w:t>Parous:</w:t>
      </w:r>
      <w:r w:rsidRPr="003A212B">
        <w:rPr>
          <w:rFonts w:cs="Arial"/>
          <w:color w:val="auto"/>
          <w:szCs w:val="22"/>
        </w:rPr>
        <w:t xml:space="preserve"> refers to a woman who has had at least one previous pregnancy of 20 weeks or more gestation.</w:t>
      </w:r>
    </w:p>
    <w:p w14:paraId="1F37A09E" w14:textId="77777777" w:rsidR="003A212B" w:rsidRPr="003A212B" w:rsidRDefault="003A212B" w:rsidP="003A212B">
      <w:pPr>
        <w:pStyle w:val="Bullet1"/>
        <w:numPr>
          <w:ilvl w:val="0"/>
          <w:numId w:val="0"/>
        </w:numPr>
        <w:spacing w:after="40"/>
        <w:rPr>
          <w:rFonts w:cs="Arial"/>
          <w:szCs w:val="22"/>
        </w:rPr>
      </w:pPr>
      <w:r w:rsidRPr="003A212B">
        <w:rPr>
          <w:rFonts w:cs="Arial"/>
          <w:b/>
          <w:szCs w:val="22"/>
        </w:rPr>
        <w:t>PGT (preimplantation genetic testing):</w:t>
      </w:r>
      <w:r w:rsidRPr="003A212B">
        <w:rPr>
          <w:rFonts w:cs="Arial"/>
          <w:szCs w:val="22"/>
        </w:rPr>
        <w:t xml:space="preserve"> a procedure where DNA from oocytes or embryos is tested for chromosomal disorders or genetic diseases before embryo transfer. This term includes PGT for aneuploidies (PGT-A); PGT for monogenic/single gene defects (PGT-M); and PGT for chromosomal structural rearrangements (PGT-SR).</w:t>
      </w:r>
    </w:p>
    <w:p w14:paraId="341983B9" w14:textId="77777777" w:rsidR="003A212B" w:rsidRPr="003A212B" w:rsidRDefault="003A212B" w:rsidP="003A212B">
      <w:pPr>
        <w:pStyle w:val="Bullet1"/>
        <w:numPr>
          <w:ilvl w:val="0"/>
          <w:numId w:val="0"/>
        </w:numPr>
        <w:spacing w:after="40"/>
        <w:rPr>
          <w:rFonts w:cs="Arial"/>
          <w:b/>
          <w:szCs w:val="22"/>
        </w:rPr>
      </w:pPr>
      <w:r w:rsidRPr="003A212B">
        <w:rPr>
          <w:rFonts w:cs="Arial"/>
          <w:b/>
          <w:szCs w:val="22"/>
        </w:rPr>
        <w:t xml:space="preserve">Perinatal death: </w:t>
      </w:r>
      <w:r w:rsidRPr="003A212B">
        <w:rPr>
          <w:rFonts w:cs="Arial"/>
          <w:szCs w:val="22"/>
        </w:rPr>
        <w:t>a stillbirth or neonatal death of at least 20 weeks gestation or at least 400 grams birthweight.</w:t>
      </w:r>
    </w:p>
    <w:p w14:paraId="51DF29A2" w14:textId="77777777" w:rsidR="003A212B" w:rsidRPr="003A212B" w:rsidRDefault="003A212B" w:rsidP="003A212B">
      <w:pPr>
        <w:pStyle w:val="AIHWbodytext"/>
        <w:rPr>
          <w:rFonts w:cs="Arial"/>
          <w:color w:val="auto"/>
          <w:szCs w:val="22"/>
        </w:rPr>
      </w:pPr>
      <w:r w:rsidRPr="003A212B">
        <w:rPr>
          <w:rFonts w:cs="Arial"/>
          <w:b/>
          <w:color w:val="auto"/>
          <w:szCs w:val="22"/>
        </w:rPr>
        <w:t>Preterm:</w:t>
      </w:r>
      <w:r w:rsidRPr="003A212B">
        <w:rPr>
          <w:rFonts w:cs="Arial"/>
          <w:color w:val="auto"/>
          <w:szCs w:val="22"/>
        </w:rPr>
        <w:t xml:space="preserve"> a gestation of less than 37 weeks. </w:t>
      </w:r>
    </w:p>
    <w:p w14:paraId="794D10BD" w14:textId="1A67724A" w:rsidR="003A212B" w:rsidRPr="003A212B" w:rsidRDefault="003A212B" w:rsidP="003A212B">
      <w:pPr>
        <w:pStyle w:val="AIHWbodytext"/>
        <w:rPr>
          <w:rFonts w:cs="Arial"/>
          <w:color w:val="auto"/>
          <w:szCs w:val="22"/>
        </w:rPr>
      </w:pPr>
      <w:r w:rsidRPr="003A212B">
        <w:rPr>
          <w:rFonts w:cs="Arial"/>
          <w:b/>
          <w:color w:val="auto"/>
          <w:szCs w:val="22"/>
        </w:rPr>
        <w:t>Recipient cycle:</w:t>
      </w:r>
      <w:r w:rsidRPr="003A212B">
        <w:rPr>
          <w:rFonts w:cs="Arial"/>
          <w:color w:val="auto"/>
          <w:szCs w:val="22"/>
        </w:rPr>
        <w:t xml:space="preserve"> </w:t>
      </w:r>
      <w:r w:rsidR="009C4128" w:rsidRPr="00293254">
        <w:rPr>
          <w:rFonts w:cs="Arial"/>
          <w:color w:val="auto"/>
        </w:rPr>
        <w:t xml:space="preserve">an ART treatment cycle in which </w:t>
      </w:r>
      <w:r w:rsidR="009C4128" w:rsidRPr="00A27753">
        <w:rPr>
          <w:rFonts w:cs="Arial"/>
          <w:color w:val="auto"/>
        </w:rPr>
        <w:t>a female patient who is an intending parent receives oocytes</w:t>
      </w:r>
      <w:r w:rsidR="009C4128">
        <w:rPr>
          <w:rFonts w:cs="Arial"/>
          <w:color w:val="auto"/>
        </w:rPr>
        <w:t>/</w:t>
      </w:r>
      <w:r w:rsidR="009C4128" w:rsidRPr="00A27753">
        <w:rPr>
          <w:rFonts w:cs="Arial"/>
          <w:color w:val="auto"/>
        </w:rPr>
        <w:t>embryos from another individual/couple</w:t>
      </w:r>
      <w:r w:rsidR="009C4128">
        <w:rPr>
          <w:rFonts w:cs="Arial"/>
          <w:color w:val="auto"/>
        </w:rPr>
        <w:t xml:space="preserve"> who is not an intending parent</w:t>
      </w:r>
      <w:r w:rsidR="009C4128" w:rsidRPr="00A27753">
        <w:rPr>
          <w:rFonts w:cs="Arial"/>
          <w:color w:val="auto"/>
        </w:rPr>
        <w:t xml:space="preserve">, or where </w:t>
      </w:r>
      <w:r w:rsidR="009C4128">
        <w:rPr>
          <w:rFonts w:cs="Arial"/>
          <w:color w:val="auto"/>
        </w:rPr>
        <w:t>a female intending parent receives oocytes/embryos from a female partner who is also an intending parent, to achieve a pregnancy.</w:t>
      </w:r>
    </w:p>
    <w:p w14:paraId="1C8825F0" w14:textId="77777777" w:rsidR="003A212B" w:rsidRPr="003A212B" w:rsidRDefault="003A212B" w:rsidP="003A212B">
      <w:pPr>
        <w:pStyle w:val="AIHWbodytext"/>
        <w:rPr>
          <w:rFonts w:cs="Arial"/>
          <w:color w:val="auto"/>
          <w:szCs w:val="22"/>
        </w:rPr>
      </w:pPr>
      <w:r w:rsidRPr="003A212B">
        <w:rPr>
          <w:rFonts w:cs="Arial"/>
          <w:b/>
          <w:color w:val="auto"/>
          <w:szCs w:val="22"/>
        </w:rPr>
        <w:t xml:space="preserve">Secondary sex ratio: </w:t>
      </w:r>
      <w:r w:rsidRPr="003A212B">
        <w:rPr>
          <w:rFonts w:cs="Arial"/>
          <w:color w:val="auto"/>
          <w:szCs w:val="22"/>
        </w:rPr>
        <w:t>the number of male liveborn babies per 100 female liveborn babies.</w:t>
      </w:r>
    </w:p>
    <w:p w14:paraId="2E2424A8" w14:textId="77777777" w:rsidR="003A212B" w:rsidRPr="003A212B" w:rsidRDefault="003A212B" w:rsidP="003A212B">
      <w:pPr>
        <w:pStyle w:val="AIHWbodytext"/>
        <w:rPr>
          <w:rFonts w:cs="Arial"/>
          <w:color w:val="auto"/>
          <w:szCs w:val="22"/>
        </w:rPr>
      </w:pPr>
      <w:r w:rsidRPr="003A212B">
        <w:rPr>
          <w:rFonts w:cs="Arial"/>
          <w:b/>
          <w:color w:val="auto"/>
          <w:szCs w:val="22"/>
        </w:rPr>
        <w:t>Singleton:</w:t>
      </w:r>
      <w:r w:rsidRPr="003A212B">
        <w:rPr>
          <w:rFonts w:cs="Arial"/>
          <w:color w:val="auto"/>
          <w:szCs w:val="22"/>
        </w:rPr>
        <w:t xml:space="preserve"> refers to the birth of only one child during a single birth event.</w:t>
      </w:r>
    </w:p>
    <w:p w14:paraId="3B9F0AE9" w14:textId="77777777" w:rsidR="003A212B" w:rsidRPr="003A212B" w:rsidRDefault="003A212B" w:rsidP="003A212B">
      <w:pPr>
        <w:pStyle w:val="AIHWbodytext"/>
        <w:rPr>
          <w:rFonts w:cs="Arial"/>
          <w:color w:val="auto"/>
          <w:szCs w:val="22"/>
        </w:rPr>
      </w:pPr>
      <w:r w:rsidRPr="003A212B">
        <w:rPr>
          <w:rFonts w:cs="Arial"/>
          <w:b/>
          <w:bCs/>
          <w:color w:val="auto"/>
          <w:szCs w:val="22"/>
        </w:rPr>
        <w:t xml:space="preserve">Stillbirth: </w:t>
      </w:r>
      <w:r w:rsidRPr="003A212B">
        <w:rPr>
          <w:rFonts w:cs="Arial"/>
          <w:color w:val="auto"/>
          <w:szCs w:val="22"/>
        </w:rPr>
        <w:t>the birth of an infant after 20 or more weeks gestation or 400 grams or more birthweight that shows no signs of life.</w:t>
      </w:r>
    </w:p>
    <w:p w14:paraId="5F726A3A" w14:textId="77777777" w:rsidR="003A212B" w:rsidRPr="003A212B" w:rsidRDefault="003A212B" w:rsidP="003A212B">
      <w:pPr>
        <w:pStyle w:val="AIHWbodytext"/>
        <w:rPr>
          <w:rFonts w:cs="Arial"/>
          <w:color w:val="auto"/>
          <w:szCs w:val="22"/>
        </w:rPr>
      </w:pPr>
      <w:r w:rsidRPr="003A212B">
        <w:rPr>
          <w:rFonts w:cs="Arial"/>
          <w:b/>
          <w:color w:val="auto"/>
          <w:szCs w:val="22"/>
        </w:rPr>
        <w:t>Surrogacy arrangement:</w:t>
      </w:r>
      <w:r w:rsidRPr="003A212B">
        <w:rPr>
          <w:rFonts w:cs="Arial"/>
          <w:color w:val="auto"/>
          <w:szCs w:val="22"/>
        </w:rPr>
        <w:t xml:space="preserve"> an arrangement where a female patient, known as the ‘gestational carrier’ or ‘surrogate’ agrees to carry a child for another person or couple, known as the ‘intending parent(s)’, with the intention that the child will be raised by the intending parent(s). The oocytes and/or sperm used to create the embryo(s) in the surrogacy cycle can be either from the intending parents or from a donor(s).</w:t>
      </w:r>
    </w:p>
    <w:p w14:paraId="43622E41" w14:textId="77777777" w:rsidR="003A212B" w:rsidRPr="003A212B" w:rsidRDefault="003A212B" w:rsidP="003A212B">
      <w:pPr>
        <w:pStyle w:val="AIHWbodytext"/>
        <w:rPr>
          <w:rFonts w:cs="Arial"/>
          <w:color w:val="auto"/>
          <w:szCs w:val="22"/>
        </w:rPr>
      </w:pPr>
      <w:r w:rsidRPr="003A212B">
        <w:rPr>
          <w:rFonts w:cs="Arial"/>
          <w:b/>
          <w:color w:val="auto"/>
          <w:szCs w:val="22"/>
        </w:rPr>
        <w:t>Thaw cycle:</w:t>
      </w:r>
      <w:r w:rsidRPr="003A212B">
        <w:rPr>
          <w:rFonts w:cs="Arial"/>
          <w:color w:val="auto"/>
          <w:szCs w:val="22"/>
        </w:rPr>
        <w:t xml:space="preserve"> an ART treatment cycle in which cryopreserved embryos are thawed with the intention of performing embryo transfer.</w:t>
      </w:r>
    </w:p>
    <w:p w14:paraId="28953EC5" w14:textId="77777777" w:rsidR="003A212B" w:rsidRPr="003A212B" w:rsidRDefault="003A212B" w:rsidP="003A212B">
      <w:pPr>
        <w:pStyle w:val="AIHWbodytext"/>
        <w:rPr>
          <w:rFonts w:cs="Arial"/>
          <w:color w:val="auto"/>
          <w:szCs w:val="22"/>
        </w:rPr>
      </w:pPr>
      <w:r w:rsidRPr="003A212B">
        <w:rPr>
          <w:rFonts w:cs="Arial"/>
          <w:b/>
          <w:color w:val="auto"/>
          <w:szCs w:val="22"/>
        </w:rPr>
        <w:t>Thawed embryo:</w:t>
      </w:r>
      <w:r w:rsidRPr="003A212B">
        <w:rPr>
          <w:rFonts w:cs="Arial"/>
          <w:color w:val="auto"/>
          <w:szCs w:val="22"/>
        </w:rPr>
        <w:t xml:space="preserve"> an embryo thawed after cryopreservation. It is used in thaw cycles or lab-only cycles.</w:t>
      </w:r>
    </w:p>
    <w:p w14:paraId="0095C62A" w14:textId="77777777" w:rsidR="003A212B" w:rsidRPr="003A212B" w:rsidRDefault="003A212B" w:rsidP="003A212B">
      <w:pPr>
        <w:pStyle w:val="Default"/>
        <w:rPr>
          <w:sz w:val="22"/>
          <w:szCs w:val="22"/>
        </w:rPr>
      </w:pPr>
      <w:r w:rsidRPr="003A212B">
        <w:rPr>
          <w:b/>
          <w:bCs/>
          <w:color w:val="auto"/>
          <w:sz w:val="22"/>
          <w:szCs w:val="22"/>
        </w:rPr>
        <w:t>Treatment cycle:</w:t>
      </w:r>
      <w:r w:rsidRPr="003A212B">
        <w:rPr>
          <w:color w:val="auto"/>
          <w:sz w:val="22"/>
          <w:szCs w:val="22"/>
        </w:rPr>
        <w:t xml:space="preserve"> </w:t>
      </w:r>
      <w:r w:rsidRPr="003A212B">
        <w:rPr>
          <w:sz w:val="22"/>
          <w:szCs w:val="22"/>
        </w:rPr>
        <w:t xml:space="preserve">involves an attempted/actual medical procedure being carried out on a female patient and includes the following scenarios: </w:t>
      </w:r>
    </w:p>
    <w:p w14:paraId="0CDFEE63" w14:textId="77777777" w:rsidR="003A212B" w:rsidRPr="000D75B4" w:rsidRDefault="003A212B" w:rsidP="00814AD1">
      <w:pPr>
        <w:pStyle w:val="ListParagraph"/>
        <w:numPr>
          <w:ilvl w:val="0"/>
          <w:numId w:val="31"/>
        </w:numPr>
        <w:autoSpaceDE w:val="0"/>
        <w:autoSpaceDN w:val="0"/>
        <w:adjustRightInd w:val="0"/>
        <w:spacing w:after="0"/>
        <w:rPr>
          <w:rFonts w:ascii="Arial" w:hAnsi="Arial" w:cs="Arial"/>
          <w:color w:val="000000"/>
          <w:sz w:val="22"/>
        </w:rPr>
      </w:pPr>
      <w:r w:rsidRPr="000D75B4">
        <w:rPr>
          <w:rFonts w:ascii="Arial" w:hAnsi="Arial" w:cs="Arial"/>
          <w:color w:val="000000"/>
          <w:sz w:val="22"/>
        </w:rPr>
        <w:t xml:space="preserve">ovarian stimulation with the intention of oocyte collection in autologous or donation cycle </w:t>
      </w:r>
    </w:p>
    <w:p w14:paraId="05C8F721" w14:textId="77777777" w:rsidR="003A212B" w:rsidRPr="000D75B4" w:rsidRDefault="003A212B" w:rsidP="00814AD1">
      <w:pPr>
        <w:pStyle w:val="ListParagraph"/>
        <w:numPr>
          <w:ilvl w:val="0"/>
          <w:numId w:val="31"/>
        </w:numPr>
        <w:autoSpaceDE w:val="0"/>
        <w:autoSpaceDN w:val="0"/>
        <w:adjustRightInd w:val="0"/>
        <w:spacing w:after="0"/>
        <w:rPr>
          <w:rFonts w:ascii="Arial" w:hAnsi="Arial" w:cs="Arial"/>
          <w:color w:val="000000"/>
          <w:sz w:val="22"/>
        </w:rPr>
      </w:pPr>
      <w:r w:rsidRPr="000D75B4">
        <w:rPr>
          <w:rFonts w:ascii="Arial" w:hAnsi="Arial" w:cs="Arial"/>
          <w:color w:val="000000"/>
          <w:sz w:val="22"/>
        </w:rPr>
        <w:lastRenderedPageBreak/>
        <w:t xml:space="preserve">attempted/actual oocyte collection, whether in a stimulated or unstimulated, autologous or donation cycle </w:t>
      </w:r>
    </w:p>
    <w:p w14:paraId="09BD5D95" w14:textId="77777777" w:rsidR="003A212B" w:rsidRPr="000D75B4" w:rsidRDefault="003A212B" w:rsidP="00814AD1">
      <w:pPr>
        <w:pStyle w:val="ListParagraph"/>
        <w:numPr>
          <w:ilvl w:val="0"/>
          <w:numId w:val="31"/>
        </w:numPr>
        <w:autoSpaceDE w:val="0"/>
        <w:autoSpaceDN w:val="0"/>
        <w:adjustRightInd w:val="0"/>
        <w:spacing w:after="0"/>
        <w:rPr>
          <w:rFonts w:ascii="Arial" w:hAnsi="Arial" w:cs="Arial"/>
          <w:color w:val="000000"/>
          <w:sz w:val="22"/>
        </w:rPr>
      </w:pPr>
      <w:r w:rsidRPr="000D75B4">
        <w:rPr>
          <w:rFonts w:ascii="Arial" w:hAnsi="Arial" w:cs="Arial"/>
          <w:color w:val="000000"/>
          <w:sz w:val="22"/>
        </w:rPr>
        <w:t xml:space="preserve">attempted/actual oocyte thaw with the intention of fertilisation and embryo transfer </w:t>
      </w:r>
    </w:p>
    <w:p w14:paraId="40BBDBE2" w14:textId="77777777" w:rsidR="003A212B" w:rsidRPr="000D75B4" w:rsidRDefault="003A212B" w:rsidP="00814AD1">
      <w:pPr>
        <w:pStyle w:val="ListParagraph"/>
        <w:numPr>
          <w:ilvl w:val="0"/>
          <w:numId w:val="31"/>
        </w:numPr>
        <w:autoSpaceDE w:val="0"/>
        <w:autoSpaceDN w:val="0"/>
        <w:adjustRightInd w:val="0"/>
        <w:spacing w:after="0"/>
        <w:rPr>
          <w:rFonts w:ascii="Arial" w:hAnsi="Arial" w:cs="Arial"/>
          <w:color w:val="000000"/>
          <w:sz w:val="22"/>
        </w:rPr>
      </w:pPr>
      <w:r w:rsidRPr="000D75B4">
        <w:rPr>
          <w:rFonts w:ascii="Arial" w:hAnsi="Arial" w:cs="Arial"/>
          <w:color w:val="000000"/>
          <w:sz w:val="22"/>
        </w:rPr>
        <w:t xml:space="preserve">attempted/actual embryo thaw with the intention of embryo transfer </w:t>
      </w:r>
    </w:p>
    <w:p w14:paraId="01EF3885" w14:textId="77777777" w:rsidR="003A212B" w:rsidRPr="000D75B4" w:rsidRDefault="003A212B" w:rsidP="00814AD1">
      <w:pPr>
        <w:pStyle w:val="ListParagraph"/>
        <w:numPr>
          <w:ilvl w:val="0"/>
          <w:numId w:val="31"/>
        </w:numPr>
        <w:autoSpaceDE w:val="0"/>
        <w:autoSpaceDN w:val="0"/>
        <w:adjustRightInd w:val="0"/>
        <w:spacing w:after="0"/>
        <w:rPr>
          <w:rFonts w:cs="Arial"/>
          <w:sz w:val="22"/>
        </w:rPr>
      </w:pPr>
      <w:r w:rsidRPr="000D75B4">
        <w:rPr>
          <w:rFonts w:ascii="Arial" w:hAnsi="Arial" w:cs="Arial"/>
          <w:color w:val="000000"/>
          <w:sz w:val="22"/>
        </w:rPr>
        <w:t xml:space="preserve">insemination of donated sperm as part of an intrauterine insemination (IUI) cycle. </w:t>
      </w:r>
    </w:p>
    <w:p w14:paraId="51580628" w14:textId="77777777" w:rsidR="003A212B" w:rsidRPr="003A212B" w:rsidRDefault="003A212B" w:rsidP="003A212B">
      <w:pPr>
        <w:pStyle w:val="AIHWbodytext"/>
        <w:rPr>
          <w:rFonts w:cs="Arial"/>
          <w:color w:val="auto"/>
          <w:szCs w:val="22"/>
        </w:rPr>
      </w:pPr>
      <w:r w:rsidRPr="003A212B">
        <w:rPr>
          <w:rFonts w:cs="Arial"/>
          <w:b/>
          <w:color w:val="auto"/>
          <w:szCs w:val="22"/>
        </w:rPr>
        <w:t xml:space="preserve">Vitrification: </w:t>
      </w:r>
      <w:r w:rsidRPr="003A212B">
        <w:rPr>
          <w:rFonts w:cs="Arial"/>
          <w:color w:val="auto"/>
          <w:szCs w:val="22"/>
        </w:rPr>
        <w:t>an ultra-rapid cryopreservation method that prevents ice formation within the suspension which is converted to a glass-like solid.</w:t>
      </w:r>
    </w:p>
    <w:p w14:paraId="38F0FD15" w14:textId="77777777" w:rsidR="003A212B" w:rsidRPr="003A212B" w:rsidRDefault="003A212B" w:rsidP="003A212B">
      <w:pPr>
        <w:pStyle w:val="AIHWbodytext"/>
        <w:rPr>
          <w:rFonts w:cs="Arial"/>
          <w:i/>
          <w:color w:val="auto"/>
          <w:szCs w:val="22"/>
        </w:rPr>
      </w:pPr>
    </w:p>
    <w:p w14:paraId="1029E33A" w14:textId="77777777" w:rsidR="003A212B" w:rsidRPr="003A212B" w:rsidRDefault="003A212B" w:rsidP="003A212B">
      <w:pPr>
        <w:pStyle w:val="AIHWbodytext"/>
        <w:rPr>
          <w:rFonts w:cs="Arial"/>
          <w:color w:val="auto"/>
          <w:szCs w:val="22"/>
        </w:rPr>
      </w:pPr>
      <w:r w:rsidRPr="003A212B">
        <w:rPr>
          <w:rFonts w:cs="Arial"/>
          <w:i/>
          <w:color w:val="auto"/>
          <w:szCs w:val="22"/>
        </w:rPr>
        <w:t>Note:</w:t>
      </w:r>
      <w:r w:rsidRPr="003A212B">
        <w:rPr>
          <w:rFonts w:cs="Arial"/>
          <w:color w:val="auto"/>
          <w:szCs w:val="22"/>
        </w:rPr>
        <w:t xml:space="preserve"> The International Committee Monitoring Assisted Reproductive Technologies (ICMART) has published an Infertility and Fertility Care glossary for the terms used in ART data collections (Zegers-Hochschild et al. 2017). However, the terminology used in this report may differ from that in the ICMART glossary.</w:t>
      </w:r>
    </w:p>
    <w:bookmarkEnd w:id="713"/>
    <w:bookmarkEnd w:id="714"/>
    <w:p w14:paraId="267E9F2B" w14:textId="0C00C39F" w:rsidR="009303CD" w:rsidRPr="00617599" w:rsidRDefault="009303CD" w:rsidP="009303CD">
      <w:pPr>
        <w:pStyle w:val="NPESUbodytext"/>
        <w:rPr>
          <w:rFonts w:cs="Arial"/>
        </w:rPr>
      </w:pPr>
    </w:p>
    <w:p w14:paraId="62ACED57" w14:textId="77777777" w:rsidR="009303CD" w:rsidRPr="00617599" w:rsidRDefault="009303CD" w:rsidP="009303CD">
      <w:pPr>
        <w:pStyle w:val="Heading1"/>
        <w:rPr>
          <w:rFonts w:cs="Arial"/>
        </w:rPr>
      </w:pPr>
      <w:bookmarkStart w:id="716" w:name="_Toc453054863"/>
      <w:bookmarkStart w:id="717" w:name="_Toc422408394"/>
      <w:bookmarkStart w:id="718" w:name="_Toc159568730"/>
      <w:bookmarkStart w:id="719" w:name="_Toc452112627"/>
      <w:r w:rsidRPr="00617599">
        <w:rPr>
          <w:rFonts w:cs="Arial"/>
        </w:rPr>
        <w:lastRenderedPageBreak/>
        <w:t>References</w:t>
      </w:r>
      <w:bookmarkEnd w:id="716"/>
      <w:bookmarkEnd w:id="717"/>
      <w:bookmarkEnd w:id="718"/>
    </w:p>
    <w:p w14:paraId="11D650AE" w14:textId="652D9A5F" w:rsidR="00FA6E3F" w:rsidRDefault="00FA6E3F" w:rsidP="00E12A5C">
      <w:pPr>
        <w:autoSpaceDE w:val="0"/>
        <w:autoSpaceDN w:val="0"/>
        <w:adjustRightInd w:val="0"/>
        <w:spacing w:after="0" w:line="240" w:lineRule="auto"/>
        <w:rPr>
          <w:rFonts w:ascii="Arial" w:eastAsia="Times New Roman" w:hAnsi="Arial" w:cs="Arial"/>
          <w:sz w:val="22"/>
          <w:szCs w:val="20"/>
        </w:rPr>
      </w:pPr>
      <w:r w:rsidRPr="00FA6E3F">
        <w:rPr>
          <w:rFonts w:ascii="Arial" w:eastAsia="Times New Roman" w:hAnsi="Arial" w:cs="Arial"/>
          <w:sz w:val="22"/>
          <w:szCs w:val="20"/>
        </w:rPr>
        <w:t xml:space="preserve">European Society of Human Reproduction and Embryology (ESHRE). ART factsheet n.d. Viewed 28 September 2022, </w:t>
      </w:r>
      <w:hyperlink r:id="rId16" w:history="1">
        <w:r w:rsidR="00772356" w:rsidRPr="00F02E3D">
          <w:rPr>
            <w:rStyle w:val="Hyperlink"/>
            <w:rFonts w:ascii="Arial" w:eastAsia="Times New Roman" w:hAnsi="Arial" w:cs="Arial"/>
            <w:sz w:val="22"/>
            <w:szCs w:val="20"/>
          </w:rPr>
          <w:t>https://www.eshre.eu/Press-Room/Resources</w:t>
        </w:r>
      </w:hyperlink>
    </w:p>
    <w:p w14:paraId="236788A3" w14:textId="77777777" w:rsidR="00772356" w:rsidRPr="00FA6E3F" w:rsidRDefault="00772356" w:rsidP="00E12A5C">
      <w:pPr>
        <w:autoSpaceDE w:val="0"/>
        <w:autoSpaceDN w:val="0"/>
        <w:adjustRightInd w:val="0"/>
        <w:spacing w:after="0" w:line="240" w:lineRule="auto"/>
        <w:rPr>
          <w:rFonts w:ascii="Arial" w:eastAsia="Times New Roman" w:hAnsi="Arial" w:cs="Arial"/>
          <w:sz w:val="22"/>
          <w:szCs w:val="20"/>
        </w:rPr>
      </w:pPr>
    </w:p>
    <w:p w14:paraId="42FF8CEE" w14:textId="2B6EC267" w:rsidR="00E12A5C" w:rsidRPr="00BD19B3" w:rsidRDefault="009303CD" w:rsidP="00E12A5C">
      <w:pPr>
        <w:autoSpaceDE w:val="0"/>
        <w:autoSpaceDN w:val="0"/>
        <w:adjustRightInd w:val="0"/>
        <w:spacing w:after="0" w:line="240" w:lineRule="auto"/>
        <w:rPr>
          <w:rFonts w:ascii="Arial" w:eastAsia="Times New Roman" w:hAnsi="Arial" w:cs="Arial"/>
          <w:sz w:val="22"/>
        </w:rPr>
      </w:pPr>
      <w:r w:rsidRPr="00BD19B3">
        <w:rPr>
          <w:rFonts w:ascii="Arial" w:eastAsia="Times New Roman" w:hAnsi="Arial" w:cs="Arial"/>
          <w:sz w:val="22"/>
        </w:rPr>
        <w:t xml:space="preserve">Statistics New Zealand </w:t>
      </w:r>
      <w:r w:rsidR="00F96E1D" w:rsidRPr="00BD19B3">
        <w:rPr>
          <w:rFonts w:ascii="Arial" w:eastAsia="Times New Roman" w:hAnsi="Arial" w:cs="Arial"/>
          <w:sz w:val="22"/>
        </w:rPr>
        <w:t>20</w:t>
      </w:r>
      <w:r w:rsidR="005111BE">
        <w:rPr>
          <w:rFonts w:ascii="Arial" w:eastAsia="Times New Roman" w:hAnsi="Arial" w:cs="Arial"/>
          <w:sz w:val="22"/>
        </w:rPr>
        <w:t>2</w:t>
      </w:r>
      <w:r w:rsidR="001B468C">
        <w:rPr>
          <w:rFonts w:ascii="Arial" w:eastAsia="Times New Roman" w:hAnsi="Arial" w:cs="Arial"/>
          <w:sz w:val="22"/>
        </w:rPr>
        <w:t>1</w:t>
      </w:r>
      <w:r w:rsidRPr="00BD19B3">
        <w:rPr>
          <w:rFonts w:ascii="Arial" w:eastAsia="Times New Roman" w:hAnsi="Arial" w:cs="Arial"/>
          <w:sz w:val="22"/>
        </w:rPr>
        <w:t>.</w:t>
      </w:r>
      <w:r w:rsidR="00F11E4A">
        <w:rPr>
          <w:rFonts w:ascii="Arial" w:eastAsia="Times New Roman" w:hAnsi="Arial" w:cs="Arial"/>
          <w:sz w:val="22"/>
        </w:rPr>
        <w:t xml:space="preserve"> </w:t>
      </w:r>
      <w:r w:rsidR="00E12A5C" w:rsidRPr="00BD19B3">
        <w:rPr>
          <w:rFonts w:ascii="Arial" w:eastAsia="Times New Roman" w:hAnsi="Arial" w:cs="Arial"/>
          <w:sz w:val="22"/>
        </w:rPr>
        <w:t>Estimated Resident Population by Age and Sex (1991+)</w:t>
      </w:r>
    </w:p>
    <w:p w14:paraId="0DBB5D38" w14:textId="1006A5A0" w:rsidR="00A5041B" w:rsidRDefault="00E12A5C" w:rsidP="00BD19B3">
      <w:pPr>
        <w:autoSpaceDE w:val="0"/>
        <w:autoSpaceDN w:val="0"/>
        <w:adjustRightInd w:val="0"/>
        <w:spacing w:after="0" w:line="240" w:lineRule="auto"/>
        <w:rPr>
          <w:rFonts w:ascii="Arial" w:eastAsia="Times New Roman" w:hAnsi="Arial" w:cs="Arial"/>
          <w:sz w:val="22"/>
        </w:rPr>
      </w:pPr>
      <w:r w:rsidRPr="00BD19B3">
        <w:rPr>
          <w:rFonts w:ascii="Arial" w:eastAsia="Times New Roman" w:hAnsi="Arial" w:cs="Arial"/>
          <w:sz w:val="22"/>
        </w:rPr>
        <w:t xml:space="preserve">(Annual-Dec). Viewed </w:t>
      </w:r>
      <w:r w:rsidR="005111BE">
        <w:rPr>
          <w:rFonts w:ascii="Arial" w:eastAsia="Times New Roman" w:hAnsi="Arial" w:cs="Arial"/>
          <w:sz w:val="22"/>
        </w:rPr>
        <w:t>1</w:t>
      </w:r>
      <w:r w:rsidR="001B468C">
        <w:rPr>
          <w:rFonts w:ascii="Arial" w:eastAsia="Times New Roman" w:hAnsi="Arial" w:cs="Arial"/>
          <w:sz w:val="22"/>
        </w:rPr>
        <w:t>6</w:t>
      </w:r>
      <w:r w:rsidR="005111BE">
        <w:rPr>
          <w:rFonts w:ascii="Arial" w:eastAsia="Times New Roman" w:hAnsi="Arial" w:cs="Arial"/>
          <w:sz w:val="22"/>
        </w:rPr>
        <w:t xml:space="preserve"> </w:t>
      </w:r>
      <w:r w:rsidR="001B468C">
        <w:rPr>
          <w:rFonts w:ascii="Arial" w:eastAsia="Times New Roman" w:hAnsi="Arial" w:cs="Arial"/>
          <w:sz w:val="22"/>
        </w:rPr>
        <w:t>December</w:t>
      </w:r>
      <w:r w:rsidR="00F96E1D">
        <w:rPr>
          <w:rFonts w:ascii="Arial" w:eastAsia="Times New Roman" w:hAnsi="Arial" w:cs="Arial"/>
          <w:sz w:val="22"/>
        </w:rPr>
        <w:t xml:space="preserve"> 202</w:t>
      </w:r>
      <w:r w:rsidR="005111BE">
        <w:rPr>
          <w:rFonts w:ascii="Arial" w:eastAsia="Times New Roman" w:hAnsi="Arial" w:cs="Arial"/>
          <w:sz w:val="22"/>
        </w:rPr>
        <w:t>3</w:t>
      </w:r>
      <w:r w:rsidRPr="00BD19B3">
        <w:rPr>
          <w:rFonts w:ascii="Arial" w:eastAsia="Times New Roman" w:hAnsi="Arial" w:cs="Arial"/>
          <w:sz w:val="22"/>
        </w:rPr>
        <w:t>,</w:t>
      </w:r>
      <w:r w:rsidR="00A5041B">
        <w:rPr>
          <w:rFonts w:ascii="Arial" w:eastAsia="Times New Roman" w:hAnsi="Arial" w:cs="Arial"/>
          <w:sz w:val="22"/>
        </w:rPr>
        <w:t xml:space="preserve"> </w:t>
      </w:r>
    </w:p>
    <w:p w14:paraId="432822D2" w14:textId="51251CE4" w:rsidR="003235A0" w:rsidRPr="003235A0" w:rsidRDefault="003235A0" w:rsidP="00952173">
      <w:pPr>
        <w:autoSpaceDE w:val="0"/>
        <w:autoSpaceDN w:val="0"/>
        <w:adjustRightInd w:val="0"/>
        <w:spacing w:after="120" w:line="240" w:lineRule="auto"/>
        <w:rPr>
          <w:rFonts w:ascii="Arial" w:eastAsia="Times New Roman" w:hAnsi="Arial" w:cs="Arial"/>
          <w:sz w:val="22"/>
        </w:rPr>
      </w:pPr>
      <w:r w:rsidRPr="00952173">
        <w:rPr>
          <w:rFonts w:ascii="Arial" w:eastAsia="Times New Roman" w:hAnsi="Arial" w:cs="Arial"/>
          <w:sz w:val="22"/>
        </w:rPr>
        <w:t>https://infoshare.stats.govt.nz/Default.aspx</w:t>
      </w:r>
    </w:p>
    <w:p w14:paraId="421295ED" w14:textId="782310B0" w:rsidR="0004089F" w:rsidRPr="00617599" w:rsidRDefault="0004089F" w:rsidP="009303CD">
      <w:pPr>
        <w:pStyle w:val="AIHWbodytext"/>
        <w:rPr>
          <w:rFonts w:cs="Arial"/>
          <w:color w:val="auto"/>
        </w:rPr>
      </w:pPr>
      <w:r>
        <w:t>Infertility prevalence estimates, 1990–2021. Geneva: World Health Organization; 2023. Licence: CC BY-NC-SA 3.0 IGO</w:t>
      </w:r>
    </w:p>
    <w:p w14:paraId="394C11C9" w14:textId="77777777" w:rsidR="00A5041B" w:rsidRDefault="00A5041B" w:rsidP="007357B9">
      <w:pPr>
        <w:autoSpaceDE w:val="0"/>
        <w:autoSpaceDN w:val="0"/>
        <w:adjustRightInd w:val="0"/>
        <w:spacing w:after="0" w:line="240" w:lineRule="auto"/>
        <w:rPr>
          <w:rFonts w:ascii="Arial" w:hAnsi="Arial" w:cs="Arial"/>
          <w:sz w:val="22"/>
        </w:rPr>
      </w:pPr>
      <w:r>
        <w:rPr>
          <w:rFonts w:ascii="Arial" w:hAnsi="Arial" w:cs="Arial"/>
          <w:sz w:val="22"/>
        </w:rPr>
        <w:t>Zegers-Hochschild F, Adamson GD, Dyer S, Racowsky C, de Mouza J, Sokol R, Rienzi L,</w:t>
      </w:r>
    </w:p>
    <w:p w14:paraId="787ABDEF" w14:textId="551CAEBF" w:rsidR="009303CD" w:rsidRPr="00617599" w:rsidRDefault="00A5041B" w:rsidP="007357B9">
      <w:pPr>
        <w:pStyle w:val="NPESUbodytext"/>
        <w:spacing w:before="0" w:after="0" w:line="240" w:lineRule="auto"/>
        <w:rPr>
          <w:rFonts w:cs="Arial"/>
        </w:rPr>
      </w:pPr>
      <w:r>
        <w:rPr>
          <w:rFonts w:cs="Arial"/>
        </w:rPr>
        <w:t>Sunde A, Schmit L, Cooke ID, Leigh Simpson J,Van der Poel 2017.</w:t>
      </w:r>
      <w:r w:rsidR="007357B9">
        <w:rPr>
          <w:rFonts w:cs="Arial"/>
        </w:rPr>
        <w:t xml:space="preserve"> The International Glossary on Infertility and Fertility Care, Fertility and </w:t>
      </w:r>
      <w:r w:rsidR="007357B9" w:rsidRPr="007357B9">
        <w:rPr>
          <w:rFonts w:eastAsiaTheme="minorHAnsi" w:cs="Arial"/>
          <w:szCs w:val="22"/>
        </w:rPr>
        <w:t>Sterility. 2017 Sep;108(3)</w:t>
      </w:r>
      <w:r w:rsidR="007357B9">
        <w:rPr>
          <w:rFonts w:cs="Arial"/>
        </w:rPr>
        <w:t xml:space="preserve"> </w:t>
      </w:r>
    </w:p>
    <w:p w14:paraId="17D57B9A" w14:textId="3ECFFB7B" w:rsidR="009303CD" w:rsidRPr="00617599" w:rsidRDefault="009303CD" w:rsidP="009303CD">
      <w:pPr>
        <w:pStyle w:val="Heading1"/>
        <w:rPr>
          <w:rFonts w:cs="Arial"/>
        </w:rPr>
      </w:pPr>
      <w:bookmarkStart w:id="720" w:name="_Toc159568731"/>
      <w:bookmarkEnd w:id="719"/>
      <w:r w:rsidRPr="00617599">
        <w:rPr>
          <w:rFonts w:cs="Arial"/>
        </w:rPr>
        <w:lastRenderedPageBreak/>
        <w:t xml:space="preserve">List of </w:t>
      </w:r>
      <w:r w:rsidR="003B1744">
        <w:rPr>
          <w:rFonts w:cs="Arial"/>
        </w:rPr>
        <w:t>t</w:t>
      </w:r>
      <w:r w:rsidRPr="00617599">
        <w:rPr>
          <w:rFonts w:cs="Arial"/>
        </w:rPr>
        <w:t>ables</w:t>
      </w:r>
      <w:bookmarkEnd w:id="720"/>
    </w:p>
    <w:p w14:paraId="2D3A8864" w14:textId="29E91621" w:rsidR="00197CB6" w:rsidRDefault="00D97DF0" w:rsidP="00487E53">
      <w:pPr>
        <w:pStyle w:val="TableofFigures"/>
        <w:rPr>
          <w:rFonts w:asciiTheme="minorHAnsi" w:eastAsiaTheme="minorEastAsia" w:hAnsiTheme="minorHAnsi" w:cstheme="minorBidi"/>
          <w:kern w:val="2"/>
          <w:szCs w:val="22"/>
          <w:lang w:eastAsia="en-AU"/>
          <w14:ligatures w14:val="standardContextual"/>
        </w:rPr>
      </w:pPr>
      <w:r>
        <w:rPr>
          <w:rFonts w:cs="Arial"/>
          <w:sz w:val="20"/>
        </w:rPr>
        <w:fldChar w:fldCharType="begin"/>
      </w:r>
      <w:r>
        <w:rPr>
          <w:rFonts w:cs="Arial"/>
          <w:sz w:val="20"/>
        </w:rPr>
        <w:instrText xml:space="preserve"> TOC \h \z \t "Caption,1" \c "Figure" </w:instrText>
      </w:r>
      <w:r>
        <w:rPr>
          <w:rFonts w:cs="Arial"/>
          <w:sz w:val="20"/>
        </w:rPr>
        <w:fldChar w:fldCharType="separate"/>
      </w:r>
      <w:hyperlink w:anchor="_Toc158026550" w:history="1">
        <w:r w:rsidR="00197CB6" w:rsidRPr="00BD4041">
          <w:rPr>
            <w:rStyle w:val="Hyperlink"/>
            <w:rFonts w:eastAsiaTheme="majorEastAsia"/>
            <w:lang w:bidi="hi-IN"/>
          </w:rPr>
          <w:t>Table 1: Number of initiated ART treatment cycles by treatment type, New Zealand, 2021</w:t>
        </w:r>
        <w:r w:rsidR="00197CB6">
          <w:rPr>
            <w:webHidden/>
          </w:rPr>
          <w:tab/>
        </w:r>
        <w:r w:rsidR="00197CB6">
          <w:rPr>
            <w:webHidden/>
          </w:rPr>
          <w:fldChar w:fldCharType="begin"/>
        </w:r>
        <w:r w:rsidR="00197CB6">
          <w:rPr>
            <w:webHidden/>
          </w:rPr>
          <w:instrText xml:space="preserve"> PAGEREF _Toc158026550 \h </w:instrText>
        </w:r>
        <w:r w:rsidR="00197CB6">
          <w:rPr>
            <w:webHidden/>
          </w:rPr>
        </w:r>
        <w:r w:rsidR="00197CB6">
          <w:rPr>
            <w:webHidden/>
          </w:rPr>
          <w:fldChar w:fldCharType="separate"/>
        </w:r>
        <w:r w:rsidR="007A08D1">
          <w:rPr>
            <w:webHidden/>
          </w:rPr>
          <w:t>4</w:t>
        </w:r>
        <w:r w:rsidR="00197CB6">
          <w:rPr>
            <w:webHidden/>
          </w:rPr>
          <w:fldChar w:fldCharType="end"/>
        </w:r>
      </w:hyperlink>
    </w:p>
    <w:p w14:paraId="398F3627" w14:textId="79597A77"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51" w:history="1">
        <w:r w:rsidR="00197CB6" w:rsidRPr="00BD4041">
          <w:rPr>
            <w:rStyle w:val="Hyperlink"/>
            <w:lang w:eastAsia="en-AU" w:bidi="hi-IN"/>
          </w:rPr>
          <w:t>Table 2: Number of initiated ART treatment cycles (excluding surrogacy) by ethnicity, New Zealand, 2021</w:t>
        </w:r>
        <w:r w:rsidR="00197CB6">
          <w:rPr>
            <w:webHidden/>
          </w:rPr>
          <w:tab/>
        </w:r>
        <w:r w:rsidR="00197CB6">
          <w:rPr>
            <w:webHidden/>
          </w:rPr>
          <w:fldChar w:fldCharType="begin"/>
        </w:r>
        <w:r w:rsidR="00197CB6">
          <w:rPr>
            <w:webHidden/>
          </w:rPr>
          <w:instrText xml:space="preserve"> PAGEREF _Toc158026551 \h </w:instrText>
        </w:r>
        <w:r w:rsidR="00197CB6">
          <w:rPr>
            <w:webHidden/>
          </w:rPr>
        </w:r>
        <w:r w:rsidR="00197CB6">
          <w:rPr>
            <w:webHidden/>
          </w:rPr>
          <w:fldChar w:fldCharType="separate"/>
        </w:r>
        <w:r w:rsidR="007A08D1">
          <w:rPr>
            <w:webHidden/>
          </w:rPr>
          <w:t>5</w:t>
        </w:r>
        <w:r w:rsidR="00197CB6">
          <w:rPr>
            <w:webHidden/>
          </w:rPr>
          <w:fldChar w:fldCharType="end"/>
        </w:r>
      </w:hyperlink>
    </w:p>
    <w:p w14:paraId="461D3721" w14:textId="62B23C8E"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52" w:history="1">
        <w:r w:rsidR="00197CB6" w:rsidRPr="00BD4041">
          <w:rPr>
            <w:rStyle w:val="Hyperlink"/>
            <w:lang w:eastAsia="en-AU" w:bidi="hi-IN"/>
          </w:rPr>
          <w:t>Table 3: Number of women undertaking ART treatment cycles (excluding surrogacy) by ethnicity, New Zealand, 2021</w:t>
        </w:r>
        <w:r w:rsidR="00197CB6">
          <w:rPr>
            <w:webHidden/>
          </w:rPr>
          <w:tab/>
        </w:r>
        <w:r w:rsidR="00197CB6">
          <w:rPr>
            <w:webHidden/>
          </w:rPr>
          <w:fldChar w:fldCharType="begin"/>
        </w:r>
        <w:r w:rsidR="00197CB6">
          <w:rPr>
            <w:webHidden/>
          </w:rPr>
          <w:instrText xml:space="preserve"> PAGEREF _Toc158026552 \h </w:instrText>
        </w:r>
        <w:r w:rsidR="00197CB6">
          <w:rPr>
            <w:webHidden/>
          </w:rPr>
        </w:r>
        <w:r w:rsidR="00197CB6">
          <w:rPr>
            <w:webHidden/>
          </w:rPr>
          <w:fldChar w:fldCharType="separate"/>
        </w:r>
        <w:r w:rsidR="007A08D1">
          <w:rPr>
            <w:webHidden/>
          </w:rPr>
          <w:t>6</w:t>
        </w:r>
        <w:r w:rsidR="00197CB6">
          <w:rPr>
            <w:webHidden/>
          </w:rPr>
          <w:fldChar w:fldCharType="end"/>
        </w:r>
      </w:hyperlink>
    </w:p>
    <w:p w14:paraId="69D8D955" w14:textId="6377944C"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53" w:history="1">
        <w:r w:rsidR="00197CB6" w:rsidRPr="00BD4041">
          <w:rPr>
            <w:rStyle w:val="Hyperlink"/>
            <w:lang w:eastAsia="en-AU" w:bidi="hi-IN"/>
          </w:rPr>
          <w:t>Table 4: Number of autologous and recipient cycles by women’s age group and treatment type, New Zealand, 2021</w:t>
        </w:r>
        <w:r w:rsidR="00197CB6">
          <w:rPr>
            <w:webHidden/>
          </w:rPr>
          <w:tab/>
        </w:r>
        <w:r w:rsidR="00197CB6">
          <w:rPr>
            <w:webHidden/>
          </w:rPr>
          <w:fldChar w:fldCharType="begin"/>
        </w:r>
        <w:r w:rsidR="00197CB6">
          <w:rPr>
            <w:webHidden/>
          </w:rPr>
          <w:instrText xml:space="preserve"> PAGEREF _Toc158026553 \h </w:instrText>
        </w:r>
        <w:r w:rsidR="00197CB6">
          <w:rPr>
            <w:webHidden/>
          </w:rPr>
        </w:r>
        <w:r w:rsidR="00197CB6">
          <w:rPr>
            <w:webHidden/>
          </w:rPr>
          <w:fldChar w:fldCharType="separate"/>
        </w:r>
        <w:r w:rsidR="007A08D1">
          <w:rPr>
            <w:webHidden/>
          </w:rPr>
          <w:t>8</w:t>
        </w:r>
        <w:r w:rsidR="00197CB6">
          <w:rPr>
            <w:webHidden/>
          </w:rPr>
          <w:fldChar w:fldCharType="end"/>
        </w:r>
      </w:hyperlink>
    </w:p>
    <w:p w14:paraId="3F1684BF" w14:textId="5BD34B69"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54" w:history="1">
        <w:r w:rsidR="00197CB6" w:rsidRPr="00BD4041">
          <w:rPr>
            <w:rStyle w:val="Hyperlink"/>
            <w:lang w:eastAsia="en-AU" w:bidi="hi-IN"/>
          </w:rPr>
          <w:t>Table 5: Number of autologous and recipient cycles by women’s male partners’ age group and treatment type, New Zealand, 2021</w:t>
        </w:r>
        <w:r w:rsidR="00197CB6">
          <w:rPr>
            <w:webHidden/>
          </w:rPr>
          <w:tab/>
        </w:r>
        <w:r w:rsidR="00197CB6">
          <w:rPr>
            <w:webHidden/>
          </w:rPr>
          <w:fldChar w:fldCharType="begin"/>
        </w:r>
        <w:r w:rsidR="00197CB6">
          <w:rPr>
            <w:webHidden/>
          </w:rPr>
          <w:instrText xml:space="preserve"> PAGEREF _Toc158026554 \h </w:instrText>
        </w:r>
        <w:r w:rsidR="00197CB6">
          <w:rPr>
            <w:webHidden/>
          </w:rPr>
        </w:r>
        <w:r w:rsidR="00197CB6">
          <w:rPr>
            <w:webHidden/>
          </w:rPr>
          <w:fldChar w:fldCharType="separate"/>
        </w:r>
        <w:r w:rsidR="007A08D1">
          <w:rPr>
            <w:webHidden/>
          </w:rPr>
          <w:t>8</w:t>
        </w:r>
        <w:r w:rsidR="00197CB6">
          <w:rPr>
            <w:webHidden/>
          </w:rPr>
          <w:fldChar w:fldCharType="end"/>
        </w:r>
      </w:hyperlink>
    </w:p>
    <w:p w14:paraId="5DEF5852" w14:textId="402E0B40"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55" w:history="1">
        <w:r w:rsidR="00197CB6" w:rsidRPr="00BD4041">
          <w:rPr>
            <w:rStyle w:val="Hyperlink"/>
            <w:lang w:eastAsia="en-AU" w:bidi="hi-IN"/>
          </w:rPr>
          <w:t>Table 6: Number of autologous and recipient cycles by parity and treatment type, New Zealand, 2021</w:t>
        </w:r>
        <w:r w:rsidR="00197CB6">
          <w:rPr>
            <w:webHidden/>
          </w:rPr>
          <w:tab/>
        </w:r>
        <w:r w:rsidR="00197CB6">
          <w:rPr>
            <w:webHidden/>
          </w:rPr>
          <w:fldChar w:fldCharType="begin"/>
        </w:r>
        <w:r w:rsidR="00197CB6">
          <w:rPr>
            <w:webHidden/>
          </w:rPr>
          <w:instrText xml:space="preserve"> PAGEREF _Toc158026555 \h </w:instrText>
        </w:r>
        <w:r w:rsidR="00197CB6">
          <w:rPr>
            <w:webHidden/>
          </w:rPr>
        </w:r>
        <w:r w:rsidR="00197CB6">
          <w:rPr>
            <w:webHidden/>
          </w:rPr>
          <w:fldChar w:fldCharType="separate"/>
        </w:r>
        <w:r w:rsidR="007A08D1">
          <w:rPr>
            <w:webHidden/>
          </w:rPr>
          <w:t>9</w:t>
        </w:r>
        <w:r w:rsidR="00197CB6">
          <w:rPr>
            <w:webHidden/>
          </w:rPr>
          <w:fldChar w:fldCharType="end"/>
        </w:r>
      </w:hyperlink>
    </w:p>
    <w:p w14:paraId="421C1FD3" w14:textId="607C1A6B"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56" w:history="1">
        <w:r w:rsidR="00197CB6" w:rsidRPr="00BD4041">
          <w:rPr>
            <w:rStyle w:val="Hyperlink"/>
            <w:lang w:eastAsia="en-AU" w:bidi="hi-IN"/>
          </w:rPr>
          <w:t>Table 7: Number of autologous and recipient cycles with fertilisation attempted by treatment type and procedure, New Zealand, 2021</w:t>
        </w:r>
        <w:r w:rsidR="00197CB6">
          <w:rPr>
            <w:webHidden/>
          </w:rPr>
          <w:tab/>
        </w:r>
        <w:r w:rsidR="00197CB6">
          <w:rPr>
            <w:webHidden/>
          </w:rPr>
          <w:fldChar w:fldCharType="begin"/>
        </w:r>
        <w:r w:rsidR="00197CB6">
          <w:rPr>
            <w:webHidden/>
          </w:rPr>
          <w:instrText xml:space="preserve"> PAGEREF _Toc158026556 \h </w:instrText>
        </w:r>
        <w:r w:rsidR="00197CB6">
          <w:rPr>
            <w:webHidden/>
          </w:rPr>
        </w:r>
        <w:r w:rsidR="00197CB6">
          <w:rPr>
            <w:webHidden/>
          </w:rPr>
          <w:fldChar w:fldCharType="separate"/>
        </w:r>
        <w:r w:rsidR="007A08D1">
          <w:rPr>
            <w:webHidden/>
          </w:rPr>
          <w:t>9</w:t>
        </w:r>
        <w:r w:rsidR="00197CB6">
          <w:rPr>
            <w:webHidden/>
          </w:rPr>
          <w:fldChar w:fldCharType="end"/>
        </w:r>
      </w:hyperlink>
    </w:p>
    <w:p w14:paraId="4BFDB9EB" w14:textId="08F66C33"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57" w:history="1">
        <w:r w:rsidR="00197CB6" w:rsidRPr="00BD4041">
          <w:rPr>
            <w:rStyle w:val="Hyperlink"/>
            <w:lang w:eastAsia="en-AU" w:bidi="hi-IN"/>
          </w:rPr>
          <w:t>Table 8: Number of embryo transfer cycles by number of embryos transferred per cycle and women’s age group, New Zealand, 2021</w:t>
        </w:r>
        <w:r w:rsidR="00197CB6">
          <w:rPr>
            <w:webHidden/>
          </w:rPr>
          <w:tab/>
        </w:r>
        <w:r w:rsidR="00197CB6">
          <w:rPr>
            <w:webHidden/>
          </w:rPr>
          <w:fldChar w:fldCharType="begin"/>
        </w:r>
        <w:r w:rsidR="00197CB6">
          <w:rPr>
            <w:webHidden/>
          </w:rPr>
          <w:instrText xml:space="preserve"> PAGEREF _Toc158026557 \h </w:instrText>
        </w:r>
        <w:r w:rsidR="00197CB6">
          <w:rPr>
            <w:webHidden/>
          </w:rPr>
        </w:r>
        <w:r w:rsidR="00197CB6">
          <w:rPr>
            <w:webHidden/>
          </w:rPr>
          <w:fldChar w:fldCharType="separate"/>
        </w:r>
        <w:r w:rsidR="007A08D1">
          <w:rPr>
            <w:webHidden/>
          </w:rPr>
          <w:t>10</w:t>
        </w:r>
        <w:r w:rsidR="00197CB6">
          <w:rPr>
            <w:webHidden/>
          </w:rPr>
          <w:fldChar w:fldCharType="end"/>
        </w:r>
      </w:hyperlink>
    </w:p>
    <w:p w14:paraId="5FD24529" w14:textId="04585DC7"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58" w:history="1">
        <w:r w:rsidR="00197CB6" w:rsidRPr="00BD4041">
          <w:rPr>
            <w:rStyle w:val="Hyperlink"/>
            <w:lang w:eastAsia="en-AU" w:bidi="hi-IN"/>
          </w:rPr>
          <w:t>Table 9: Number of embryo transfer cycles by treatment type and stage of embryo development, New Zealand, 2021</w:t>
        </w:r>
        <w:r w:rsidR="00197CB6">
          <w:rPr>
            <w:webHidden/>
          </w:rPr>
          <w:tab/>
        </w:r>
        <w:r w:rsidR="00197CB6">
          <w:rPr>
            <w:webHidden/>
          </w:rPr>
          <w:fldChar w:fldCharType="begin"/>
        </w:r>
        <w:r w:rsidR="00197CB6">
          <w:rPr>
            <w:webHidden/>
          </w:rPr>
          <w:instrText xml:space="preserve"> PAGEREF _Toc158026558 \h </w:instrText>
        </w:r>
        <w:r w:rsidR="00197CB6">
          <w:rPr>
            <w:webHidden/>
          </w:rPr>
        </w:r>
        <w:r w:rsidR="00197CB6">
          <w:rPr>
            <w:webHidden/>
          </w:rPr>
          <w:fldChar w:fldCharType="separate"/>
        </w:r>
        <w:r w:rsidR="007A08D1">
          <w:rPr>
            <w:webHidden/>
          </w:rPr>
          <w:t>10</w:t>
        </w:r>
        <w:r w:rsidR="00197CB6">
          <w:rPr>
            <w:webHidden/>
          </w:rPr>
          <w:fldChar w:fldCharType="end"/>
        </w:r>
      </w:hyperlink>
    </w:p>
    <w:p w14:paraId="20B4191A" w14:textId="518A3711"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59" w:history="1">
        <w:r w:rsidR="00197CB6" w:rsidRPr="00BD4041">
          <w:rPr>
            <w:rStyle w:val="Hyperlink"/>
            <w:lang w:eastAsia="en-AU" w:bidi="hi-IN"/>
          </w:rPr>
          <w:t>Table 10: Number of embryo transfer cycles by freezing method and stage of embryo development, New Zealand, 2021</w:t>
        </w:r>
        <w:r w:rsidR="00197CB6">
          <w:rPr>
            <w:webHidden/>
          </w:rPr>
          <w:tab/>
        </w:r>
        <w:r w:rsidR="00197CB6">
          <w:rPr>
            <w:webHidden/>
          </w:rPr>
          <w:fldChar w:fldCharType="begin"/>
        </w:r>
        <w:r w:rsidR="00197CB6">
          <w:rPr>
            <w:webHidden/>
          </w:rPr>
          <w:instrText xml:space="preserve"> PAGEREF _Toc158026559 \h </w:instrText>
        </w:r>
        <w:r w:rsidR="00197CB6">
          <w:rPr>
            <w:webHidden/>
          </w:rPr>
        </w:r>
        <w:r w:rsidR="00197CB6">
          <w:rPr>
            <w:webHidden/>
          </w:rPr>
          <w:fldChar w:fldCharType="separate"/>
        </w:r>
        <w:r w:rsidR="007A08D1">
          <w:rPr>
            <w:webHidden/>
          </w:rPr>
          <w:t>11</w:t>
        </w:r>
        <w:r w:rsidR="00197CB6">
          <w:rPr>
            <w:webHidden/>
          </w:rPr>
          <w:fldChar w:fldCharType="end"/>
        </w:r>
      </w:hyperlink>
    </w:p>
    <w:p w14:paraId="3833C0CE" w14:textId="52C9DE09"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60" w:history="1">
        <w:r w:rsidR="00197CB6" w:rsidRPr="00BD4041">
          <w:rPr>
            <w:rStyle w:val="Hyperlink"/>
            <w:lang w:eastAsia="en-AU" w:bidi="hi-IN"/>
          </w:rPr>
          <w:t>Table 11: Outcomes of autologous fresh cycles by women's age group, New Zealand, 2021</w:t>
        </w:r>
        <w:r w:rsidR="00197CB6">
          <w:rPr>
            <w:webHidden/>
          </w:rPr>
          <w:tab/>
        </w:r>
        <w:r w:rsidR="00197CB6">
          <w:rPr>
            <w:webHidden/>
          </w:rPr>
          <w:fldChar w:fldCharType="begin"/>
        </w:r>
        <w:r w:rsidR="00197CB6">
          <w:rPr>
            <w:webHidden/>
          </w:rPr>
          <w:instrText xml:space="preserve"> PAGEREF _Toc158026560 \h </w:instrText>
        </w:r>
        <w:r w:rsidR="00197CB6">
          <w:rPr>
            <w:webHidden/>
          </w:rPr>
        </w:r>
        <w:r w:rsidR="00197CB6">
          <w:rPr>
            <w:webHidden/>
          </w:rPr>
          <w:fldChar w:fldCharType="separate"/>
        </w:r>
        <w:r w:rsidR="007A08D1">
          <w:rPr>
            <w:webHidden/>
          </w:rPr>
          <w:t>12</w:t>
        </w:r>
        <w:r w:rsidR="00197CB6">
          <w:rPr>
            <w:webHidden/>
          </w:rPr>
          <w:fldChar w:fldCharType="end"/>
        </w:r>
      </w:hyperlink>
    </w:p>
    <w:p w14:paraId="347867D1" w14:textId="39B1B07F"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61" w:history="1">
        <w:r w:rsidR="00197CB6" w:rsidRPr="00BD4041">
          <w:rPr>
            <w:rStyle w:val="Hyperlink"/>
            <w:lang w:eastAsia="en-AU" w:bidi="hi-IN"/>
          </w:rPr>
          <w:t>Table 12: Outcomes of autologous fresh embryo transfer cycles by women's age and number of embryos transferred, New Zealand, 2021</w:t>
        </w:r>
        <w:r w:rsidR="00197CB6">
          <w:rPr>
            <w:webHidden/>
          </w:rPr>
          <w:tab/>
        </w:r>
        <w:r w:rsidR="00197CB6">
          <w:rPr>
            <w:webHidden/>
          </w:rPr>
          <w:fldChar w:fldCharType="begin"/>
        </w:r>
        <w:r w:rsidR="00197CB6">
          <w:rPr>
            <w:webHidden/>
          </w:rPr>
          <w:instrText xml:space="preserve"> PAGEREF _Toc158026561 \h </w:instrText>
        </w:r>
        <w:r w:rsidR="00197CB6">
          <w:rPr>
            <w:webHidden/>
          </w:rPr>
        </w:r>
        <w:r w:rsidR="00197CB6">
          <w:rPr>
            <w:webHidden/>
          </w:rPr>
          <w:fldChar w:fldCharType="separate"/>
        </w:r>
        <w:r w:rsidR="007A08D1">
          <w:rPr>
            <w:webHidden/>
          </w:rPr>
          <w:t>12</w:t>
        </w:r>
        <w:r w:rsidR="00197CB6">
          <w:rPr>
            <w:webHidden/>
          </w:rPr>
          <w:fldChar w:fldCharType="end"/>
        </w:r>
      </w:hyperlink>
    </w:p>
    <w:p w14:paraId="0A33939F" w14:textId="79981868"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62" w:history="1">
        <w:r w:rsidR="00197CB6" w:rsidRPr="00BD4041">
          <w:rPr>
            <w:rStyle w:val="Hyperlink"/>
            <w:lang w:eastAsia="en-AU" w:bidi="hi-IN"/>
          </w:rPr>
          <w:t>Table 13: Outcomes of autologous fresh embryo transfer cycles by women's age and stage of embryo development, New Zealand, 2021</w:t>
        </w:r>
        <w:r w:rsidR="00197CB6">
          <w:rPr>
            <w:webHidden/>
          </w:rPr>
          <w:tab/>
        </w:r>
        <w:r w:rsidR="00197CB6">
          <w:rPr>
            <w:webHidden/>
          </w:rPr>
          <w:fldChar w:fldCharType="begin"/>
        </w:r>
        <w:r w:rsidR="00197CB6">
          <w:rPr>
            <w:webHidden/>
          </w:rPr>
          <w:instrText xml:space="preserve"> PAGEREF _Toc158026562 \h </w:instrText>
        </w:r>
        <w:r w:rsidR="00197CB6">
          <w:rPr>
            <w:webHidden/>
          </w:rPr>
        </w:r>
        <w:r w:rsidR="00197CB6">
          <w:rPr>
            <w:webHidden/>
          </w:rPr>
          <w:fldChar w:fldCharType="separate"/>
        </w:r>
        <w:r w:rsidR="007A08D1">
          <w:rPr>
            <w:webHidden/>
          </w:rPr>
          <w:t>13</w:t>
        </w:r>
        <w:r w:rsidR="00197CB6">
          <w:rPr>
            <w:webHidden/>
          </w:rPr>
          <w:fldChar w:fldCharType="end"/>
        </w:r>
      </w:hyperlink>
    </w:p>
    <w:p w14:paraId="77B2F44E" w14:textId="5CCA0ECF"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63" w:history="1">
        <w:r w:rsidR="00197CB6" w:rsidRPr="00BD4041">
          <w:rPr>
            <w:rStyle w:val="Hyperlink"/>
            <w:lang w:eastAsia="en-AU" w:bidi="hi-IN"/>
          </w:rPr>
          <w:t>Table 14: Outcomes of autologous thaw cycles by women's age group, New Zealand, 2021</w:t>
        </w:r>
        <w:r w:rsidR="00197CB6">
          <w:rPr>
            <w:webHidden/>
          </w:rPr>
          <w:tab/>
        </w:r>
        <w:r w:rsidR="00197CB6">
          <w:rPr>
            <w:webHidden/>
          </w:rPr>
          <w:fldChar w:fldCharType="begin"/>
        </w:r>
        <w:r w:rsidR="00197CB6">
          <w:rPr>
            <w:webHidden/>
          </w:rPr>
          <w:instrText xml:space="preserve"> PAGEREF _Toc158026563 \h </w:instrText>
        </w:r>
        <w:r w:rsidR="00197CB6">
          <w:rPr>
            <w:webHidden/>
          </w:rPr>
        </w:r>
        <w:r w:rsidR="00197CB6">
          <w:rPr>
            <w:webHidden/>
          </w:rPr>
          <w:fldChar w:fldCharType="separate"/>
        </w:r>
        <w:r w:rsidR="007A08D1">
          <w:rPr>
            <w:webHidden/>
          </w:rPr>
          <w:t>14</w:t>
        </w:r>
        <w:r w:rsidR="00197CB6">
          <w:rPr>
            <w:webHidden/>
          </w:rPr>
          <w:fldChar w:fldCharType="end"/>
        </w:r>
      </w:hyperlink>
    </w:p>
    <w:p w14:paraId="2753415C" w14:textId="7985CA99"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64" w:history="1">
        <w:r w:rsidR="00197CB6" w:rsidRPr="00BD4041">
          <w:rPr>
            <w:rStyle w:val="Hyperlink"/>
            <w:lang w:eastAsia="en-AU" w:bidi="hi-IN"/>
          </w:rPr>
          <w:t>Table 15: Outcomes of autologous thaw embryo transfer cycles by women's age and number of embryos transferred, New Zealand, 2021</w:t>
        </w:r>
        <w:r w:rsidR="00197CB6">
          <w:rPr>
            <w:webHidden/>
          </w:rPr>
          <w:tab/>
        </w:r>
        <w:r w:rsidR="00197CB6">
          <w:rPr>
            <w:webHidden/>
          </w:rPr>
          <w:fldChar w:fldCharType="begin"/>
        </w:r>
        <w:r w:rsidR="00197CB6">
          <w:rPr>
            <w:webHidden/>
          </w:rPr>
          <w:instrText xml:space="preserve"> PAGEREF _Toc158026564 \h </w:instrText>
        </w:r>
        <w:r w:rsidR="00197CB6">
          <w:rPr>
            <w:webHidden/>
          </w:rPr>
        </w:r>
        <w:r w:rsidR="00197CB6">
          <w:rPr>
            <w:webHidden/>
          </w:rPr>
          <w:fldChar w:fldCharType="separate"/>
        </w:r>
        <w:r w:rsidR="007A08D1">
          <w:rPr>
            <w:webHidden/>
          </w:rPr>
          <w:t>14</w:t>
        </w:r>
        <w:r w:rsidR="00197CB6">
          <w:rPr>
            <w:webHidden/>
          </w:rPr>
          <w:fldChar w:fldCharType="end"/>
        </w:r>
      </w:hyperlink>
    </w:p>
    <w:p w14:paraId="3FFF24FD" w14:textId="32A2030C"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65" w:history="1">
        <w:r w:rsidR="00197CB6" w:rsidRPr="00BD4041">
          <w:rPr>
            <w:rStyle w:val="Hyperlink"/>
            <w:lang w:eastAsia="en-AU" w:bidi="hi-IN"/>
          </w:rPr>
          <w:t>Table 16: Outcomes of autologous thaw embryo transfer cycles by women’s age and stage of embryo development, New Zealand, 2021</w:t>
        </w:r>
        <w:r w:rsidR="00197CB6">
          <w:rPr>
            <w:webHidden/>
          </w:rPr>
          <w:tab/>
        </w:r>
        <w:r w:rsidR="00197CB6">
          <w:rPr>
            <w:webHidden/>
          </w:rPr>
          <w:fldChar w:fldCharType="begin"/>
        </w:r>
        <w:r w:rsidR="00197CB6">
          <w:rPr>
            <w:webHidden/>
          </w:rPr>
          <w:instrText xml:space="preserve"> PAGEREF _Toc158026565 \h </w:instrText>
        </w:r>
        <w:r w:rsidR="00197CB6">
          <w:rPr>
            <w:webHidden/>
          </w:rPr>
        </w:r>
        <w:r w:rsidR="00197CB6">
          <w:rPr>
            <w:webHidden/>
          </w:rPr>
          <w:fldChar w:fldCharType="separate"/>
        </w:r>
        <w:r w:rsidR="007A08D1">
          <w:rPr>
            <w:webHidden/>
          </w:rPr>
          <w:t>15</w:t>
        </w:r>
        <w:r w:rsidR="00197CB6">
          <w:rPr>
            <w:webHidden/>
          </w:rPr>
          <w:fldChar w:fldCharType="end"/>
        </w:r>
      </w:hyperlink>
    </w:p>
    <w:p w14:paraId="3A3ACB16" w14:textId="334E638A"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66" w:history="1">
        <w:r w:rsidR="00197CB6" w:rsidRPr="00BD4041">
          <w:rPr>
            <w:rStyle w:val="Hyperlink"/>
            <w:lang w:eastAsia="en-AU" w:bidi="hi-IN"/>
          </w:rPr>
          <w:t>Table 17: Number of oocyte/embryo donation cycles by donor’s age group, New Zealand, 2021</w:t>
        </w:r>
        <w:r w:rsidR="00197CB6">
          <w:rPr>
            <w:webHidden/>
          </w:rPr>
          <w:tab/>
        </w:r>
        <w:r w:rsidR="00197CB6">
          <w:rPr>
            <w:webHidden/>
          </w:rPr>
          <w:fldChar w:fldCharType="begin"/>
        </w:r>
        <w:r w:rsidR="00197CB6">
          <w:rPr>
            <w:webHidden/>
          </w:rPr>
          <w:instrText xml:space="preserve"> PAGEREF _Toc158026566 \h </w:instrText>
        </w:r>
        <w:r w:rsidR="00197CB6">
          <w:rPr>
            <w:webHidden/>
          </w:rPr>
        </w:r>
        <w:r w:rsidR="00197CB6">
          <w:rPr>
            <w:webHidden/>
          </w:rPr>
          <w:fldChar w:fldCharType="separate"/>
        </w:r>
        <w:r w:rsidR="007A08D1">
          <w:rPr>
            <w:webHidden/>
          </w:rPr>
          <w:t>16</w:t>
        </w:r>
        <w:r w:rsidR="00197CB6">
          <w:rPr>
            <w:webHidden/>
          </w:rPr>
          <w:fldChar w:fldCharType="end"/>
        </w:r>
      </w:hyperlink>
    </w:p>
    <w:p w14:paraId="7C8DE846" w14:textId="760CBC9E"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67" w:history="1">
        <w:r w:rsidR="00197CB6" w:rsidRPr="00BD4041">
          <w:rPr>
            <w:rStyle w:val="Hyperlink"/>
            <w:lang w:eastAsia="en-AU" w:bidi="hi-IN"/>
          </w:rPr>
          <w:t>Table 18: Outcomes of oocyte/embryo recipient cycles by treatment type, New Zealand, 2021</w:t>
        </w:r>
        <w:r w:rsidR="00197CB6">
          <w:rPr>
            <w:webHidden/>
          </w:rPr>
          <w:tab/>
        </w:r>
        <w:r w:rsidR="00197CB6">
          <w:rPr>
            <w:webHidden/>
          </w:rPr>
          <w:fldChar w:fldCharType="begin"/>
        </w:r>
        <w:r w:rsidR="00197CB6">
          <w:rPr>
            <w:webHidden/>
          </w:rPr>
          <w:instrText xml:space="preserve"> PAGEREF _Toc158026567 \h </w:instrText>
        </w:r>
        <w:r w:rsidR="00197CB6">
          <w:rPr>
            <w:webHidden/>
          </w:rPr>
        </w:r>
        <w:r w:rsidR="00197CB6">
          <w:rPr>
            <w:webHidden/>
          </w:rPr>
          <w:fldChar w:fldCharType="separate"/>
        </w:r>
        <w:r w:rsidR="007A08D1">
          <w:rPr>
            <w:webHidden/>
          </w:rPr>
          <w:t>16</w:t>
        </w:r>
        <w:r w:rsidR="00197CB6">
          <w:rPr>
            <w:webHidden/>
          </w:rPr>
          <w:fldChar w:fldCharType="end"/>
        </w:r>
      </w:hyperlink>
    </w:p>
    <w:p w14:paraId="6B14CB19" w14:textId="40A620A9"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68" w:history="1">
        <w:r w:rsidR="00197CB6" w:rsidRPr="00BD4041">
          <w:rPr>
            <w:rStyle w:val="Hyperlink"/>
            <w:rFonts w:eastAsiaTheme="majorEastAsia"/>
            <w:lang w:eastAsia="en-AU" w:bidi="hi-IN"/>
          </w:rPr>
          <w:t>Table 19: Outcomes of oocyte/embryo recipient cycles by recipient's age group, New Zealand, 2021</w:t>
        </w:r>
        <w:r w:rsidR="00197CB6">
          <w:rPr>
            <w:webHidden/>
          </w:rPr>
          <w:tab/>
        </w:r>
        <w:r w:rsidR="00197CB6">
          <w:rPr>
            <w:webHidden/>
          </w:rPr>
          <w:fldChar w:fldCharType="begin"/>
        </w:r>
        <w:r w:rsidR="00197CB6">
          <w:rPr>
            <w:webHidden/>
          </w:rPr>
          <w:instrText xml:space="preserve"> PAGEREF _Toc158026568 \h </w:instrText>
        </w:r>
        <w:r w:rsidR="00197CB6">
          <w:rPr>
            <w:webHidden/>
          </w:rPr>
        </w:r>
        <w:r w:rsidR="00197CB6">
          <w:rPr>
            <w:webHidden/>
          </w:rPr>
          <w:fldChar w:fldCharType="separate"/>
        </w:r>
        <w:r w:rsidR="007A08D1">
          <w:rPr>
            <w:webHidden/>
          </w:rPr>
          <w:t>17</w:t>
        </w:r>
        <w:r w:rsidR="00197CB6">
          <w:rPr>
            <w:webHidden/>
          </w:rPr>
          <w:fldChar w:fldCharType="end"/>
        </w:r>
      </w:hyperlink>
    </w:p>
    <w:p w14:paraId="17C08016" w14:textId="69B173FA"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69" w:history="1">
        <w:r w:rsidR="00197CB6" w:rsidRPr="00BD4041">
          <w:rPr>
            <w:rStyle w:val="Hyperlink"/>
            <w:lang w:eastAsia="en-AU" w:bidi="hi-IN"/>
          </w:rPr>
          <w:t>Table 20: Outcomes of oocyte/embryo recipient cycles by donor’s age group, New Zealand, 2021</w:t>
        </w:r>
        <w:r w:rsidR="00197CB6">
          <w:rPr>
            <w:webHidden/>
          </w:rPr>
          <w:tab/>
        </w:r>
        <w:r w:rsidR="00197CB6">
          <w:rPr>
            <w:webHidden/>
          </w:rPr>
          <w:fldChar w:fldCharType="begin"/>
        </w:r>
        <w:r w:rsidR="00197CB6">
          <w:rPr>
            <w:webHidden/>
          </w:rPr>
          <w:instrText xml:space="preserve"> PAGEREF _Toc158026569 \h </w:instrText>
        </w:r>
        <w:r w:rsidR="00197CB6">
          <w:rPr>
            <w:webHidden/>
          </w:rPr>
        </w:r>
        <w:r w:rsidR="00197CB6">
          <w:rPr>
            <w:webHidden/>
          </w:rPr>
          <w:fldChar w:fldCharType="separate"/>
        </w:r>
        <w:r w:rsidR="007A08D1">
          <w:rPr>
            <w:webHidden/>
          </w:rPr>
          <w:t>17</w:t>
        </w:r>
        <w:r w:rsidR="00197CB6">
          <w:rPr>
            <w:webHidden/>
          </w:rPr>
          <w:fldChar w:fldCharType="end"/>
        </w:r>
      </w:hyperlink>
    </w:p>
    <w:p w14:paraId="4EFE8529" w14:textId="42AF3BBA"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70" w:history="1">
        <w:r w:rsidR="00197CB6" w:rsidRPr="00BD4041">
          <w:rPr>
            <w:rStyle w:val="Hyperlink"/>
            <w:lang w:eastAsia="en-AU" w:bidi="hi-IN"/>
          </w:rPr>
          <w:t>Table 21: Early pregnancy losses by pregnancy outcome and treatment type, New Zealand, 2021</w:t>
        </w:r>
        <w:r w:rsidR="00197CB6">
          <w:rPr>
            <w:webHidden/>
          </w:rPr>
          <w:tab/>
        </w:r>
        <w:r w:rsidR="00197CB6">
          <w:rPr>
            <w:webHidden/>
          </w:rPr>
          <w:fldChar w:fldCharType="begin"/>
        </w:r>
        <w:r w:rsidR="00197CB6">
          <w:rPr>
            <w:webHidden/>
          </w:rPr>
          <w:instrText xml:space="preserve"> PAGEREF _Toc158026570 \h </w:instrText>
        </w:r>
        <w:r w:rsidR="00197CB6">
          <w:rPr>
            <w:webHidden/>
          </w:rPr>
        </w:r>
        <w:r w:rsidR="00197CB6">
          <w:rPr>
            <w:webHidden/>
          </w:rPr>
          <w:fldChar w:fldCharType="separate"/>
        </w:r>
        <w:r w:rsidR="007A08D1">
          <w:rPr>
            <w:webHidden/>
          </w:rPr>
          <w:t>18</w:t>
        </w:r>
        <w:r w:rsidR="00197CB6">
          <w:rPr>
            <w:webHidden/>
          </w:rPr>
          <w:fldChar w:fldCharType="end"/>
        </w:r>
      </w:hyperlink>
    </w:p>
    <w:p w14:paraId="15476671" w14:textId="425FC2E1"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71" w:history="1">
        <w:r w:rsidR="00197CB6" w:rsidRPr="00BD4041">
          <w:rPr>
            <w:rStyle w:val="Hyperlink"/>
            <w:lang w:eastAsia="en-AU" w:bidi="hi-IN"/>
          </w:rPr>
          <w:t>Table 22: Births by birth outcome and treatment type, New Zealand, 2021</w:t>
        </w:r>
        <w:r w:rsidR="00197CB6">
          <w:rPr>
            <w:webHidden/>
          </w:rPr>
          <w:tab/>
        </w:r>
        <w:r w:rsidR="00197CB6">
          <w:rPr>
            <w:webHidden/>
          </w:rPr>
          <w:fldChar w:fldCharType="begin"/>
        </w:r>
        <w:r w:rsidR="00197CB6">
          <w:rPr>
            <w:webHidden/>
          </w:rPr>
          <w:instrText xml:space="preserve"> PAGEREF _Toc158026571 \h </w:instrText>
        </w:r>
        <w:r w:rsidR="00197CB6">
          <w:rPr>
            <w:webHidden/>
          </w:rPr>
        </w:r>
        <w:r w:rsidR="00197CB6">
          <w:rPr>
            <w:webHidden/>
          </w:rPr>
          <w:fldChar w:fldCharType="separate"/>
        </w:r>
        <w:r w:rsidR="007A08D1">
          <w:rPr>
            <w:webHidden/>
          </w:rPr>
          <w:t>19</w:t>
        </w:r>
        <w:r w:rsidR="00197CB6">
          <w:rPr>
            <w:webHidden/>
          </w:rPr>
          <w:fldChar w:fldCharType="end"/>
        </w:r>
      </w:hyperlink>
    </w:p>
    <w:p w14:paraId="6F31A9C8" w14:textId="710E692B"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72" w:history="1">
        <w:r w:rsidR="00197CB6" w:rsidRPr="00BD4041">
          <w:rPr>
            <w:rStyle w:val="Hyperlink"/>
            <w:lang w:eastAsia="en-AU" w:bidi="hi-IN"/>
          </w:rPr>
          <w:t>Table 23: Births by plurality and maternal age, New Zealand, 2021</w:t>
        </w:r>
        <w:r w:rsidR="00197CB6">
          <w:rPr>
            <w:webHidden/>
          </w:rPr>
          <w:tab/>
        </w:r>
        <w:r w:rsidR="00197CB6">
          <w:rPr>
            <w:webHidden/>
          </w:rPr>
          <w:fldChar w:fldCharType="begin"/>
        </w:r>
        <w:r w:rsidR="00197CB6">
          <w:rPr>
            <w:webHidden/>
          </w:rPr>
          <w:instrText xml:space="preserve"> PAGEREF _Toc158026572 \h </w:instrText>
        </w:r>
        <w:r w:rsidR="00197CB6">
          <w:rPr>
            <w:webHidden/>
          </w:rPr>
        </w:r>
        <w:r w:rsidR="00197CB6">
          <w:rPr>
            <w:webHidden/>
          </w:rPr>
          <w:fldChar w:fldCharType="separate"/>
        </w:r>
        <w:r w:rsidR="007A08D1">
          <w:rPr>
            <w:webHidden/>
          </w:rPr>
          <w:t>20</w:t>
        </w:r>
        <w:r w:rsidR="00197CB6">
          <w:rPr>
            <w:webHidden/>
          </w:rPr>
          <w:fldChar w:fldCharType="end"/>
        </w:r>
      </w:hyperlink>
    </w:p>
    <w:p w14:paraId="5F4B485A" w14:textId="124DF49C"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73" w:history="1">
        <w:r w:rsidR="00197CB6" w:rsidRPr="00BD4041">
          <w:rPr>
            <w:rStyle w:val="Hyperlink"/>
            <w:lang w:eastAsia="en-AU" w:bidi="hi-IN"/>
          </w:rPr>
          <w:t>Table 24: Babies by gestational age and plurality, New Zealand, 2021</w:t>
        </w:r>
        <w:r w:rsidR="00197CB6">
          <w:rPr>
            <w:webHidden/>
          </w:rPr>
          <w:tab/>
        </w:r>
        <w:r w:rsidR="00197CB6">
          <w:rPr>
            <w:webHidden/>
          </w:rPr>
          <w:fldChar w:fldCharType="begin"/>
        </w:r>
        <w:r w:rsidR="00197CB6">
          <w:rPr>
            <w:webHidden/>
          </w:rPr>
          <w:instrText xml:space="preserve"> PAGEREF _Toc158026573 \h </w:instrText>
        </w:r>
        <w:r w:rsidR="00197CB6">
          <w:rPr>
            <w:webHidden/>
          </w:rPr>
        </w:r>
        <w:r w:rsidR="00197CB6">
          <w:rPr>
            <w:webHidden/>
          </w:rPr>
          <w:fldChar w:fldCharType="separate"/>
        </w:r>
        <w:r w:rsidR="007A08D1">
          <w:rPr>
            <w:webHidden/>
          </w:rPr>
          <w:t>21</w:t>
        </w:r>
        <w:r w:rsidR="00197CB6">
          <w:rPr>
            <w:webHidden/>
          </w:rPr>
          <w:fldChar w:fldCharType="end"/>
        </w:r>
      </w:hyperlink>
    </w:p>
    <w:p w14:paraId="662397B5" w14:textId="4C5E65E1"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74" w:history="1">
        <w:r w:rsidR="00197CB6" w:rsidRPr="00BD4041">
          <w:rPr>
            <w:rStyle w:val="Hyperlink"/>
            <w:rFonts w:eastAsiaTheme="majorEastAsia"/>
            <w:lang w:eastAsia="en-AU" w:bidi="hi-IN"/>
          </w:rPr>
          <w:t>Table 25: Liveborn babies by birthweight group and plurality, New Zealand, 2021</w:t>
        </w:r>
        <w:r w:rsidR="00197CB6">
          <w:rPr>
            <w:webHidden/>
          </w:rPr>
          <w:tab/>
        </w:r>
        <w:r w:rsidR="00197CB6">
          <w:rPr>
            <w:webHidden/>
          </w:rPr>
          <w:fldChar w:fldCharType="begin"/>
        </w:r>
        <w:r w:rsidR="00197CB6">
          <w:rPr>
            <w:webHidden/>
          </w:rPr>
          <w:instrText xml:space="preserve"> PAGEREF _Toc158026574 \h </w:instrText>
        </w:r>
        <w:r w:rsidR="00197CB6">
          <w:rPr>
            <w:webHidden/>
          </w:rPr>
        </w:r>
        <w:r w:rsidR="00197CB6">
          <w:rPr>
            <w:webHidden/>
          </w:rPr>
          <w:fldChar w:fldCharType="separate"/>
        </w:r>
        <w:r w:rsidR="007A08D1">
          <w:rPr>
            <w:webHidden/>
          </w:rPr>
          <w:t>22</w:t>
        </w:r>
        <w:r w:rsidR="00197CB6">
          <w:rPr>
            <w:webHidden/>
          </w:rPr>
          <w:fldChar w:fldCharType="end"/>
        </w:r>
      </w:hyperlink>
    </w:p>
    <w:p w14:paraId="7E7FF3FC" w14:textId="6689D634"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75" w:history="1">
        <w:r w:rsidR="00197CB6" w:rsidRPr="00BD4041">
          <w:rPr>
            <w:rStyle w:val="Hyperlink"/>
            <w:rFonts w:eastAsiaTheme="majorEastAsia"/>
            <w:lang w:bidi="hi-IN"/>
          </w:rPr>
          <w:t>Table 26: Number of cycles with PGT by type of embryo, New Zealand, 2021</w:t>
        </w:r>
        <w:r w:rsidR="00197CB6">
          <w:rPr>
            <w:webHidden/>
          </w:rPr>
          <w:tab/>
        </w:r>
        <w:r w:rsidR="00197CB6">
          <w:rPr>
            <w:webHidden/>
          </w:rPr>
          <w:fldChar w:fldCharType="begin"/>
        </w:r>
        <w:r w:rsidR="00197CB6">
          <w:rPr>
            <w:webHidden/>
          </w:rPr>
          <w:instrText xml:space="preserve"> PAGEREF _Toc158026575 \h </w:instrText>
        </w:r>
        <w:r w:rsidR="00197CB6">
          <w:rPr>
            <w:webHidden/>
          </w:rPr>
        </w:r>
        <w:r w:rsidR="00197CB6">
          <w:rPr>
            <w:webHidden/>
          </w:rPr>
          <w:fldChar w:fldCharType="separate"/>
        </w:r>
        <w:r w:rsidR="007A08D1">
          <w:rPr>
            <w:webHidden/>
          </w:rPr>
          <w:t>23</w:t>
        </w:r>
        <w:r w:rsidR="00197CB6">
          <w:rPr>
            <w:webHidden/>
          </w:rPr>
          <w:fldChar w:fldCharType="end"/>
        </w:r>
      </w:hyperlink>
    </w:p>
    <w:p w14:paraId="0DC006B5" w14:textId="72F4FD8F"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76" w:history="1">
        <w:r w:rsidR="00197CB6" w:rsidRPr="00BD4041">
          <w:rPr>
            <w:rStyle w:val="Hyperlink"/>
            <w:lang w:eastAsia="en-AU" w:bidi="hi-IN"/>
          </w:rPr>
          <w:t>Table 27: Outcomes of DI cycles by women’s age group, New Zealand, 2021</w:t>
        </w:r>
        <w:r w:rsidR="00197CB6">
          <w:rPr>
            <w:webHidden/>
          </w:rPr>
          <w:tab/>
        </w:r>
        <w:r w:rsidR="00197CB6">
          <w:rPr>
            <w:webHidden/>
          </w:rPr>
          <w:fldChar w:fldCharType="begin"/>
        </w:r>
        <w:r w:rsidR="00197CB6">
          <w:rPr>
            <w:webHidden/>
          </w:rPr>
          <w:instrText xml:space="preserve"> PAGEREF _Toc158026576 \h </w:instrText>
        </w:r>
        <w:r w:rsidR="00197CB6">
          <w:rPr>
            <w:webHidden/>
          </w:rPr>
        </w:r>
        <w:r w:rsidR="00197CB6">
          <w:rPr>
            <w:webHidden/>
          </w:rPr>
          <w:fldChar w:fldCharType="separate"/>
        </w:r>
        <w:r w:rsidR="007A08D1">
          <w:rPr>
            <w:webHidden/>
          </w:rPr>
          <w:t>24</w:t>
        </w:r>
        <w:r w:rsidR="00197CB6">
          <w:rPr>
            <w:webHidden/>
          </w:rPr>
          <w:fldChar w:fldCharType="end"/>
        </w:r>
      </w:hyperlink>
    </w:p>
    <w:p w14:paraId="1ACE007C" w14:textId="733DD0AE"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77" w:history="1">
        <w:r w:rsidR="00197CB6" w:rsidRPr="00BD4041">
          <w:rPr>
            <w:rStyle w:val="Hyperlink"/>
            <w:rFonts w:cs="Arial"/>
            <w:lang w:eastAsia="en-AU" w:bidi="hi-IN"/>
          </w:rPr>
          <w:t>Table 28: Number of fresh and thaw cycles by stage/outcome of treatment, New Zealand, 2017-2021</w:t>
        </w:r>
        <w:r w:rsidR="00197CB6">
          <w:rPr>
            <w:webHidden/>
          </w:rPr>
          <w:tab/>
        </w:r>
        <w:r w:rsidR="00197CB6">
          <w:rPr>
            <w:webHidden/>
          </w:rPr>
          <w:fldChar w:fldCharType="begin"/>
        </w:r>
        <w:r w:rsidR="00197CB6">
          <w:rPr>
            <w:webHidden/>
          </w:rPr>
          <w:instrText xml:space="preserve"> PAGEREF _Toc158026577 \h </w:instrText>
        </w:r>
        <w:r w:rsidR="00197CB6">
          <w:rPr>
            <w:webHidden/>
          </w:rPr>
        </w:r>
        <w:r w:rsidR="00197CB6">
          <w:rPr>
            <w:webHidden/>
          </w:rPr>
          <w:fldChar w:fldCharType="separate"/>
        </w:r>
        <w:r w:rsidR="007A08D1">
          <w:rPr>
            <w:webHidden/>
          </w:rPr>
          <w:t>25</w:t>
        </w:r>
        <w:r w:rsidR="00197CB6">
          <w:rPr>
            <w:webHidden/>
          </w:rPr>
          <w:fldChar w:fldCharType="end"/>
        </w:r>
      </w:hyperlink>
    </w:p>
    <w:p w14:paraId="6BF54765" w14:textId="0FCC32C7"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78" w:history="1">
        <w:r w:rsidR="00197CB6" w:rsidRPr="00BD4041">
          <w:rPr>
            <w:rStyle w:val="Hyperlink"/>
            <w:lang w:eastAsia="en-AU" w:bidi="hi-IN"/>
          </w:rPr>
          <w:t xml:space="preserve">Table 29: Number of cycles by women’s age group for all women who started their first autologous fresh cycle (excluding </w:t>
        </w:r>
        <w:r w:rsidR="00197CB6" w:rsidRPr="00BD4041">
          <w:rPr>
            <w:rStyle w:val="Hyperlink"/>
            <w:iCs/>
            <w:lang w:eastAsia="en-AU" w:bidi="hi-IN"/>
          </w:rPr>
          <w:t xml:space="preserve">freeze-all </w:t>
        </w:r>
        <w:r w:rsidR="00197CB6" w:rsidRPr="00BD4041">
          <w:rPr>
            <w:rStyle w:val="Hyperlink"/>
            <w:lang w:eastAsia="en-AU" w:bidi="hi-IN"/>
          </w:rPr>
          <w:t>cycles</w:t>
        </w:r>
        <w:r w:rsidR="00197CB6" w:rsidRPr="00BD4041">
          <w:rPr>
            <w:rStyle w:val="Hyperlink"/>
            <w:rFonts w:cs="Arial"/>
            <w:vertAlign w:val="superscript"/>
            <w:lang w:eastAsia="en-AU" w:bidi="hi-IN"/>
          </w:rPr>
          <w:t>(a)</w:t>
        </w:r>
        <w:r w:rsidR="00197CB6" w:rsidRPr="00BD4041">
          <w:rPr>
            <w:rStyle w:val="Hyperlink"/>
            <w:lang w:eastAsia="en-AU" w:bidi="hi-IN"/>
          </w:rPr>
          <w:t>) between 1</w:t>
        </w:r>
        <w:r w:rsidR="00197CB6" w:rsidRPr="00BD4041">
          <w:rPr>
            <w:rStyle w:val="Hyperlink"/>
            <w:vertAlign w:val="superscript"/>
            <w:lang w:eastAsia="en-AU" w:bidi="hi-IN"/>
          </w:rPr>
          <w:t>st</w:t>
        </w:r>
        <w:r w:rsidR="00197CB6" w:rsidRPr="00BD4041">
          <w:rPr>
            <w:rStyle w:val="Hyperlink"/>
            <w:lang w:eastAsia="en-AU" w:bidi="hi-IN"/>
          </w:rPr>
          <w:t xml:space="preserve"> January 2019 and 31</w:t>
        </w:r>
        <w:r w:rsidR="00197CB6" w:rsidRPr="00BD4041">
          <w:rPr>
            <w:rStyle w:val="Hyperlink"/>
            <w:vertAlign w:val="superscript"/>
            <w:lang w:eastAsia="en-AU" w:bidi="hi-IN"/>
          </w:rPr>
          <w:t>st</w:t>
        </w:r>
        <w:r w:rsidR="00197CB6" w:rsidRPr="00BD4041">
          <w:rPr>
            <w:rStyle w:val="Hyperlink"/>
            <w:lang w:eastAsia="en-AU" w:bidi="hi-IN"/>
          </w:rPr>
          <w:t xml:space="preserve"> December 2019, New Zealand</w:t>
        </w:r>
        <w:r w:rsidR="00197CB6">
          <w:rPr>
            <w:webHidden/>
          </w:rPr>
          <w:tab/>
        </w:r>
        <w:r w:rsidR="00197CB6">
          <w:rPr>
            <w:webHidden/>
          </w:rPr>
          <w:fldChar w:fldCharType="begin"/>
        </w:r>
        <w:r w:rsidR="00197CB6">
          <w:rPr>
            <w:webHidden/>
          </w:rPr>
          <w:instrText xml:space="preserve"> PAGEREF _Toc158026578 \h </w:instrText>
        </w:r>
        <w:r w:rsidR="00197CB6">
          <w:rPr>
            <w:webHidden/>
          </w:rPr>
        </w:r>
        <w:r w:rsidR="00197CB6">
          <w:rPr>
            <w:webHidden/>
          </w:rPr>
          <w:fldChar w:fldCharType="separate"/>
        </w:r>
        <w:r w:rsidR="007A08D1">
          <w:rPr>
            <w:webHidden/>
          </w:rPr>
          <w:t>28</w:t>
        </w:r>
        <w:r w:rsidR="00197CB6">
          <w:rPr>
            <w:webHidden/>
          </w:rPr>
          <w:fldChar w:fldCharType="end"/>
        </w:r>
      </w:hyperlink>
    </w:p>
    <w:p w14:paraId="3BC0F04B" w14:textId="4041829C"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79" w:history="1">
        <w:r w:rsidR="00197CB6" w:rsidRPr="00BD4041">
          <w:rPr>
            <w:rStyle w:val="Hyperlink"/>
            <w:rFonts w:eastAsiaTheme="majorEastAsia"/>
            <w:lang w:eastAsia="en-AU" w:bidi="hi-IN"/>
          </w:rPr>
          <w:t>Table 30: Cycle-specific and cumulative live birth rates for all women who started their first autologous fresh cycle (excluding freeze-all cycles</w:t>
        </w:r>
        <w:r w:rsidR="00197CB6" w:rsidRPr="00BD4041">
          <w:rPr>
            <w:rStyle w:val="Hyperlink"/>
            <w:rFonts w:eastAsiaTheme="majorEastAsia"/>
            <w:vertAlign w:val="superscript"/>
            <w:lang w:eastAsia="en-AU" w:bidi="hi-IN"/>
          </w:rPr>
          <w:t>(a)</w:t>
        </w:r>
        <w:r w:rsidR="00197CB6" w:rsidRPr="00BD4041">
          <w:rPr>
            <w:rStyle w:val="Hyperlink"/>
            <w:rFonts w:eastAsiaTheme="majorEastAsia"/>
            <w:lang w:eastAsia="en-AU" w:bidi="hi-IN"/>
          </w:rPr>
          <w:t>) between 1st January 2019 and 31st December 2019, New Zealand, 2019-2021</w:t>
        </w:r>
        <w:r w:rsidR="00197CB6">
          <w:rPr>
            <w:webHidden/>
          </w:rPr>
          <w:tab/>
        </w:r>
        <w:r w:rsidR="00197CB6">
          <w:rPr>
            <w:webHidden/>
          </w:rPr>
          <w:fldChar w:fldCharType="begin"/>
        </w:r>
        <w:r w:rsidR="00197CB6">
          <w:rPr>
            <w:webHidden/>
          </w:rPr>
          <w:instrText xml:space="preserve"> PAGEREF _Toc158026579 \h </w:instrText>
        </w:r>
        <w:r w:rsidR="00197CB6">
          <w:rPr>
            <w:webHidden/>
          </w:rPr>
        </w:r>
        <w:r w:rsidR="00197CB6">
          <w:rPr>
            <w:webHidden/>
          </w:rPr>
          <w:fldChar w:fldCharType="separate"/>
        </w:r>
        <w:r w:rsidR="007A08D1">
          <w:rPr>
            <w:webHidden/>
          </w:rPr>
          <w:t>29</w:t>
        </w:r>
        <w:r w:rsidR="00197CB6">
          <w:rPr>
            <w:webHidden/>
          </w:rPr>
          <w:fldChar w:fldCharType="end"/>
        </w:r>
      </w:hyperlink>
    </w:p>
    <w:p w14:paraId="73CF37CC" w14:textId="244C0E6A"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80" w:history="1">
        <w:r w:rsidR="00197CB6" w:rsidRPr="00BD4041">
          <w:rPr>
            <w:rStyle w:val="Hyperlink"/>
            <w:rFonts w:eastAsiaTheme="majorEastAsia"/>
            <w:lang w:eastAsia="en-AU" w:bidi="hi-IN"/>
          </w:rPr>
          <w:t>Table 31: Cycle-specific and cumulative live birth rates for women aged less than 30 years who started their first autologous fresh cycle (excluding freeze-all cycles</w:t>
        </w:r>
        <w:r w:rsidR="00197CB6" w:rsidRPr="00BD4041">
          <w:rPr>
            <w:rStyle w:val="Hyperlink"/>
            <w:rFonts w:eastAsiaTheme="majorEastAsia"/>
            <w:vertAlign w:val="superscript"/>
            <w:lang w:eastAsia="en-AU" w:bidi="hi-IN"/>
          </w:rPr>
          <w:t>(a)</w:t>
        </w:r>
        <w:r w:rsidR="00197CB6" w:rsidRPr="00BD4041">
          <w:rPr>
            <w:rStyle w:val="Hyperlink"/>
            <w:rFonts w:eastAsiaTheme="majorEastAsia"/>
            <w:lang w:eastAsia="en-AU" w:bidi="hi-IN"/>
          </w:rPr>
          <w:t>) between 1st January 2019 and 31st December 2019, New Zealand, 2019-2021</w:t>
        </w:r>
        <w:r w:rsidR="00197CB6">
          <w:rPr>
            <w:webHidden/>
          </w:rPr>
          <w:tab/>
        </w:r>
        <w:r w:rsidR="00197CB6">
          <w:rPr>
            <w:webHidden/>
          </w:rPr>
          <w:fldChar w:fldCharType="begin"/>
        </w:r>
        <w:r w:rsidR="00197CB6">
          <w:rPr>
            <w:webHidden/>
          </w:rPr>
          <w:instrText xml:space="preserve"> PAGEREF _Toc158026580 \h </w:instrText>
        </w:r>
        <w:r w:rsidR="00197CB6">
          <w:rPr>
            <w:webHidden/>
          </w:rPr>
        </w:r>
        <w:r w:rsidR="00197CB6">
          <w:rPr>
            <w:webHidden/>
          </w:rPr>
          <w:fldChar w:fldCharType="separate"/>
        </w:r>
        <w:r w:rsidR="007A08D1">
          <w:rPr>
            <w:webHidden/>
          </w:rPr>
          <w:t>30</w:t>
        </w:r>
        <w:r w:rsidR="00197CB6">
          <w:rPr>
            <w:webHidden/>
          </w:rPr>
          <w:fldChar w:fldCharType="end"/>
        </w:r>
      </w:hyperlink>
    </w:p>
    <w:p w14:paraId="6F9C830B" w14:textId="4BFEC5DD"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81" w:history="1">
        <w:r w:rsidR="00197CB6" w:rsidRPr="00BD4041">
          <w:rPr>
            <w:rStyle w:val="Hyperlink"/>
            <w:lang w:eastAsia="en-AU" w:bidi="hi-IN"/>
          </w:rPr>
          <w:t>Table 32: Cycle-specific and cumulative live birth rates for women aged 30-34 years who started their first autologous fresh cycle (excluding freeze-all cycles</w:t>
        </w:r>
        <w:r w:rsidR="00197CB6" w:rsidRPr="00BD4041">
          <w:rPr>
            <w:rStyle w:val="Hyperlink"/>
            <w:vertAlign w:val="superscript"/>
            <w:lang w:eastAsia="en-AU" w:bidi="hi-IN"/>
          </w:rPr>
          <w:t>(a)</w:t>
        </w:r>
        <w:r w:rsidR="00197CB6" w:rsidRPr="00BD4041">
          <w:rPr>
            <w:rStyle w:val="Hyperlink"/>
            <w:lang w:eastAsia="en-AU" w:bidi="hi-IN"/>
          </w:rPr>
          <w:t>) between 1st January 2019 and 31st December 2019, New Zealand, 2019-2021</w:t>
        </w:r>
        <w:r w:rsidR="00197CB6">
          <w:rPr>
            <w:webHidden/>
          </w:rPr>
          <w:tab/>
        </w:r>
        <w:r w:rsidR="00197CB6">
          <w:rPr>
            <w:webHidden/>
          </w:rPr>
          <w:fldChar w:fldCharType="begin"/>
        </w:r>
        <w:r w:rsidR="00197CB6">
          <w:rPr>
            <w:webHidden/>
          </w:rPr>
          <w:instrText xml:space="preserve"> PAGEREF _Toc158026581 \h </w:instrText>
        </w:r>
        <w:r w:rsidR="00197CB6">
          <w:rPr>
            <w:webHidden/>
          </w:rPr>
        </w:r>
        <w:r w:rsidR="00197CB6">
          <w:rPr>
            <w:webHidden/>
          </w:rPr>
          <w:fldChar w:fldCharType="separate"/>
        </w:r>
        <w:r w:rsidR="007A08D1">
          <w:rPr>
            <w:webHidden/>
          </w:rPr>
          <w:t>31</w:t>
        </w:r>
        <w:r w:rsidR="00197CB6">
          <w:rPr>
            <w:webHidden/>
          </w:rPr>
          <w:fldChar w:fldCharType="end"/>
        </w:r>
      </w:hyperlink>
    </w:p>
    <w:p w14:paraId="625C399A" w14:textId="0B6D3E08"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82" w:history="1">
        <w:r w:rsidR="00197CB6" w:rsidRPr="00BD4041">
          <w:rPr>
            <w:rStyle w:val="Hyperlink"/>
            <w:lang w:eastAsia="en-AU" w:bidi="hi-IN"/>
          </w:rPr>
          <w:t>Table 33: Cycle-specific and cumulative live birth rates for women aged 35-39 years who started their first autologous fresh cycle (excluding freeze-all cycles</w:t>
        </w:r>
        <w:r w:rsidR="00197CB6" w:rsidRPr="00BD4041">
          <w:rPr>
            <w:rStyle w:val="Hyperlink"/>
            <w:vertAlign w:val="superscript"/>
            <w:lang w:eastAsia="en-AU" w:bidi="hi-IN"/>
          </w:rPr>
          <w:t>(a)</w:t>
        </w:r>
        <w:r w:rsidR="00197CB6" w:rsidRPr="00BD4041">
          <w:rPr>
            <w:rStyle w:val="Hyperlink"/>
            <w:lang w:eastAsia="en-AU" w:bidi="hi-IN"/>
          </w:rPr>
          <w:t>) between 1st January 2019 and 31st December 2019, New Zealand, 2019-2021</w:t>
        </w:r>
        <w:r w:rsidR="00197CB6">
          <w:rPr>
            <w:webHidden/>
          </w:rPr>
          <w:tab/>
        </w:r>
        <w:r w:rsidR="00197CB6">
          <w:rPr>
            <w:webHidden/>
          </w:rPr>
          <w:fldChar w:fldCharType="begin"/>
        </w:r>
        <w:r w:rsidR="00197CB6">
          <w:rPr>
            <w:webHidden/>
          </w:rPr>
          <w:instrText xml:space="preserve"> PAGEREF _Toc158026582 \h </w:instrText>
        </w:r>
        <w:r w:rsidR="00197CB6">
          <w:rPr>
            <w:webHidden/>
          </w:rPr>
        </w:r>
        <w:r w:rsidR="00197CB6">
          <w:rPr>
            <w:webHidden/>
          </w:rPr>
          <w:fldChar w:fldCharType="separate"/>
        </w:r>
        <w:r w:rsidR="007A08D1">
          <w:rPr>
            <w:webHidden/>
          </w:rPr>
          <w:t>32</w:t>
        </w:r>
        <w:r w:rsidR="00197CB6">
          <w:rPr>
            <w:webHidden/>
          </w:rPr>
          <w:fldChar w:fldCharType="end"/>
        </w:r>
      </w:hyperlink>
    </w:p>
    <w:p w14:paraId="071AA57C" w14:textId="63643FEA"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83" w:history="1">
        <w:r w:rsidR="00197CB6" w:rsidRPr="00BD4041">
          <w:rPr>
            <w:rStyle w:val="Hyperlink"/>
            <w:rFonts w:eastAsiaTheme="majorEastAsia"/>
            <w:lang w:eastAsia="en-AU" w:bidi="hi-IN"/>
          </w:rPr>
          <w:t>Table 34: Cycle-specific and cumulative live birth rates for women aged 40 years and over who started their first autologous fresh cycle (excluding freeze-all cycles</w:t>
        </w:r>
        <w:r w:rsidR="00197CB6" w:rsidRPr="00BD4041">
          <w:rPr>
            <w:rStyle w:val="Hyperlink"/>
            <w:rFonts w:eastAsiaTheme="majorEastAsia"/>
            <w:vertAlign w:val="superscript"/>
            <w:lang w:eastAsia="en-AU" w:bidi="hi-IN"/>
          </w:rPr>
          <w:t>(a)</w:t>
        </w:r>
        <w:r w:rsidR="00197CB6" w:rsidRPr="00BD4041">
          <w:rPr>
            <w:rStyle w:val="Hyperlink"/>
            <w:rFonts w:eastAsiaTheme="majorEastAsia"/>
            <w:lang w:eastAsia="en-AU" w:bidi="hi-IN"/>
          </w:rPr>
          <w:t>) between 1st January 2019 and 31st December 2019, New Zealand, 2019-2021</w:t>
        </w:r>
        <w:r w:rsidR="00197CB6">
          <w:rPr>
            <w:webHidden/>
          </w:rPr>
          <w:tab/>
        </w:r>
        <w:r w:rsidR="00197CB6">
          <w:rPr>
            <w:webHidden/>
          </w:rPr>
          <w:fldChar w:fldCharType="begin"/>
        </w:r>
        <w:r w:rsidR="00197CB6">
          <w:rPr>
            <w:webHidden/>
          </w:rPr>
          <w:instrText xml:space="preserve"> PAGEREF _Toc158026583 \h </w:instrText>
        </w:r>
        <w:r w:rsidR="00197CB6">
          <w:rPr>
            <w:webHidden/>
          </w:rPr>
        </w:r>
        <w:r w:rsidR="00197CB6">
          <w:rPr>
            <w:webHidden/>
          </w:rPr>
          <w:fldChar w:fldCharType="separate"/>
        </w:r>
        <w:r w:rsidR="007A08D1">
          <w:rPr>
            <w:webHidden/>
          </w:rPr>
          <w:t>33</w:t>
        </w:r>
        <w:r w:rsidR="00197CB6">
          <w:rPr>
            <w:webHidden/>
          </w:rPr>
          <w:fldChar w:fldCharType="end"/>
        </w:r>
      </w:hyperlink>
    </w:p>
    <w:p w14:paraId="244B460A" w14:textId="2904E76A"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84" w:history="1">
        <w:r w:rsidR="00197CB6" w:rsidRPr="00BD4041">
          <w:rPr>
            <w:rStyle w:val="Hyperlink"/>
            <w:lang w:eastAsia="en-AU" w:bidi="hi-IN"/>
          </w:rPr>
          <w:t xml:space="preserve">Table 35: Number of cycles by women’s age group for all women who started their first autologous fresh cycle (excluding </w:t>
        </w:r>
        <w:r w:rsidR="00197CB6" w:rsidRPr="00BD4041">
          <w:rPr>
            <w:rStyle w:val="Hyperlink"/>
            <w:iCs/>
            <w:lang w:eastAsia="en-AU" w:bidi="hi-IN"/>
          </w:rPr>
          <w:t xml:space="preserve">freeze-all </w:t>
        </w:r>
        <w:r w:rsidR="00197CB6" w:rsidRPr="00BD4041">
          <w:rPr>
            <w:rStyle w:val="Hyperlink"/>
            <w:lang w:eastAsia="en-AU" w:bidi="hi-IN"/>
          </w:rPr>
          <w:t>cycles</w:t>
        </w:r>
        <w:r w:rsidR="00197CB6" w:rsidRPr="00BD4041">
          <w:rPr>
            <w:rStyle w:val="Hyperlink"/>
            <w:rFonts w:cs="Arial"/>
            <w:vertAlign w:val="superscript"/>
            <w:lang w:eastAsia="en-AU" w:bidi="hi-IN"/>
          </w:rPr>
          <w:t>(a)</w:t>
        </w:r>
        <w:r w:rsidR="00197CB6" w:rsidRPr="00BD4041">
          <w:rPr>
            <w:rStyle w:val="Hyperlink"/>
            <w:lang w:eastAsia="en-AU" w:bidi="hi-IN"/>
          </w:rPr>
          <w:t>) between 1</w:t>
        </w:r>
        <w:r w:rsidR="00197CB6" w:rsidRPr="00BD4041">
          <w:rPr>
            <w:rStyle w:val="Hyperlink"/>
            <w:vertAlign w:val="superscript"/>
            <w:lang w:eastAsia="en-AU" w:bidi="hi-IN"/>
          </w:rPr>
          <w:t>st</w:t>
        </w:r>
        <w:r w:rsidR="00197CB6" w:rsidRPr="00BD4041">
          <w:rPr>
            <w:rStyle w:val="Hyperlink"/>
            <w:lang w:eastAsia="en-AU" w:bidi="hi-IN"/>
          </w:rPr>
          <w:t xml:space="preserve"> January 2018 and 31</w:t>
        </w:r>
        <w:r w:rsidR="00197CB6" w:rsidRPr="00BD4041">
          <w:rPr>
            <w:rStyle w:val="Hyperlink"/>
            <w:vertAlign w:val="superscript"/>
            <w:lang w:eastAsia="en-AU" w:bidi="hi-IN"/>
          </w:rPr>
          <w:t>st</w:t>
        </w:r>
        <w:r w:rsidR="00197CB6" w:rsidRPr="00BD4041">
          <w:rPr>
            <w:rStyle w:val="Hyperlink"/>
            <w:lang w:eastAsia="en-AU" w:bidi="hi-IN"/>
          </w:rPr>
          <w:t xml:space="preserve"> December 2018, New Zealand</w:t>
        </w:r>
        <w:r w:rsidR="00197CB6">
          <w:rPr>
            <w:webHidden/>
          </w:rPr>
          <w:tab/>
        </w:r>
        <w:r w:rsidR="00197CB6">
          <w:rPr>
            <w:webHidden/>
          </w:rPr>
          <w:fldChar w:fldCharType="begin"/>
        </w:r>
        <w:r w:rsidR="00197CB6">
          <w:rPr>
            <w:webHidden/>
          </w:rPr>
          <w:instrText xml:space="preserve"> PAGEREF _Toc158026584 \h </w:instrText>
        </w:r>
        <w:r w:rsidR="00197CB6">
          <w:rPr>
            <w:webHidden/>
          </w:rPr>
        </w:r>
        <w:r w:rsidR="00197CB6">
          <w:rPr>
            <w:webHidden/>
          </w:rPr>
          <w:fldChar w:fldCharType="separate"/>
        </w:r>
        <w:r w:rsidR="007A08D1">
          <w:rPr>
            <w:webHidden/>
          </w:rPr>
          <w:t>36</w:t>
        </w:r>
        <w:r w:rsidR="00197CB6">
          <w:rPr>
            <w:webHidden/>
          </w:rPr>
          <w:fldChar w:fldCharType="end"/>
        </w:r>
      </w:hyperlink>
    </w:p>
    <w:p w14:paraId="76CAA5C0" w14:textId="630AE7B2"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85" w:history="1">
        <w:r w:rsidR="00197CB6" w:rsidRPr="00BD4041">
          <w:rPr>
            <w:rStyle w:val="Hyperlink"/>
            <w:rFonts w:eastAsiaTheme="majorEastAsia"/>
            <w:lang w:eastAsia="en-AU" w:bidi="hi-IN"/>
          </w:rPr>
          <w:t>Table 36: Cycle-specific and cumulative live birth rates for all women who started their first autologous fresh cycle (excluding freeze-all cycles</w:t>
        </w:r>
        <w:r w:rsidR="00197CB6" w:rsidRPr="00BD4041">
          <w:rPr>
            <w:rStyle w:val="Hyperlink"/>
            <w:rFonts w:eastAsiaTheme="majorEastAsia"/>
            <w:vertAlign w:val="superscript"/>
            <w:lang w:eastAsia="en-AU" w:bidi="hi-IN"/>
          </w:rPr>
          <w:t>(a)</w:t>
        </w:r>
        <w:r w:rsidR="00197CB6" w:rsidRPr="00BD4041">
          <w:rPr>
            <w:rStyle w:val="Hyperlink"/>
            <w:rFonts w:eastAsiaTheme="majorEastAsia"/>
            <w:lang w:eastAsia="en-AU" w:bidi="hi-IN"/>
          </w:rPr>
          <w:t>) between 1st January 2018 and 31st December 2018, New Zealand, 2018-2021</w:t>
        </w:r>
        <w:r w:rsidR="00197CB6">
          <w:rPr>
            <w:webHidden/>
          </w:rPr>
          <w:tab/>
        </w:r>
        <w:r w:rsidR="00197CB6">
          <w:rPr>
            <w:webHidden/>
          </w:rPr>
          <w:fldChar w:fldCharType="begin"/>
        </w:r>
        <w:r w:rsidR="00197CB6">
          <w:rPr>
            <w:webHidden/>
          </w:rPr>
          <w:instrText xml:space="preserve"> PAGEREF _Toc158026585 \h </w:instrText>
        </w:r>
        <w:r w:rsidR="00197CB6">
          <w:rPr>
            <w:webHidden/>
          </w:rPr>
        </w:r>
        <w:r w:rsidR="00197CB6">
          <w:rPr>
            <w:webHidden/>
          </w:rPr>
          <w:fldChar w:fldCharType="separate"/>
        </w:r>
        <w:r w:rsidR="007A08D1">
          <w:rPr>
            <w:webHidden/>
          </w:rPr>
          <w:t>37</w:t>
        </w:r>
        <w:r w:rsidR="00197CB6">
          <w:rPr>
            <w:webHidden/>
          </w:rPr>
          <w:fldChar w:fldCharType="end"/>
        </w:r>
      </w:hyperlink>
    </w:p>
    <w:p w14:paraId="5745B8D3" w14:textId="007CE7E6"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86" w:history="1">
        <w:r w:rsidR="00197CB6" w:rsidRPr="00BD4041">
          <w:rPr>
            <w:rStyle w:val="Hyperlink"/>
            <w:rFonts w:eastAsiaTheme="majorEastAsia"/>
            <w:lang w:eastAsia="en-AU" w:bidi="hi-IN"/>
          </w:rPr>
          <w:t>Table 37: Cycle-specific and cumulative live birth rates for women aged less than 30 years who started their first autologous fresh cycle (excluding freeze-all cycles</w:t>
        </w:r>
        <w:r w:rsidR="00197CB6" w:rsidRPr="00BD4041">
          <w:rPr>
            <w:rStyle w:val="Hyperlink"/>
            <w:rFonts w:eastAsiaTheme="majorEastAsia"/>
            <w:vertAlign w:val="superscript"/>
            <w:lang w:eastAsia="en-AU" w:bidi="hi-IN"/>
          </w:rPr>
          <w:t>(a)</w:t>
        </w:r>
        <w:r w:rsidR="00197CB6" w:rsidRPr="00BD4041">
          <w:rPr>
            <w:rStyle w:val="Hyperlink"/>
            <w:rFonts w:eastAsiaTheme="majorEastAsia"/>
            <w:lang w:eastAsia="en-AU" w:bidi="hi-IN"/>
          </w:rPr>
          <w:t>) between 1st January 2018 and 31st December 2018, New Zealand, 2018-2021</w:t>
        </w:r>
        <w:r w:rsidR="00197CB6">
          <w:rPr>
            <w:webHidden/>
          </w:rPr>
          <w:tab/>
        </w:r>
        <w:r w:rsidR="00197CB6">
          <w:rPr>
            <w:webHidden/>
          </w:rPr>
          <w:fldChar w:fldCharType="begin"/>
        </w:r>
        <w:r w:rsidR="00197CB6">
          <w:rPr>
            <w:webHidden/>
          </w:rPr>
          <w:instrText xml:space="preserve"> PAGEREF _Toc158026586 \h </w:instrText>
        </w:r>
        <w:r w:rsidR="00197CB6">
          <w:rPr>
            <w:webHidden/>
          </w:rPr>
        </w:r>
        <w:r w:rsidR="00197CB6">
          <w:rPr>
            <w:webHidden/>
          </w:rPr>
          <w:fldChar w:fldCharType="separate"/>
        </w:r>
        <w:r w:rsidR="007A08D1">
          <w:rPr>
            <w:webHidden/>
          </w:rPr>
          <w:t>38</w:t>
        </w:r>
        <w:r w:rsidR="00197CB6">
          <w:rPr>
            <w:webHidden/>
          </w:rPr>
          <w:fldChar w:fldCharType="end"/>
        </w:r>
      </w:hyperlink>
    </w:p>
    <w:p w14:paraId="28D05D15" w14:textId="6F066D5E"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87" w:history="1">
        <w:r w:rsidR="00197CB6" w:rsidRPr="00BD4041">
          <w:rPr>
            <w:rStyle w:val="Hyperlink"/>
            <w:lang w:eastAsia="en-AU" w:bidi="hi-IN"/>
          </w:rPr>
          <w:t>Table 38: Cycle-specific and cumulative live birth rates for women aged 30-34 years who started their first autologous fresh cycle (excluding freeze-all cycles</w:t>
        </w:r>
        <w:r w:rsidR="00197CB6" w:rsidRPr="00BD4041">
          <w:rPr>
            <w:rStyle w:val="Hyperlink"/>
            <w:vertAlign w:val="superscript"/>
            <w:lang w:eastAsia="en-AU" w:bidi="hi-IN"/>
          </w:rPr>
          <w:t>(a)</w:t>
        </w:r>
        <w:r w:rsidR="00197CB6" w:rsidRPr="00BD4041">
          <w:rPr>
            <w:rStyle w:val="Hyperlink"/>
            <w:lang w:eastAsia="en-AU" w:bidi="hi-IN"/>
          </w:rPr>
          <w:t>) between 1st January 2018 and 31st December 2018, New Zealand, 2018-2021</w:t>
        </w:r>
        <w:r w:rsidR="00197CB6">
          <w:rPr>
            <w:webHidden/>
          </w:rPr>
          <w:tab/>
        </w:r>
        <w:r w:rsidR="00197CB6">
          <w:rPr>
            <w:webHidden/>
          </w:rPr>
          <w:fldChar w:fldCharType="begin"/>
        </w:r>
        <w:r w:rsidR="00197CB6">
          <w:rPr>
            <w:webHidden/>
          </w:rPr>
          <w:instrText xml:space="preserve"> PAGEREF _Toc158026587 \h </w:instrText>
        </w:r>
        <w:r w:rsidR="00197CB6">
          <w:rPr>
            <w:webHidden/>
          </w:rPr>
        </w:r>
        <w:r w:rsidR="00197CB6">
          <w:rPr>
            <w:webHidden/>
          </w:rPr>
          <w:fldChar w:fldCharType="separate"/>
        </w:r>
        <w:r w:rsidR="007A08D1">
          <w:rPr>
            <w:webHidden/>
          </w:rPr>
          <w:t>39</w:t>
        </w:r>
        <w:r w:rsidR="00197CB6">
          <w:rPr>
            <w:webHidden/>
          </w:rPr>
          <w:fldChar w:fldCharType="end"/>
        </w:r>
      </w:hyperlink>
    </w:p>
    <w:p w14:paraId="5C8FADB8" w14:textId="34D41760"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88" w:history="1">
        <w:r w:rsidR="00197CB6" w:rsidRPr="00BD4041">
          <w:rPr>
            <w:rStyle w:val="Hyperlink"/>
            <w:lang w:eastAsia="en-AU" w:bidi="hi-IN"/>
          </w:rPr>
          <w:t>Table 39: Cycle-specific and cumulative live birth rates for women aged 35-39 years who started their first autologous fresh cycle (excluding freeze-all cycles</w:t>
        </w:r>
        <w:r w:rsidR="00197CB6" w:rsidRPr="00BD4041">
          <w:rPr>
            <w:rStyle w:val="Hyperlink"/>
            <w:vertAlign w:val="superscript"/>
            <w:lang w:eastAsia="en-AU" w:bidi="hi-IN"/>
          </w:rPr>
          <w:t>(a)</w:t>
        </w:r>
        <w:r w:rsidR="00197CB6" w:rsidRPr="00BD4041">
          <w:rPr>
            <w:rStyle w:val="Hyperlink"/>
            <w:lang w:eastAsia="en-AU" w:bidi="hi-IN"/>
          </w:rPr>
          <w:t>) between 1st January 2018 and 31st December 2018, New Zealand, 2018-2021</w:t>
        </w:r>
        <w:r w:rsidR="00197CB6">
          <w:rPr>
            <w:webHidden/>
          </w:rPr>
          <w:tab/>
        </w:r>
        <w:r w:rsidR="00197CB6">
          <w:rPr>
            <w:webHidden/>
          </w:rPr>
          <w:fldChar w:fldCharType="begin"/>
        </w:r>
        <w:r w:rsidR="00197CB6">
          <w:rPr>
            <w:webHidden/>
          </w:rPr>
          <w:instrText xml:space="preserve"> PAGEREF _Toc158026588 \h </w:instrText>
        </w:r>
        <w:r w:rsidR="00197CB6">
          <w:rPr>
            <w:webHidden/>
          </w:rPr>
        </w:r>
        <w:r w:rsidR="00197CB6">
          <w:rPr>
            <w:webHidden/>
          </w:rPr>
          <w:fldChar w:fldCharType="separate"/>
        </w:r>
        <w:r w:rsidR="007A08D1">
          <w:rPr>
            <w:webHidden/>
          </w:rPr>
          <w:t>40</w:t>
        </w:r>
        <w:r w:rsidR="00197CB6">
          <w:rPr>
            <w:webHidden/>
          </w:rPr>
          <w:fldChar w:fldCharType="end"/>
        </w:r>
      </w:hyperlink>
    </w:p>
    <w:p w14:paraId="0F084370" w14:textId="349ED9DF" w:rsidR="00197CB6" w:rsidRDefault="00000000" w:rsidP="00487E53">
      <w:pPr>
        <w:pStyle w:val="TableofFigures"/>
        <w:rPr>
          <w:rFonts w:asciiTheme="minorHAnsi" w:eastAsiaTheme="minorEastAsia" w:hAnsiTheme="minorHAnsi" w:cstheme="minorBidi"/>
          <w:kern w:val="2"/>
          <w:szCs w:val="22"/>
          <w:lang w:eastAsia="en-AU"/>
          <w14:ligatures w14:val="standardContextual"/>
        </w:rPr>
      </w:pPr>
      <w:hyperlink w:anchor="_Toc158026589" w:history="1">
        <w:r w:rsidR="00197CB6" w:rsidRPr="00BD4041">
          <w:rPr>
            <w:rStyle w:val="Hyperlink"/>
            <w:rFonts w:eastAsiaTheme="majorEastAsia"/>
            <w:lang w:eastAsia="en-AU" w:bidi="hi-IN"/>
          </w:rPr>
          <w:t>Table 40: Cycle-specific and cumulative live birth rates for women aged 40 years and over who started their first autologous fresh cycle (excluding freeze-all cycles</w:t>
        </w:r>
        <w:r w:rsidR="00197CB6" w:rsidRPr="00BD4041">
          <w:rPr>
            <w:rStyle w:val="Hyperlink"/>
            <w:rFonts w:eastAsiaTheme="majorEastAsia"/>
            <w:vertAlign w:val="superscript"/>
            <w:lang w:eastAsia="en-AU" w:bidi="hi-IN"/>
          </w:rPr>
          <w:t>(a)</w:t>
        </w:r>
        <w:r w:rsidR="00197CB6" w:rsidRPr="00BD4041">
          <w:rPr>
            <w:rStyle w:val="Hyperlink"/>
            <w:rFonts w:eastAsiaTheme="majorEastAsia"/>
            <w:lang w:eastAsia="en-AU" w:bidi="hi-IN"/>
          </w:rPr>
          <w:t>) between 1st January 2018 and 31st December 2018, New Zealand, 2018-2021</w:t>
        </w:r>
        <w:r w:rsidR="00197CB6">
          <w:rPr>
            <w:webHidden/>
          </w:rPr>
          <w:tab/>
        </w:r>
        <w:r w:rsidR="00197CB6">
          <w:rPr>
            <w:webHidden/>
          </w:rPr>
          <w:fldChar w:fldCharType="begin"/>
        </w:r>
        <w:r w:rsidR="00197CB6">
          <w:rPr>
            <w:webHidden/>
          </w:rPr>
          <w:instrText xml:space="preserve"> PAGEREF _Toc158026589 \h </w:instrText>
        </w:r>
        <w:r w:rsidR="00197CB6">
          <w:rPr>
            <w:webHidden/>
          </w:rPr>
        </w:r>
        <w:r w:rsidR="00197CB6">
          <w:rPr>
            <w:webHidden/>
          </w:rPr>
          <w:fldChar w:fldCharType="separate"/>
        </w:r>
        <w:r w:rsidR="007A08D1">
          <w:rPr>
            <w:webHidden/>
          </w:rPr>
          <w:t>41</w:t>
        </w:r>
        <w:r w:rsidR="00197CB6">
          <w:rPr>
            <w:webHidden/>
          </w:rPr>
          <w:fldChar w:fldCharType="end"/>
        </w:r>
      </w:hyperlink>
    </w:p>
    <w:p w14:paraId="06EC2E03" w14:textId="4B0FE020" w:rsidR="009303CD" w:rsidRPr="00617599" w:rsidRDefault="00D97DF0" w:rsidP="009303CD">
      <w:pPr>
        <w:rPr>
          <w:rFonts w:ascii="Arial" w:hAnsi="Arial" w:cs="Arial"/>
        </w:rPr>
      </w:pPr>
      <w:r>
        <w:rPr>
          <w:rFonts w:ascii="Arial" w:eastAsia="Times New Roman" w:hAnsi="Arial" w:cs="Arial"/>
          <w:noProof/>
          <w:sz w:val="20"/>
          <w:szCs w:val="20"/>
        </w:rPr>
        <w:fldChar w:fldCharType="end"/>
      </w:r>
    </w:p>
    <w:p w14:paraId="2DADEF4D" w14:textId="77777777" w:rsidR="004F38E3" w:rsidRPr="00617599" w:rsidRDefault="004F38E3">
      <w:pPr>
        <w:rPr>
          <w:rFonts w:ascii="Arial" w:hAnsi="Arial" w:cs="Arial"/>
        </w:rPr>
      </w:pPr>
    </w:p>
    <w:sectPr w:rsidR="004F38E3" w:rsidRPr="00617599" w:rsidSect="00DA002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19D4" w14:textId="77777777" w:rsidR="00DA3A90" w:rsidRDefault="00DA3A90" w:rsidP="00DA0028">
      <w:pPr>
        <w:spacing w:after="0" w:line="240" w:lineRule="auto"/>
      </w:pPr>
      <w:r>
        <w:separator/>
      </w:r>
    </w:p>
  </w:endnote>
  <w:endnote w:type="continuationSeparator" w:id="0">
    <w:p w14:paraId="3F71D3C9" w14:textId="77777777" w:rsidR="00DA3A90" w:rsidRDefault="00DA3A90" w:rsidP="00DA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ommet">
    <w:altName w:val="Calibri"/>
    <w:panose1 w:val="00000000000000000000"/>
    <w:charset w:val="00"/>
    <w:family w:val="modern"/>
    <w:notTrueType/>
    <w:pitch w:val="variable"/>
    <w:sig w:usb0="A00000AF" w:usb1="5000005B" w:usb2="00000000" w:usb3="00000000" w:csb0="000001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875132"/>
      <w:docPartObj>
        <w:docPartGallery w:val="Page Numbers (Bottom of Page)"/>
        <w:docPartUnique/>
      </w:docPartObj>
    </w:sdtPr>
    <w:sdtEndPr>
      <w:rPr>
        <w:noProof/>
      </w:rPr>
    </w:sdtEndPr>
    <w:sdtContent>
      <w:p w14:paraId="75198E70" w14:textId="219179C4" w:rsidR="00F67AC0" w:rsidRDefault="00F67AC0">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5C7DB03B" w14:textId="77777777" w:rsidR="00F67AC0" w:rsidRDefault="00F67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5D8B" w14:textId="77777777" w:rsidR="00DA3A90" w:rsidRDefault="00DA3A90" w:rsidP="00DA0028">
      <w:pPr>
        <w:spacing w:after="0" w:line="240" w:lineRule="auto"/>
      </w:pPr>
      <w:r>
        <w:separator/>
      </w:r>
    </w:p>
  </w:footnote>
  <w:footnote w:type="continuationSeparator" w:id="0">
    <w:p w14:paraId="1124D95D" w14:textId="77777777" w:rsidR="00DA3A90" w:rsidRDefault="00DA3A90" w:rsidP="00DA0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C460" w14:textId="6DDBA6FF" w:rsidR="00F67AC0" w:rsidRDefault="00F35BD7">
    <w:pPr>
      <w:pStyle w:val="Header"/>
    </w:pPr>
    <w:r>
      <w:rPr>
        <w:noProof/>
      </w:rPr>
      <mc:AlternateContent>
        <mc:Choice Requires="wps">
          <w:drawing>
            <wp:anchor distT="0" distB="0" distL="114300" distR="114300" simplePos="0" relativeHeight="251661312" behindDoc="0" locked="0" layoutInCell="1" allowOverlap="1" wp14:anchorId="6DC50875" wp14:editId="1B7836D1">
              <wp:simplePos x="0" y="0"/>
              <wp:positionH relativeFrom="column">
                <wp:posOffset>2331720</wp:posOffset>
              </wp:positionH>
              <wp:positionV relativeFrom="paragraph">
                <wp:posOffset>641985</wp:posOffset>
              </wp:positionV>
              <wp:extent cx="4314825" cy="552450"/>
              <wp:effectExtent l="0" t="0" r="0" b="0"/>
              <wp:wrapNone/>
              <wp:docPr id="6061418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14825" cy="552450"/>
                      </a:xfrm>
                      <a:prstGeom prst="rect">
                        <a:avLst/>
                      </a:prstGeom>
                      <a:noFill/>
                      <a:ln>
                        <a:noFill/>
                      </a:ln>
                    </wps:spPr>
                    <wps:txbx>
                      <w:txbxContent>
                        <w:p w14:paraId="0BB06A00" w14:textId="2D2C3D61" w:rsidR="00F67AC0" w:rsidRDefault="00F67AC0" w:rsidP="00C90966">
                          <w:pPr>
                            <w:spacing w:after="0" w:line="240" w:lineRule="auto"/>
                            <w:rPr>
                              <w:rFonts w:ascii="Sommet" w:hAnsi="Sommet"/>
                              <w:sz w:val="31"/>
                              <w:szCs w:val="31"/>
                              <w:lang w:val="en-US"/>
                            </w:rPr>
                          </w:pPr>
                          <w:r>
                            <w:rPr>
                              <w:rFonts w:ascii="Sommet" w:hAnsi="Sommet"/>
                              <w:sz w:val="31"/>
                              <w:szCs w:val="31"/>
                              <w:lang w:val="en-US"/>
                            </w:rPr>
                            <w:t>National Perinatal Epidemiology and Statistics Unit</w:t>
                          </w:r>
                        </w:p>
                        <w:p w14:paraId="153B8C74" w14:textId="2D5E179C" w:rsidR="00F67AC0" w:rsidRPr="002560B6" w:rsidRDefault="00F67AC0" w:rsidP="00C90966">
                          <w:pPr>
                            <w:spacing w:after="0" w:line="240" w:lineRule="auto"/>
                            <w:rPr>
                              <w:rFonts w:ascii="Sommet" w:hAnsi="Sommet"/>
                              <w:sz w:val="31"/>
                              <w:szCs w:val="31"/>
                              <w:lang w:val="en-US"/>
                            </w:rPr>
                          </w:pPr>
                          <w:r>
                            <w:rPr>
                              <w:rFonts w:ascii="Sommet" w:hAnsi="Sommet"/>
                              <w:sz w:val="31"/>
                              <w:szCs w:val="31"/>
                              <w:lang w:val="en-US"/>
                            </w:rPr>
                            <w:t>(NPESU)</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50875" id="_x0000_t202" coordsize="21600,21600" o:spt="202" path="m,l,21600r21600,l21600,xe">
              <v:stroke joinstyle="miter"/>
              <v:path gradientshapeok="t" o:connecttype="rect"/>
            </v:shapetype>
            <v:shape id="Text Box 1" o:spid="_x0000_s1028" type="#_x0000_t202" style="position:absolute;margin-left:183.6pt;margin-top:50.55pt;width:339.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" filled="f" stroked="f">
              <v:textbox inset="0,0,0,0">
                <w:txbxContent>
                  <w:p w14:paraId="0BB06A00" w14:textId="2D2C3D61" w:rsidR="00F67AC0" w:rsidRDefault="00F67AC0" w:rsidP="00C90966">
                    <w:pPr>
                      <w:spacing w:after="0" w:line="240" w:lineRule="auto"/>
                      <w:rPr>
                        <w:rFonts w:ascii="Sommet" w:hAnsi="Sommet"/>
                        <w:sz w:val="31"/>
                        <w:szCs w:val="31"/>
                        <w:lang w:val="en-US"/>
                      </w:rPr>
                    </w:pPr>
                    <w:r>
                      <w:rPr>
                        <w:rFonts w:ascii="Sommet" w:hAnsi="Sommet"/>
                        <w:sz w:val="31"/>
                        <w:szCs w:val="31"/>
                        <w:lang w:val="en-US"/>
                      </w:rPr>
                      <w:t>National Perinatal Epidemiology and Statistics Unit</w:t>
                    </w:r>
                  </w:p>
                  <w:p w14:paraId="153B8C74" w14:textId="2D5E179C" w:rsidR="00F67AC0" w:rsidRPr="002560B6" w:rsidRDefault="00F67AC0" w:rsidP="00C90966">
                    <w:pPr>
                      <w:spacing w:after="0" w:line="240" w:lineRule="auto"/>
                      <w:rPr>
                        <w:rFonts w:ascii="Sommet" w:hAnsi="Sommet"/>
                        <w:sz w:val="31"/>
                        <w:szCs w:val="31"/>
                        <w:lang w:val="en-US"/>
                      </w:rPr>
                    </w:pPr>
                    <w:r>
                      <w:rPr>
                        <w:rFonts w:ascii="Sommet" w:hAnsi="Sommet"/>
                        <w:sz w:val="31"/>
                        <w:szCs w:val="31"/>
                        <w:lang w:val="en-US"/>
                      </w:rPr>
                      <w:t>(NPESU)</w:t>
                    </w:r>
                  </w:p>
                </w:txbxContent>
              </v:textbox>
            </v:shape>
          </w:pict>
        </mc:Fallback>
      </mc:AlternateContent>
    </w:r>
    <w:r w:rsidR="00F67AC0">
      <w:rPr>
        <w:noProof/>
        <w:lang w:eastAsia="en-AU"/>
      </w:rPr>
      <w:drawing>
        <wp:anchor distT="0" distB="0" distL="114300" distR="114300" simplePos="0" relativeHeight="251659264" behindDoc="1" locked="0" layoutInCell="1" allowOverlap="1" wp14:anchorId="1EE1B028" wp14:editId="085D9B31">
          <wp:simplePos x="0" y="0"/>
          <wp:positionH relativeFrom="margin">
            <wp:posOffset>-495300</wp:posOffset>
          </wp:positionH>
          <wp:positionV relativeFrom="topMargin">
            <wp:posOffset>432435</wp:posOffset>
          </wp:positionV>
          <wp:extent cx="2743200" cy="1778000"/>
          <wp:effectExtent l="0" t="0" r="0" b="0"/>
          <wp:wrapSquare wrapText="bothSides"/>
          <wp:docPr id="461837345" name="Picture 461837345" descr="/Volumes/MS/All Staff/Branding/Branding - Australias Global University/Logo 2016/Templates/Bands and Tagline/A4_portrait Sydne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Volumes/MS/All Staff/Branding/Branding - Australias Global University/Logo 2016/Templates/Bands and Tagline/A4_portrait Sydney.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77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9EE"/>
    <w:multiLevelType w:val="hybridMultilevel"/>
    <w:tmpl w:val="4A088C1C"/>
    <w:lvl w:ilvl="0" w:tplc="78D26D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5A44AB"/>
    <w:multiLevelType w:val="hybridMultilevel"/>
    <w:tmpl w:val="FC54CB6E"/>
    <w:lvl w:ilvl="0" w:tplc="78D26D0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DB3328C"/>
    <w:multiLevelType w:val="hybridMultilevel"/>
    <w:tmpl w:val="E654B392"/>
    <w:lvl w:ilvl="0" w:tplc="B55887AC">
      <w:start w:val="1"/>
      <w:numFmt w:val="lowerLetter"/>
      <w:lvlText w:val="(%1)"/>
      <w:lvlJc w:val="left"/>
      <w:pPr>
        <w:ind w:left="993" w:hanging="360"/>
      </w:p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3" w15:restartNumberingAfterBreak="0">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85C2D"/>
    <w:multiLevelType w:val="hybridMultilevel"/>
    <w:tmpl w:val="E75E979E"/>
    <w:lvl w:ilvl="0" w:tplc="83D4BE4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C620FF9"/>
    <w:multiLevelType w:val="hybridMultilevel"/>
    <w:tmpl w:val="1A56C566"/>
    <w:lvl w:ilvl="0" w:tplc="8A8A51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4D500B"/>
    <w:multiLevelType w:val="hybridMultilevel"/>
    <w:tmpl w:val="FC54CB6E"/>
    <w:lvl w:ilvl="0" w:tplc="78D26D0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2FF5A1B"/>
    <w:multiLevelType w:val="hybridMultilevel"/>
    <w:tmpl w:val="F5EC2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36315F"/>
    <w:multiLevelType w:val="hybridMultilevel"/>
    <w:tmpl w:val="31B8CD62"/>
    <w:lvl w:ilvl="0" w:tplc="78D26D0E">
      <w:start w:val="1"/>
      <w:numFmt w:val="lowerLetter"/>
      <w:lvlText w:val="(%1)"/>
      <w:lvlJc w:val="left"/>
      <w:pPr>
        <w:ind w:left="360" w:hanging="360"/>
      </w:p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start w:val="1"/>
      <w:numFmt w:val="decimal"/>
      <w:lvlText w:val="%4."/>
      <w:lvlJc w:val="left"/>
      <w:pPr>
        <w:ind w:left="2738" w:hanging="360"/>
      </w:pPr>
    </w:lvl>
    <w:lvl w:ilvl="4" w:tplc="0C090019">
      <w:start w:val="1"/>
      <w:numFmt w:val="lowerLetter"/>
      <w:lvlText w:val="%5."/>
      <w:lvlJc w:val="left"/>
      <w:pPr>
        <w:ind w:left="3458" w:hanging="360"/>
      </w:pPr>
    </w:lvl>
    <w:lvl w:ilvl="5" w:tplc="0C09001B">
      <w:start w:val="1"/>
      <w:numFmt w:val="lowerRoman"/>
      <w:lvlText w:val="%6."/>
      <w:lvlJc w:val="right"/>
      <w:pPr>
        <w:ind w:left="4178" w:hanging="180"/>
      </w:pPr>
    </w:lvl>
    <w:lvl w:ilvl="6" w:tplc="0C09000F">
      <w:start w:val="1"/>
      <w:numFmt w:val="decimal"/>
      <w:lvlText w:val="%7."/>
      <w:lvlJc w:val="left"/>
      <w:pPr>
        <w:ind w:left="4898" w:hanging="360"/>
      </w:pPr>
    </w:lvl>
    <w:lvl w:ilvl="7" w:tplc="0C090019">
      <w:start w:val="1"/>
      <w:numFmt w:val="lowerLetter"/>
      <w:lvlText w:val="%8."/>
      <w:lvlJc w:val="left"/>
      <w:pPr>
        <w:ind w:left="5618" w:hanging="360"/>
      </w:pPr>
    </w:lvl>
    <w:lvl w:ilvl="8" w:tplc="0C09001B">
      <w:start w:val="1"/>
      <w:numFmt w:val="lowerRoman"/>
      <w:lvlText w:val="%9."/>
      <w:lvlJc w:val="right"/>
      <w:pPr>
        <w:ind w:left="6338" w:hanging="180"/>
      </w:pPr>
    </w:lvl>
  </w:abstractNum>
  <w:abstractNum w:abstractNumId="9" w15:restartNumberingAfterBreak="0">
    <w:nsid w:val="254170E9"/>
    <w:multiLevelType w:val="hybridMultilevel"/>
    <w:tmpl w:val="F6301EF4"/>
    <w:lvl w:ilvl="0" w:tplc="B55887A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BB534A"/>
    <w:multiLevelType w:val="hybridMultilevel"/>
    <w:tmpl w:val="90FA72EC"/>
    <w:lvl w:ilvl="0" w:tplc="78D26D0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2FF4657B"/>
    <w:multiLevelType w:val="hybridMultilevel"/>
    <w:tmpl w:val="EB689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920AA"/>
    <w:multiLevelType w:val="hybridMultilevel"/>
    <w:tmpl w:val="90FA72EC"/>
    <w:lvl w:ilvl="0" w:tplc="78D26D0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39A94977"/>
    <w:multiLevelType w:val="hybridMultilevel"/>
    <w:tmpl w:val="21028B62"/>
    <w:lvl w:ilvl="0" w:tplc="B55887A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A04C19"/>
    <w:multiLevelType w:val="hybridMultilevel"/>
    <w:tmpl w:val="FC54CB6E"/>
    <w:lvl w:ilvl="0" w:tplc="78D26D0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5D95B24"/>
    <w:multiLevelType w:val="hybridMultilevel"/>
    <w:tmpl w:val="FC54CB6E"/>
    <w:lvl w:ilvl="0" w:tplc="78D26D0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81F1BF5"/>
    <w:multiLevelType w:val="hybridMultilevel"/>
    <w:tmpl w:val="BC3E25A6"/>
    <w:lvl w:ilvl="0" w:tplc="85CED02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AC9536F"/>
    <w:multiLevelType w:val="hybridMultilevel"/>
    <w:tmpl w:val="37A635D0"/>
    <w:lvl w:ilvl="0" w:tplc="B55887A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4C220641"/>
    <w:multiLevelType w:val="hybridMultilevel"/>
    <w:tmpl w:val="58ECEAA8"/>
    <w:lvl w:ilvl="0" w:tplc="78D26D0E">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4D557EB6"/>
    <w:multiLevelType w:val="hybridMultilevel"/>
    <w:tmpl w:val="E0942FE0"/>
    <w:lvl w:ilvl="0" w:tplc="0C09000F">
      <w:start w:val="1"/>
      <w:numFmt w:val="decimal"/>
      <w:lvlText w:val="%1."/>
      <w:lvlJc w:val="left"/>
      <w:pPr>
        <w:tabs>
          <w:tab w:val="num" w:pos="397"/>
        </w:tabs>
        <w:ind w:left="397" w:hanging="397"/>
      </w:pPr>
      <w:rPr>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36121F"/>
    <w:multiLevelType w:val="hybridMultilevel"/>
    <w:tmpl w:val="D3EA56A0"/>
    <w:lvl w:ilvl="0" w:tplc="B55887A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992D5B"/>
    <w:multiLevelType w:val="hybridMultilevel"/>
    <w:tmpl w:val="773C9324"/>
    <w:lvl w:ilvl="0" w:tplc="B134CF9E">
      <w:start w:val="1"/>
      <w:numFmt w:val="lowerLetter"/>
      <w:lvlText w:val="(%1)"/>
      <w:lvlJc w:val="left"/>
      <w:pPr>
        <w:ind w:left="390" w:hanging="39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55F85D19"/>
    <w:multiLevelType w:val="hybridMultilevel"/>
    <w:tmpl w:val="B14AD5AE"/>
    <w:lvl w:ilvl="0" w:tplc="78D26D0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3E692A"/>
    <w:multiLevelType w:val="hybridMultilevel"/>
    <w:tmpl w:val="9A60BABA"/>
    <w:lvl w:ilvl="0" w:tplc="B55887A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DF18A9"/>
    <w:multiLevelType w:val="hybridMultilevel"/>
    <w:tmpl w:val="68E2FCAE"/>
    <w:lvl w:ilvl="0" w:tplc="B55887A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60573C"/>
    <w:multiLevelType w:val="hybridMultilevel"/>
    <w:tmpl w:val="0FB01808"/>
    <w:lvl w:ilvl="0" w:tplc="30CEB3A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3686215"/>
    <w:multiLevelType w:val="hybridMultilevel"/>
    <w:tmpl w:val="6F48AD0E"/>
    <w:lvl w:ilvl="0" w:tplc="2B4C85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4B45FE"/>
    <w:multiLevelType w:val="hybridMultilevel"/>
    <w:tmpl w:val="7AA0CA20"/>
    <w:lvl w:ilvl="0" w:tplc="96327AC6">
      <w:start w:val="1"/>
      <w:numFmt w:val="lowerLetter"/>
      <w:lvlText w:val="(%1)"/>
      <w:lvlJc w:val="left"/>
      <w:pPr>
        <w:ind w:left="390" w:hanging="39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15:restartNumberingAfterBreak="0">
    <w:nsid w:val="699F5508"/>
    <w:multiLevelType w:val="hybridMultilevel"/>
    <w:tmpl w:val="BC0CC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BCE0252"/>
    <w:multiLevelType w:val="hybridMultilevel"/>
    <w:tmpl w:val="895896BA"/>
    <w:lvl w:ilvl="0" w:tplc="78D26D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60732D"/>
    <w:multiLevelType w:val="hybridMultilevel"/>
    <w:tmpl w:val="463E4ACE"/>
    <w:lvl w:ilvl="0" w:tplc="E38895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B16EFF"/>
    <w:multiLevelType w:val="hybridMultilevel"/>
    <w:tmpl w:val="DB365C1C"/>
    <w:lvl w:ilvl="0" w:tplc="CA4438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203DAD"/>
    <w:multiLevelType w:val="hybridMultilevel"/>
    <w:tmpl w:val="FC54CB6E"/>
    <w:lvl w:ilvl="0" w:tplc="78D26D0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48F5B8F"/>
    <w:multiLevelType w:val="hybridMultilevel"/>
    <w:tmpl w:val="AD74C66A"/>
    <w:lvl w:ilvl="0" w:tplc="E65AC4B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77316236"/>
    <w:multiLevelType w:val="hybridMultilevel"/>
    <w:tmpl w:val="19AAF3A2"/>
    <w:lvl w:ilvl="0" w:tplc="B838B4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D01598"/>
    <w:multiLevelType w:val="hybridMultilevel"/>
    <w:tmpl w:val="24AA144C"/>
    <w:lvl w:ilvl="0" w:tplc="C87AAE5A">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7FE84CF2"/>
    <w:multiLevelType w:val="hybridMultilevel"/>
    <w:tmpl w:val="BB703B06"/>
    <w:lvl w:ilvl="0" w:tplc="33664F96">
      <w:start w:val="1"/>
      <w:numFmt w:val="lowerLetter"/>
      <w:lvlText w:val="(%1)"/>
      <w:lvlJc w:val="left"/>
      <w:pPr>
        <w:ind w:left="720" w:hanging="360"/>
      </w:pPr>
      <w:rPr>
        <w:b w:val="0"/>
        <w:sz w:val="1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763454903">
    <w:abstractNumId w:val="3"/>
  </w:num>
  <w:num w:numId="2" w16cid:durableId="725564100">
    <w:abstractNumId w:val="3"/>
  </w:num>
  <w:num w:numId="3" w16cid:durableId="11021460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3315310">
    <w:abstractNumId w:val="19"/>
    <w:lvlOverride w:ilvl="0">
      <w:startOverride w:val="1"/>
    </w:lvlOverride>
    <w:lvlOverride w:ilvl="1"/>
    <w:lvlOverride w:ilvl="2"/>
    <w:lvlOverride w:ilvl="3"/>
    <w:lvlOverride w:ilvl="4"/>
    <w:lvlOverride w:ilvl="5"/>
    <w:lvlOverride w:ilvl="6"/>
    <w:lvlOverride w:ilvl="7"/>
    <w:lvlOverride w:ilvl="8"/>
  </w:num>
  <w:num w:numId="5" w16cid:durableId="12214832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11502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6571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6549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6840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47450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4653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6136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87448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00181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39878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93188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7501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9609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0530769">
    <w:abstractNumId w:val="28"/>
  </w:num>
  <w:num w:numId="20" w16cid:durableId="1122194297">
    <w:abstractNumId w:val="33"/>
  </w:num>
  <w:num w:numId="21" w16cid:durableId="1629973502">
    <w:abstractNumId w:val="31"/>
  </w:num>
  <w:num w:numId="22" w16cid:durableId="1441143108">
    <w:abstractNumId w:val="0"/>
  </w:num>
  <w:num w:numId="23" w16cid:durableId="862549783">
    <w:abstractNumId w:val="34"/>
  </w:num>
  <w:num w:numId="24" w16cid:durableId="203490672">
    <w:abstractNumId w:val="18"/>
  </w:num>
  <w:num w:numId="25" w16cid:durableId="2101637648">
    <w:abstractNumId w:val="29"/>
  </w:num>
  <w:num w:numId="26" w16cid:durableId="889850412">
    <w:abstractNumId w:val="8"/>
  </w:num>
  <w:num w:numId="27" w16cid:durableId="2060784304">
    <w:abstractNumId w:val="26"/>
  </w:num>
  <w:num w:numId="28" w16cid:durableId="741605628">
    <w:abstractNumId w:val="30"/>
  </w:num>
  <w:num w:numId="29" w16cid:durableId="1890341311">
    <w:abstractNumId w:val="5"/>
  </w:num>
  <w:num w:numId="30" w16cid:durableId="562059362">
    <w:abstractNumId w:val="11"/>
  </w:num>
  <w:num w:numId="31" w16cid:durableId="2068726550">
    <w:abstractNumId w:val="7"/>
  </w:num>
  <w:num w:numId="32" w16cid:durableId="1326667711">
    <w:abstractNumId w:val="2"/>
  </w:num>
  <w:num w:numId="33" w16cid:durableId="1228490144">
    <w:abstractNumId w:val="24"/>
  </w:num>
  <w:num w:numId="34" w16cid:durableId="1348022889">
    <w:abstractNumId w:val="9"/>
  </w:num>
  <w:num w:numId="35" w16cid:durableId="2099011031">
    <w:abstractNumId w:val="13"/>
  </w:num>
  <w:num w:numId="36" w16cid:durableId="1021903143">
    <w:abstractNumId w:val="23"/>
  </w:num>
  <w:num w:numId="37" w16cid:durableId="128938793">
    <w:abstractNumId w:val="20"/>
  </w:num>
  <w:num w:numId="38" w16cid:durableId="1125394076">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1MDOyNDI1sjQ0MDBW0lEKTi0uzszPAykwqQUA0pyO9iwAAAA="/>
  </w:docVars>
  <w:rsids>
    <w:rsidRoot w:val="009303CD"/>
    <w:rsid w:val="00002027"/>
    <w:rsid w:val="00002C9D"/>
    <w:rsid w:val="00004757"/>
    <w:rsid w:val="000070AB"/>
    <w:rsid w:val="00012956"/>
    <w:rsid w:val="00012E03"/>
    <w:rsid w:val="00012E2E"/>
    <w:rsid w:val="000130A9"/>
    <w:rsid w:val="00013AE3"/>
    <w:rsid w:val="000171AE"/>
    <w:rsid w:val="00020C94"/>
    <w:rsid w:val="00024C10"/>
    <w:rsid w:val="00025123"/>
    <w:rsid w:val="000258D0"/>
    <w:rsid w:val="00027F36"/>
    <w:rsid w:val="000308B4"/>
    <w:rsid w:val="0003214A"/>
    <w:rsid w:val="000332A0"/>
    <w:rsid w:val="00034907"/>
    <w:rsid w:val="00034A79"/>
    <w:rsid w:val="0003572B"/>
    <w:rsid w:val="000365BD"/>
    <w:rsid w:val="00036D14"/>
    <w:rsid w:val="000372EB"/>
    <w:rsid w:val="0004089F"/>
    <w:rsid w:val="00041029"/>
    <w:rsid w:val="00041835"/>
    <w:rsid w:val="000418E6"/>
    <w:rsid w:val="0004225B"/>
    <w:rsid w:val="00043CAA"/>
    <w:rsid w:val="0004464D"/>
    <w:rsid w:val="0004476D"/>
    <w:rsid w:val="00045914"/>
    <w:rsid w:val="000463CD"/>
    <w:rsid w:val="00047C86"/>
    <w:rsid w:val="00051C1A"/>
    <w:rsid w:val="00054685"/>
    <w:rsid w:val="000574EA"/>
    <w:rsid w:val="00061B18"/>
    <w:rsid w:val="00063E10"/>
    <w:rsid w:val="0006488E"/>
    <w:rsid w:val="0007258C"/>
    <w:rsid w:val="0007360D"/>
    <w:rsid w:val="00073B43"/>
    <w:rsid w:val="0007475D"/>
    <w:rsid w:val="00075D7E"/>
    <w:rsid w:val="0008098F"/>
    <w:rsid w:val="00080E2E"/>
    <w:rsid w:val="0008345A"/>
    <w:rsid w:val="000842A5"/>
    <w:rsid w:val="00085E3E"/>
    <w:rsid w:val="00087467"/>
    <w:rsid w:val="00093BBE"/>
    <w:rsid w:val="0009424E"/>
    <w:rsid w:val="00096427"/>
    <w:rsid w:val="00097D13"/>
    <w:rsid w:val="000A11D4"/>
    <w:rsid w:val="000A33DB"/>
    <w:rsid w:val="000A4522"/>
    <w:rsid w:val="000A47B5"/>
    <w:rsid w:val="000B1631"/>
    <w:rsid w:val="000B1D67"/>
    <w:rsid w:val="000B260E"/>
    <w:rsid w:val="000B3BD3"/>
    <w:rsid w:val="000B4D7F"/>
    <w:rsid w:val="000B544A"/>
    <w:rsid w:val="000C062C"/>
    <w:rsid w:val="000C2874"/>
    <w:rsid w:val="000C298C"/>
    <w:rsid w:val="000C3978"/>
    <w:rsid w:val="000C3BA3"/>
    <w:rsid w:val="000C4795"/>
    <w:rsid w:val="000C4D03"/>
    <w:rsid w:val="000C4F53"/>
    <w:rsid w:val="000C5F40"/>
    <w:rsid w:val="000C64C0"/>
    <w:rsid w:val="000C6D7B"/>
    <w:rsid w:val="000C754F"/>
    <w:rsid w:val="000D1075"/>
    <w:rsid w:val="000D173B"/>
    <w:rsid w:val="000D1A5E"/>
    <w:rsid w:val="000D2D74"/>
    <w:rsid w:val="000D75B4"/>
    <w:rsid w:val="000E13C1"/>
    <w:rsid w:val="000E2B37"/>
    <w:rsid w:val="000E2E9E"/>
    <w:rsid w:val="000E31E3"/>
    <w:rsid w:val="000E4692"/>
    <w:rsid w:val="000E5880"/>
    <w:rsid w:val="000E7727"/>
    <w:rsid w:val="000F17AF"/>
    <w:rsid w:val="000F4BC0"/>
    <w:rsid w:val="00103D7C"/>
    <w:rsid w:val="00105862"/>
    <w:rsid w:val="00105A9C"/>
    <w:rsid w:val="00106BBE"/>
    <w:rsid w:val="00110661"/>
    <w:rsid w:val="00110C73"/>
    <w:rsid w:val="00110F0F"/>
    <w:rsid w:val="00111FB8"/>
    <w:rsid w:val="00112C9E"/>
    <w:rsid w:val="001138EE"/>
    <w:rsid w:val="00114E15"/>
    <w:rsid w:val="0011652E"/>
    <w:rsid w:val="00116DA5"/>
    <w:rsid w:val="00116F21"/>
    <w:rsid w:val="00117713"/>
    <w:rsid w:val="00117B18"/>
    <w:rsid w:val="00120848"/>
    <w:rsid w:val="00121C20"/>
    <w:rsid w:val="00124123"/>
    <w:rsid w:val="00125E3F"/>
    <w:rsid w:val="001267A1"/>
    <w:rsid w:val="001305CE"/>
    <w:rsid w:val="001320BD"/>
    <w:rsid w:val="00132C8A"/>
    <w:rsid w:val="001332B6"/>
    <w:rsid w:val="00133829"/>
    <w:rsid w:val="0013435A"/>
    <w:rsid w:val="00136275"/>
    <w:rsid w:val="00137019"/>
    <w:rsid w:val="0013772E"/>
    <w:rsid w:val="00140132"/>
    <w:rsid w:val="00141532"/>
    <w:rsid w:val="00142AF1"/>
    <w:rsid w:val="0014371E"/>
    <w:rsid w:val="001460F0"/>
    <w:rsid w:val="00147056"/>
    <w:rsid w:val="00150461"/>
    <w:rsid w:val="00150A8A"/>
    <w:rsid w:val="00151B15"/>
    <w:rsid w:val="00152DD9"/>
    <w:rsid w:val="001542E2"/>
    <w:rsid w:val="001614D9"/>
    <w:rsid w:val="00161D5A"/>
    <w:rsid w:val="00167EC8"/>
    <w:rsid w:val="00171C2B"/>
    <w:rsid w:val="0017417B"/>
    <w:rsid w:val="001758BF"/>
    <w:rsid w:val="00176F66"/>
    <w:rsid w:val="0017763F"/>
    <w:rsid w:val="0017785F"/>
    <w:rsid w:val="00177B08"/>
    <w:rsid w:val="00177DDF"/>
    <w:rsid w:val="00183073"/>
    <w:rsid w:val="00183AF3"/>
    <w:rsid w:val="00184971"/>
    <w:rsid w:val="00187C5A"/>
    <w:rsid w:val="001904F1"/>
    <w:rsid w:val="00190A02"/>
    <w:rsid w:val="00192DF4"/>
    <w:rsid w:val="00194205"/>
    <w:rsid w:val="00194478"/>
    <w:rsid w:val="00196229"/>
    <w:rsid w:val="00197CB6"/>
    <w:rsid w:val="00197D5E"/>
    <w:rsid w:val="001A19DE"/>
    <w:rsid w:val="001A343D"/>
    <w:rsid w:val="001A3491"/>
    <w:rsid w:val="001A38A4"/>
    <w:rsid w:val="001A38B3"/>
    <w:rsid w:val="001A4255"/>
    <w:rsid w:val="001A7C9C"/>
    <w:rsid w:val="001B2081"/>
    <w:rsid w:val="001B2EDD"/>
    <w:rsid w:val="001B468C"/>
    <w:rsid w:val="001B4AFD"/>
    <w:rsid w:val="001B6C36"/>
    <w:rsid w:val="001C0317"/>
    <w:rsid w:val="001C07F8"/>
    <w:rsid w:val="001C08D8"/>
    <w:rsid w:val="001C2203"/>
    <w:rsid w:val="001C3F3E"/>
    <w:rsid w:val="001C6135"/>
    <w:rsid w:val="001C7F61"/>
    <w:rsid w:val="001D184A"/>
    <w:rsid w:val="001D18F1"/>
    <w:rsid w:val="001D261D"/>
    <w:rsid w:val="001D2653"/>
    <w:rsid w:val="001D3C59"/>
    <w:rsid w:val="001D7E7C"/>
    <w:rsid w:val="001E08D6"/>
    <w:rsid w:val="001E1B1E"/>
    <w:rsid w:val="001E214D"/>
    <w:rsid w:val="001E44F0"/>
    <w:rsid w:val="001E7917"/>
    <w:rsid w:val="001F1454"/>
    <w:rsid w:val="001F18E5"/>
    <w:rsid w:val="001F271F"/>
    <w:rsid w:val="001F5515"/>
    <w:rsid w:val="001F63FA"/>
    <w:rsid w:val="002038D3"/>
    <w:rsid w:val="00204391"/>
    <w:rsid w:val="00204DE3"/>
    <w:rsid w:val="002070B8"/>
    <w:rsid w:val="0020724E"/>
    <w:rsid w:val="00207CEA"/>
    <w:rsid w:val="00207FD6"/>
    <w:rsid w:val="00211CFF"/>
    <w:rsid w:val="00212C03"/>
    <w:rsid w:val="00215AE6"/>
    <w:rsid w:val="00215F5A"/>
    <w:rsid w:val="00221F5C"/>
    <w:rsid w:val="00223548"/>
    <w:rsid w:val="002251E5"/>
    <w:rsid w:val="002263C5"/>
    <w:rsid w:val="00226912"/>
    <w:rsid w:val="00230D3C"/>
    <w:rsid w:val="002332C5"/>
    <w:rsid w:val="00233B8E"/>
    <w:rsid w:val="00233C7D"/>
    <w:rsid w:val="0023448A"/>
    <w:rsid w:val="00235A8C"/>
    <w:rsid w:val="00237018"/>
    <w:rsid w:val="002403C2"/>
    <w:rsid w:val="0024072C"/>
    <w:rsid w:val="00241717"/>
    <w:rsid w:val="002430BF"/>
    <w:rsid w:val="00243363"/>
    <w:rsid w:val="002439A5"/>
    <w:rsid w:val="00244005"/>
    <w:rsid w:val="00244A33"/>
    <w:rsid w:val="00244FE9"/>
    <w:rsid w:val="00245FB6"/>
    <w:rsid w:val="0024706F"/>
    <w:rsid w:val="002503CE"/>
    <w:rsid w:val="00250CA8"/>
    <w:rsid w:val="002522C2"/>
    <w:rsid w:val="0025595F"/>
    <w:rsid w:val="00255BFD"/>
    <w:rsid w:val="00255FB6"/>
    <w:rsid w:val="00256D5D"/>
    <w:rsid w:val="002576D9"/>
    <w:rsid w:val="002618FA"/>
    <w:rsid w:val="00262BEA"/>
    <w:rsid w:val="00262E97"/>
    <w:rsid w:val="00264069"/>
    <w:rsid w:val="0026421C"/>
    <w:rsid w:val="00265247"/>
    <w:rsid w:val="00266213"/>
    <w:rsid w:val="00267DDF"/>
    <w:rsid w:val="00270B57"/>
    <w:rsid w:val="002712A1"/>
    <w:rsid w:val="00273416"/>
    <w:rsid w:val="0027416D"/>
    <w:rsid w:val="00274757"/>
    <w:rsid w:val="00275F57"/>
    <w:rsid w:val="0027634D"/>
    <w:rsid w:val="0027719A"/>
    <w:rsid w:val="00277E09"/>
    <w:rsid w:val="00281F41"/>
    <w:rsid w:val="00281F71"/>
    <w:rsid w:val="002833E3"/>
    <w:rsid w:val="00284AAE"/>
    <w:rsid w:val="00285D1F"/>
    <w:rsid w:val="0028602D"/>
    <w:rsid w:val="00293CF8"/>
    <w:rsid w:val="0029452F"/>
    <w:rsid w:val="0029731A"/>
    <w:rsid w:val="002976B2"/>
    <w:rsid w:val="00297809"/>
    <w:rsid w:val="002A051E"/>
    <w:rsid w:val="002A1133"/>
    <w:rsid w:val="002A2118"/>
    <w:rsid w:val="002A2DD1"/>
    <w:rsid w:val="002A5E02"/>
    <w:rsid w:val="002A61CC"/>
    <w:rsid w:val="002A7B88"/>
    <w:rsid w:val="002B097F"/>
    <w:rsid w:val="002B1ED3"/>
    <w:rsid w:val="002B4142"/>
    <w:rsid w:val="002B4586"/>
    <w:rsid w:val="002B47B4"/>
    <w:rsid w:val="002B68A7"/>
    <w:rsid w:val="002B77E2"/>
    <w:rsid w:val="002C04F1"/>
    <w:rsid w:val="002C178D"/>
    <w:rsid w:val="002C360A"/>
    <w:rsid w:val="002C62EB"/>
    <w:rsid w:val="002C669F"/>
    <w:rsid w:val="002C687E"/>
    <w:rsid w:val="002D08C0"/>
    <w:rsid w:val="002D0CC7"/>
    <w:rsid w:val="002D2049"/>
    <w:rsid w:val="002D2218"/>
    <w:rsid w:val="002D3194"/>
    <w:rsid w:val="002D3A38"/>
    <w:rsid w:val="002D4E58"/>
    <w:rsid w:val="002D5EAF"/>
    <w:rsid w:val="002D639B"/>
    <w:rsid w:val="002D6CB7"/>
    <w:rsid w:val="002D7070"/>
    <w:rsid w:val="002E22A7"/>
    <w:rsid w:val="002E3E0A"/>
    <w:rsid w:val="002E4BA0"/>
    <w:rsid w:val="002E50D8"/>
    <w:rsid w:val="002E54BA"/>
    <w:rsid w:val="002E668E"/>
    <w:rsid w:val="002E6DA8"/>
    <w:rsid w:val="002E6F17"/>
    <w:rsid w:val="002E7621"/>
    <w:rsid w:val="002E7CE2"/>
    <w:rsid w:val="002E7D92"/>
    <w:rsid w:val="002F0B22"/>
    <w:rsid w:val="002F0CEC"/>
    <w:rsid w:val="002F3945"/>
    <w:rsid w:val="002F507F"/>
    <w:rsid w:val="002F5FC4"/>
    <w:rsid w:val="002F6F98"/>
    <w:rsid w:val="003010BC"/>
    <w:rsid w:val="00303452"/>
    <w:rsid w:val="00304266"/>
    <w:rsid w:val="00304852"/>
    <w:rsid w:val="0030584A"/>
    <w:rsid w:val="00312032"/>
    <w:rsid w:val="00312634"/>
    <w:rsid w:val="00312B35"/>
    <w:rsid w:val="00314BF8"/>
    <w:rsid w:val="003204B6"/>
    <w:rsid w:val="0032262D"/>
    <w:rsid w:val="00322A81"/>
    <w:rsid w:val="003235A0"/>
    <w:rsid w:val="00323A50"/>
    <w:rsid w:val="00324253"/>
    <w:rsid w:val="0032580D"/>
    <w:rsid w:val="003258B3"/>
    <w:rsid w:val="003271DA"/>
    <w:rsid w:val="00330712"/>
    <w:rsid w:val="00330923"/>
    <w:rsid w:val="00332B2F"/>
    <w:rsid w:val="00333014"/>
    <w:rsid w:val="00333746"/>
    <w:rsid w:val="00336655"/>
    <w:rsid w:val="00336AF9"/>
    <w:rsid w:val="003406A2"/>
    <w:rsid w:val="003406BF"/>
    <w:rsid w:val="003424A4"/>
    <w:rsid w:val="0034306B"/>
    <w:rsid w:val="0034475F"/>
    <w:rsid w:val="00344B78"/>
    <w:rsid w:val="00346ED0"/>
    <w:rsid w:val="00346F43"/>
    <w:rsid w:val="00346F6D"/>
    <w:rsid w:val="00351678"/>
    <w:rsid w:val="00351A3C"/>
    <w:rsid w:val="00352638"/>
    <w:rsid w:val="00352B13"/>
    <w:rsid w:val="003535C9"/>
    <w:rsid w:val="00356DAF"/>
    <w:rsid w:val="00356FDB"/>
    <w:rsid w:val="00360E75"/>
    <w:rsid w:val="0036125B"/>
    <w:rsid w:val="0036184D"/>
    <w:rsid w:val="00362291"/>
    <w:rsid w:val="00363725"/>
    <w:rsid w:val="00363797"/>
    <w:rsid w:val="00363D99"/>
    <w:rsid w:val="00364D50"/>
    <w:rsid w:val="0036579D"/>
    <w:rsid w:val="00365C8E"/>
    <w:rsid w:val="00367624"/>
    <w:rsid w:val="00370AB5"/>
    <w:rsid w:val="00373F8D"/>
    <w:rsid w:val="00375A48"/>
    <w:rsid w:val="00376B1D"/>
    <w:rsid w:val="0037749A"/>
    <w:rsid w:val="00380078"/>
    <w:rsid w:val="003810E8"/>
    <w:rsid w:val="00382C9B"/>
    <w:rsid w:val="00383010"/>
    <w:rsid w:val="003849C9"/>
    <w:rsid w:val="003849F5"/>
    <w:rsid w:val="00385482"/>
    <w:rsid w:val="003859E8"/>
    <w:rsid w:val="0038643C"/>
    <w:rsid w:val="00386C84"/>
    <w:rsid w:val="00387A80"/>
    <w:rsid w:val="0039056D"/>
    <w:rsid w:val="00390DA7"/>
    <w:rsid w:val="0039219C"/>
    <w:rsid w:val="003926D4"/>
    <w:rsid w:val="00393EB0"/>
    <w:rsid w:val="00394992"/>
    <w:rsid w:val="003A212B"/>
    <w:rsid w:val="003A372E"/>
    <w:rsid w:val="003A43A7"/>
    <w:rsid w:val="003A54FB"/>
    <w:rsid w:val="003A74AD"/>
    <w:rsid w:val="003A7C3D"/>
    <w:rsid w:val="003B1744"/>
    <w:rsid w:val="003B3E04"/>
    <w:rsid w:val="003B4230"/>
    <w:rsid w:val="003B4F5A"/>
    <w:rsid w:val="003B50D1"/>
    <w:rsid w:val="003B50FD"/>
    <w:rsid w:val="003B546B"/>
    <w:rsid w:val="003B72D2"/>
    <w:rsid w:val="003B777F"/>
    <w:rsid w:val="003C01F0"/>
    <w:rsid w:val="003C4116"/>
    <w:rsid w:val="003C4E7C"/>
    <w:rsid w:val="003C4F17"/>
    <w:rsid w:val="003C7BF0"/>
    <w:rsid w:val="003D0943"/>
    <w:rsid w:val="003D22B8"/>
    <w:rsid w:val="003D264A"/>
    <w:rsid w:val="003D3244"/>
    <w:rsid w:val="003D3982"/>
    <w:rsid w:val="003D3F91"/>
    <w:rsid w:val="003D5FD9"/>
    <w:rsid w:val="003D7A63"/>
    <w:rsid w:val="003E02CB"/>
    <w:rsid w:val="003E1D29"/>
    <w:rsid w:val="003E2B7E"/>
    <w:rsid w:val="003E3756"/>
    <w:rsid w:val="003E4CC8"/>
    <w:rsid w:val="003E59D5"/>
    <w:rsid w:val="003F40BF"/>
    <w:rsid w:val="003F5BA7"/>
    <w:rsid w:val="003F5C01"/>
    <w:rsid w:val="003F6083"/>
    <w:rsid w:val="003F6C36"/>
    <w:rsid w:val="003F6E72"/>
    <w:rsid w:val="0040354A"/>
    <w:rsid w:val="00405203"/>
    <w:rsid w:val="00406432"/>
    <w:rsid w:val="00406CBC"/>
    <w:rsid w:val="00410DB4"/>
    <w:rsid w:val="00412377"/>
    <w:rsid w:val="00412FDC"/>
    <w:rsid w:val="00413153"/>
    <w:rsid w:val="00413A27"/>
    <w:rsid w:val="004154FF"/>
    <w:rsid w:val="00415D07"/>
    <w:rsid w:val="004165DF"/>
    <w:rsid w:val="0041782B"/>
    <w:rsid w:val="00420C7C"/>
    <w:rsid w:val="00420FAC"/>
    <w:rsid w:val="00421393"/>
    <w:rsid w:val="00421A7A"/>
    <w:rsid w:val="004223B5"/>
    <w:rsid w:val="004238ED"/>
    <w:rsid w:val="00427986"/>
    <w:rsid w:val="00430F25"/>
    <w:rsid w:val="004315CE"/>
    <w:rsid w:val="00434BC8"/>
    <w:rsid w:val="00435B5B"/>
    <w:rsid w:val="0043641C"/>
    <w:rsid w:val="004365C4"/>
    <w:rsid w:val="0043677F"/>
    <w:rsid w:val="00440E62"/>
    <w:rsid w:val="00442013"/>
    <w:rsid w:val="0044260D"/>
    <w:rsid w:val="00442D0A"/>
    <w:rsid w:val="004444E2"/>
    <w:rsid w:val="00445A30"/>
    <w:rsid w:val="00445A31"/>
    <w:rsid w:val="00447522"/>
    <w:rsid w:val="00450FA0"/>
    <w:rsid w:val="0045227F"/>
    <w:rsid w:val="004568E5"/>
    <w:rsid w:val="00456F66"/>
    <w:rsid w:val="00460753"/>
    <w:rsid w:val="00460993"/>
    <w:rsid w:val="00462662"/>
    <w:rsid w:val="00463B0A"/>
    <w:rsid w:val="0046423C"/>
    <w:rsid w:val="004644F5"/>
    <w:rsid w:val="00466C86"/>
    <w:rsid w:val="00467622"/>
    <w:rsid w:val="004678E4"/>
    <w:rsid w:val="004729C1"/>
    <w:rsid w:val="00473733"/>
    <w:rsid w:val="004740FA"/>
    <w:rsid w:val="00474AC2"/>
    <w:rsid w:val="00476851"/>
    <w:rsid w:val="00476CCE"/>
    <w:rsid w:val="00476FCD"/>
    <w:rsid w:val="004815E2"/>
    <w:rsid w:val="00481C40"/>
    <w:rsid w:val="00485622"/>
    <w:rsid w:val="00487E53"/>
    <w:rsid w:val="00487F65"/>
    <w:rsid w:val="0049037E"/>
    <w:rsid w:val="0049090D"/>
    <w:rsid w:val="00491669"/>
    <w:rsid w:val="00491A66"/>
    <w:rsid w:val="00491AB8"/>
    <w:rsid w:val="00492C14"/>
    <w:rsid w:val="004944F5"/>
    <w:rsid w:val="004952E2"/>
    <w:rsid w:val="00495F63"/>
    <w:rsid w:val="00497152"/>
    <w:rsid w:val="004A009E"/>
    <w:rsid w:val="004A0220"/>
    <w:rsid w:val="004A37A7"/>
    <w:rsid w:val="004A5BFE"/>
    <w:rsid w:val="004A6C70"/>
    <w:rsid w:val="004A7CE2"/>
    <w:rsid w:val="004B13F8"/>
    <w:rsid w:val="004B1858"/>
    <w:rsid w:val="004B4057"/>
    <w:rsid w:val="004B473B"/>
    <w:rsid w:val="004B7026"/>
    <w:rsid w:val="004B7DAD"/>
    <w:rsid w:val="004C1545"/>
    <w:rsid w:val="004C1783"/>
    <w:rsid w:val="004C2887"/>
    <w:rsid w:val="004C333E"/>
    <w:rsid w:val="004C4878"/>
    <w:rsid w:val="004C4F2B"/>
    <w:rsid w:val="004C6B0A"/>
    <w:rsid w:val="004C6CB5"/>
    <w:rsid w:val="004D2C8F"/>
    <w:rsid w:val="004D2F68"/>
    <w:rsid w:val="004D396F"/>
    <w:rsid w:val="004D4C17"/>
    <w:rsid w:val="004D501D"/>
    <w:rsid w:val="004D7BD7"/>
    <w:rsid w:val="004E0AB8"/>
    <w:rsid w:val="004E12DD"/>
    <w:rsid w:val="004E35ED"/>
    <w:rsid w:val="004E374C"/>
    <w:rsid w:val="004E4422"/>
    <w:rsid w:val="004E56BD"/>
    <w:rsid w:val="004E754B"/>
    <w:rsid w:val="004F025F"/>
    <w:rsid w:val="004F38E3"/>
    <w:rsid w:val="004F431D"/>
    <w:rsid w:val="004F564A"/>
    <w:rsid w:val="004F6BD2"/>
    <w:rsid w:val="004F727D"/>
    <w:rsid w:val="00503546"/>
    <w:rsid w:val="00503AFE"/>
    <w:rsid w:val="00510026"/>
    <w:rsid w:val="0051071F"/>
    <w:rsid w:val="005107E4"/>
    <w:rsid w:val="005108F5"/>
    <w:rsid w:val="00510FAA"/>
    <w:rsid w:val="005111BE"/>
    <w:rsid w:val="00512E6A"/>
    <w:rsid w:val="0051395A"/>
    <w:rsid w:val="00513BE5"/>
    <w:rsid w:val="0051509A"/>
    <w:rsid w:val="0051542B"/>
    <w:rsid w:val="0051706C"/>
    <w:rsid w:val="00520ECB"/>
    <w:rsid w:val="005217A9"/>
    <w:rsid w:val="00521988"/>
    <w:rsid w:val="005222C7"/>
    <w:rsid w:val="00526422"/>
    <w:rsid w:val="00527BA8"/>
    <w:rsid w:val="0053204B"/>
    <w:rsid w:val="00532C21"/>
    <w:rsid w:val="00532FFF"/>
    <w:rsid w:val="00533181"/>
    <w:rsid w:val="0053570D"/>
    <w:rsid w:val="0053621C"/>
    <w:rsid w:val="005367DC"/>
    <w:rsid w:val="00536AEF"/>
    <w:rsid w:val="00536CBD"/>
    <w:rsid w:val="005418FF"/>
    <w:rsid w:val="00541C5D"/>
    <w:rsid w:val="0054258A"/>
    <w:rsid w:val="00542E9D"/>
    <w:rsid w:val="005441BC"/>
    <w:rsid w:val="005446DB"/>
    <w:rsid w:val="005458F3"/>
    <w:rsid w:val="0054730B"/>
    <w:rsid w:val="0054794C"/>
    <w:rsid w:val="00547D44"/>
    <w:rsid w:val="00550335"/>
    <w:rsid w:val="00553BE9"/>
    <w:rsid w:val="005548C5"/>
    <w:rsid w:val="00554AAC"/>
    <w:rsid w:val="00555651"/>
    <w:rsid w:val="0055582B"/>
    <w:rsid w:val="00555879"/>
    <w:rsid w:val="005559AC"/>
    <w:rsid w:val="005603C7"/>
    <w:rsid w:val="00560E73"/>
    <w:rsid w:val="00561044"/>
    <w:rsid w:val="005610B5"/>
    <w:rsid w:val="00561474"/>
    <w:rsid w:val="00562209"/>
    <w:rsid w:val="00562A3C"/>
    <w:rsid w:val="005650AB"/>
    <w:rsid w:val="00566F9F"/>
    <w:rsid w:val="005673F1"/>
    <w:rsid w:val="005725F6"/>
    <w:rsid w:val="00573482"/>
    <w:rsid w:val="005757A5"/>
    <w:rsid w:val="005770B6"/>
    <w:rsid w:val="005772CE"/>
    <w:rsid w:val="00580F54"/>
    <w:rsid w:val="00581682"/>
    <w:rsid w:val="00581E23"/>
    <w:rsid w:val="005829E9"/>
    <w:rsid w:val="00582CB8"/>
    <w:rsid w:val="00583B0F"/>
    <w:rsid w:val="00584635"/>
    <w:rsid w:val="00587DFB"/>
    <w:rsid w:val="00590F4F"/>
    <w:rsid w:val="00592DE1"/>
    <w:rsid w:val="00594FB8"/>
    <w:rsid w:val="00595686"/>
    <w:rsid w:val="00595937"/>
    <w:rsid w:val="00595EFE"/>
    <w:rsid w:val="00596273"/>
    <w:rsid w:val="005969CC"/>
    <w:rsid w:val="00596C8A"/>
    <w:rsid w:val="005971CA"/>
    <w:rsid w:val="005A6D44"/>
    <w:rsid w:val="005A6FF6"/>
    <w:rsid w:val="005A74ED"/>
    <w:rsid w:val="005B13EF"/>
    <w:rsid w:val="005B2FBF"/>
    <w:rsid w:val="005B4169"/>
    <w:rsid w:val="005B5AB7"/>
    <w:rsid w:val="005B5E69"/>
    <w:rsid w:val="005B615E"/>
    <w:rsid w:val="005B7247"/>
    <w:rsid w:val="005C01EC"/>
    <w:rsid w:val="005C27B8"/>
    <w:rsid w:val="005C5F57"/>
    <w:rsid w:val="005C6AE2"/>
    <w:rsid w:val="005C72DF"/>
    <w:rsid w:val="005C72FF"/>
    <w:rsid w:val="005D0434"/>
    <w:rsid w:val="005D14DB"/>
    <w:rsid w:val="005D1E2F"/>
    <w:rsid w:val="005D1EF7"/>
    <w:rsid w:val="005D20B8"/>
    <w:rsid w:val="005D2B5D"/>
    <w:rsid w:val="005D33F9"/>
    <w:rsid w:val="005D3A20"/>
    <w:rsid w:val="005D3BF8"/>
    <w:rsid w:val="005D7116"/>
    <w:rsid w:val="005E0B0F"/>
    <w:rsid w:val="005E0F8C"/>
    <w:rsid w:val="005E1C52"/>
    <w:rsid w:val="005E2846"/>
    <w:rsid w:val="005E2944"/>
    <w:rsid w:val="005E3A7E"/>
    <w:rsid w:val="005E4048"/>
    <w:rsid w:val="005E43D6"/>
    <w:rsid w:val="005E5FBE"/>
    <w:rsid w:val="005E62C9"/>
    <w:rsid w:val="005F1973"/>
    <w:rsid w:val="005F1D96"/>
    <w:rsid w:val="005F3530"/>
    <w:rsid w:val="005F3D04"/>
    <w:rsid w:val="005F5FB7"/>
    <w:rsid w:val="005F5FDF"/>
    <w:rsid w:val="00601284"/>
    <w:rsid w:val="00602781"/>
    <w:rsid w:val="0060303B"/>
    <w:rsid w:val="00603C4C"/>
    <w:rsid w:val="006048FF"/>
    <w:rsid w:val="006053ED"/>
    <w:rsid w:val="00606D6E"/>
    <w:rsid w:val="00606D94"/>
    <w:rsid w:val="00610F6F"/>
    <w:rsid w:val="00611EAE"/>
    <w:rsid w:val="006123DD"/>
    <w:rsid w:val="00613321"/>
    <w:rsid w:val="00613390"/>
    <w:rsid w:val="00614E18"/>
    <w:rsid w:val="00614F5A"/>
    <w:rsid w:val="00614FE4"/>
    <w:rsid w:val="00617599"/>
    <w:rsid w:val="00617DD7"/>
    <w:rsid w:val="00617F6B"/>
    <w:rsid w:val="006205F8"/>
    <w:rsid w:val="00620B8D"/>
    <w:rsid w:val="00621725"/>
    <w:rsid w:val="00622B8A"/>
    <w:rsid w:val="006249BD"/>
    <w:rsid w:val="00626162"/>
    <w:rsid w:val="0062679C"/>
    <w:rsid w:val="006324C1"/>
    <w:rsid w:val="006344E6"/>
    <w:rsid w:val="00635B5E"/>
    <w:rsid w:val="006400E9"/>
    <w:rsid w:val="00641409"/>
    <w:rsid w:val="00641E63"/>
    <w:rsid w:val="00641FEC"/>
    <w:rsid w:val="006444C2"/>
    <w:rsid w:val="00645916"/>
    <w:rsid w:val="00645E28"/>
    <w:rsid w:val="00651480"/>
    <w:rsid w:val="006515DD"/>
    <w:rsid w:val="00651A09"/>
    <w:rsid w:val="00653875"/>
    <w:rsid w:val="00654669"/>
    <w:rsid w:val="00655CBA"/>
    <w:rsid w:val="00655FE3"/>
    <w:rsid w:val="0065614B"/>
    <w:rsid w:val="006575F3"/>
    <w:rsid w:val="00663292"/>
    <w:rsid w:val="006646EC"/>
    <w:rsid w:val="006667A3"/>
    <w:rsid w:val="00666B04"/>
    <w:rsid w:val="006675ED"/>
    <w:rsid w:val="0067345C"/>
    <w:rsid w:val="00673DF4"/>
    <w:rsid w:val="00674D68"/>
    <w:rsid w:val="00676FCD"/>
    <w:rsid w:val="006812BA"/>
    <w:rsid w:val="00681888"/>
    <w:rsid w:val="00681B75"/>
    <w:rsid w:val="00683257"/>
    <w:rsid w:val="006835A8"/>
    <w:rsid w:val="00683E03"/>
    <w:rsid w:val="00684C63"/>
    <w:rsid w:val="006850F0"/>
    <w:rsid w:val="00686147"/>
    <w:rsid w:val="00686524"/>
    <w:rsid w:val="0069074E"/>
    <w:rsid w:val="006907F9"/>
    <w:rsid w:val="00690B1B"/>
    <w:rsid w:val="00690F75"/>
    <w:rsid w:val="00691533"/>
    <w:rsid w:val="00692AE8"/>
    <w:rsid w:val="00694341"/>
    <w:rsid w:val="00695CD6"/>
    <w:rsid w:val="00695F06"/>
    <w:rsid w:val="0069790F"/>
    <w:rsid w:val="006A0766"/>
    <w:rsid w:val="006A1092"/>
    <w:rsid w:val="006A1866"/>
    <w:rsid w:val="006A2EF1"/>
    <w:rsid w:val="006A4DCE"/>
    <w:rsid w:val="006A54F5"/>
    <w:rsid w:val="006A5C68"/>
    <w:rsid w:val="006A7D5B"/>
    <w:rsid w:val="006B0F42"/>
    <w:rsid w:val="006B3A56"/>
    <w:rsid w:val="006B3B13"/>
    <w:rsid w:val="006B4230"/>
    <w:rsid w:val="006B48D0"/>
    <w:rsid w:val="006B5B59"/>
    <w:rsid w:val="006B64F3"/>
    <w:rsid w:val="006B7FA7"/>
    <w:rsid w:val="006C0164"/>
    <w:rsid w:val="006C021A"/>
    <w:rsid w:val="006C0535"/>
    <w:rsid w:val="006C065B"/>
    <w:rsid w:val="006C23D1"/>
    <w:rsid w:val="006C2DC3"/>
    <w:rsid w:val="006C37F5"/>
    <w:rsid w:val="006C496A"/>
    <w:rsid w:val="006C4BD8"/>
    <w:rsid w:val="006C55F2"/>
    <w:rsid w:val="006C5B92"/>
    <w:rsid w:val="006C61EF"/>
    <w:rsid w:val="006C76C0"/>
    <w:rsid w:val="006C78E1"/>
    <w:rsid w:val="006C7A9D"/>
    <w:rsid w:val="006D2C40"/>
    <w:rsid w:val="006D3788"/>
    <w:rsid w:val="006D6B99"/>
    <w:rsid w:val="006D7337"/>
    <w:rsid w:val="006E4DCE"/>
    <w:rsid w:val="006E6694"/>
    <w:rsid w:val="006E76FD"/>
    <w:rsid w:val="006F0603"/>
    <w:rsid w:val="006F100F"/>
    <w:rsid w:val="006F1842"/>
    <w:rsid w:val="006F1DA9"/>
    <w:rsid w:val="006F301C"/>
    <w:rsid w:val="006F303A"/>
    <w:rsid w:val="006F549D"/>
    <w:rsid w:val="006F54EE"/>
    <w:rsid w:val="007016CB"/>
    <w:rsid w:val="00701B59"/>
    <w:rsid w:val="00701D4D"/>
    <w:rsid w:val="007025B7"/>
    <w:rsid w:val="00704F5D"/>
    <w:rsid w:val="007061B1"/>
    <w:rsid w:val="0071048D"/>
    <w:rsid w:val="00710928"/>
    <w:rsid w:val="0071150B"/>
    <w:rsid w:val="00711D65"/>
    <w:rsid w:val="007146FC"/>
    <w:rsid w:val="007202E2"/>
    <w:rsid w:val="00721AB2"/>
    <w:rsid w:val="00724722"/>
    <w:rsid w:val="007264B2"/>
    <w:rsid w:val="00731CEF"/>
    <w:rsid w:val="0073223C"/>
    <w:rsid w:val="00732603"/>
    <w:rsid w:val="0073299B"/>
    <w:rsid w:val="007357B9"/>
    <w:rsid w:val="00737C36"/>
    <w:rsid w:val="00737CD0"/>
    <w:rsid w:val="00740581"/>
    <w:rsid w:val="00740D98"/>
    <w:rsid w:val="00741EEE"/>
    <w:rsid w:val="00742CC3"/>
    <w:rsid w:val="00743582"/>
    <w:rsid w:val="0074482E"/>
    <w:rsid w:val="0074495A"/>
    <w:rsid w:val="00744BEE"/>
    <w:rsid w:val="0074631D"/>
    <w:rsid w:val="0074797F"/>
    <w:rsid w:val="007509CD"/>
    <w:rsid w:val="00752F77"/>
    <w:rsid w:val="00753A75"/>
    <w:rsid w:val="007544DF"/>
    <w:rsid w:val="007565B4"/>
    <w:rsid w:val="00756CC7"/>
    <w:rsid w:val="007572F2"/>
    <w:rsid w:val="0075782E"/>
    <w:rsid w:val="007606DD"/>
    <w:rsid w:val="00761684"/>
    <w:rsid w:val="00761766"/>
    <w:rsid w:val="00765736"/>
    <w:rsid w:val="0076696E"/>
    <w:rsid w:val="00766EE9"/>
    <w:rsid w:val="00766F45"/>
    <w:rsid w:val="00771B9F"/>
    <w:rsid w:val="00772356"/>
    <w:rsid w:val="00772632"/>
    <w:rsid w:val="007729A8"/>
    <w:rsid w:val="0077387F"/>
    <w:rsid w:val="0077418B"/>
    <w:rsid w:val="00776030"/>
    <w:rsid w:val="00777C6E"/>
    <w:rsid w:val="0078277E"/>
    <w:rsid w:val="0078335E"/>
    <w:rsid w:val="00783BBD"/>
    <w:rsid w:val="007855A6"/>
    <w:rsid w:val="00785DBA"/>
    <w:rsid w:val="0078719E"/>
    <w:rsid w:val="00791161"/>
    <w:rsid w:val="00792D19"/>
    <w:rsid w:val="00792E8E"/>
    <w:rsid w:val="00794D33"/>
    <w:rsid w:val="00795C87"/>
    <w:rsid w:val="00795DB0"/>
    <w:rsid w:val="00795DBF"/>
    <w:rsid w:val="00796430"/>
    <w:rsid w:val="00797A73"/>
    <w:rsid w:val="007A08D1"/>
    <w:rsid w:val="007A0DFB"/>
    <w:rsid w:val="007A0E93"/>
    <w:rsid w:val="007A1710"/>
    <w:rsid w:val="007A222C"/>
    <w:rsid w:val="007A2794"/>
    <w:rsid w:val="007A2FBF"/>
    <w:rsid w:val="007A4B13"/>
    <w:rsid w:val="007A6424"/>
    <w:rsid w:val="007A674C"/>
    <w:rsid w:val="007A7A40"/>
    <w:rsid w:val="007B00F6"/>
    <w:rsid w:val="007B0BDB"/>
    <w:rsid w:val="007B1AB1"/>
    <w:rsid w:val="007B218D"/>
    <w:rsid w:val="007B352F"/>
    <w:rsid w:val="007B397C"/>
    <w:rsid w:val="007B41A1"/>
    <w:rsid w:val="007C07C9"/>
    <w:rsid w:val="007C0921"/>
    <w:rsid w:val="007C3B45"/>
    <w:rsid w:val="007C483D"/>
    <w:rsid w:val="007D016A"/>
    <w:rsid w:val="007D02F3"/>
    <w:rsid w:val="007D25D0"/>
    <w:rsid w:val="007D3EF6"/>
    <w:rsid w:val="007D4120"/>
    <w:rsid w:val="007D5117"/>
    <w:rsid w:val="007D6BB9"/>
    <w:rsid w:val="007D7669"/>
    <w:rsid w:val="007D76C6"/>
    <w:rsid w:val="007D7967"/>
    <w:rsid w:val="007E0755"/>
    <w:rsid w:val="007E2087"/>
    <w:rsid w:val="007E4225"/>
    <w:rsid w:val="007E4758"/>
    <w:rsid w:val="007E4BFC"/>
    <w:rsid w:val="007E6491"/>
    <w:rsid w:val="007E6C75"/>
    <w:rsid w:val="007E7E6C"/>
    <w:rsid w:val="007F3DA9"/>
    <w:rsid w:val="007F5E7F"/>
    <w:rsid w:val="00800001"/>
    <w:rsid w:val="008015D6"/>
    <w:rsid w:val="008037CB"/>
    <w:rsid w:val="008045BE"/>
    <w:rsid w:val="00804CB4"/>
    <w:rsid w:val="008053A6"/>
    <w:rsid w:val="00805E66"/>
    <w:rsid w:val="00805F95"/>
    <w:rsid w:val="008064ED"/>
    <w:rsid w:val="00806BFD"/>
    <w:rsid w:val="00810522"/>
    <w:rsid w:val="0081244B"/>
    <w:rsid w:val="00812931"/>
    <w:rsid w:val="00813F9E"/>
    <w:rsid w:val="00814240"/>
    <w:rsid w:val="008144A6"/>
    <w:rsid w:val="00814AD1"/>
    <w:rsid w:val="008155D4"/>
    <w:rsid w:val="00815739"/>
    <w:rsid w:val="00815B28"/>
    <w:rsid w:val="00815BC0"/>
    <w:rsid w:val="00816D29"/>
    <w:rsid w:val="0082038E"/>
    <w:rsid w:val="00820709"/>
    <w:rsid w:val="008208BB"/>
    <w:rsid w:val="0082193B"/>
    <w:rsid w:val="00822279"/>
    <w:rsid w:val="0082252A"/>
    <w:rsid w:val="00822829"/>
    <w:rsid w:val="00824594"/>
    <w:rsid w:val="008278CB"/>
    <w:rsid w:val="00827A16"/>
    <w:rsid w:val="00830139"/>
    <w:rsid w:val="0083082E"/>
    <w:rsid w:val="00830908"/>
    <w:rsid w:val="00831FA2"/>
    <w:rsid w:val="00832646"/>
    <w:rsid w:val="008335F5"/>
    <w:rsid w:val="00834808"/>
    <w:rsid w:val="00834F2A"/>
    <w:rsid w:val="00836E90"/>
    <w:rsid w:val="00837208"/>
    <w:rsid w:val="00837CEB"/>
    <w:rsid w:val="008404B9"/>
    <w:rsid w:val="008405DB"/>
    <w:rsid w:val="00840754"/>
    <w:rsid w:val="00840ECC"/>
    <w:rsid w:val="008418B4"/>
    <w:rsid w:val="0084235B"/>
    <w:rsid w:val="00842550"/>
    <w:rsid w:val="0084269F"/>
    <w:rsid w:val="00842B9F"/>
    <w:rsid w:val="008436D1"/>
    <w:rsid w:val="008436DB"/>
    <w:rsid w:val="0084524A"/>
    <w:rsid w:val="00847E72"/>
    <w:rsid w:val="008501EF"/>
    <w:rsid w:val="0085158F"/>
    <w:rsid w:val="0085333E"/>
    <w:rsid w:val="008555B5"/>
    <w:rsid w:val="008562D3"/>
    <w:rsid w:val="00857DBB"/>
    <w:rsid w:val="0086096E"/>
    <w:rsid w:val="0086256E"/>
    <w:rsid w:val="00862E2D"/>
    <w:rsid w:val="008636AD"/>
    <w:rsid w:val="00864D2E"/>
    <w:rsid w:val="008668F0"/>
    <w:rsid w:val="00867008"/>
    <w:rsid w:val="00870A3B"/>
    <w:rsid w:val="00871524"/>
    <w:rsid w:val="00872695"/>
    <w:rsid w:val="008726D4"/>
    <w:rsid w:val="008728F2"/>
    <w:rsid w:val="008729AB"/>
    <w:rsid w:val="008741A0"/>
    <w:rsid w:val="00874527"/>
    <w:rsid w:val="0087533F"/>
    <w:rsid w:val="008774D6"/>
    <w:rsid w:val="00880893"/>
    <w:rsid w:val="008811DA"/>
    <w:rsid w:val="00881E5F"/>
    <w:rsid w:val="00881FD0"/>
    <w:rsid w:val="008820DB"/>
    <w:rsid w:val="008821A0"/>
    <w:rsid w:val="0088226E"/>
    <w:rsid w:val="008829F9"/>
    <w:rsid w:val="008839AE"/>
    <w:rsid w:val="00883F26"/>
    <w:rsid w:val="00884243"/>
    <w:rsid w:val="0088468B"/>
    <w:rsid w:val="00885706"/>
    <w:rsid w:val="008861A6"/>
    <w:rsid w:val="008864F6"/>
    <w:rsid w:val="00890373"/>
    <w:rsid w:val="00890F78"/>
    <w:rsid w:val="00891EC0"/>
    <w:rsid w:val="008956C1"/>
    <w:rsid w:val="008961F6"/>
    <w:rsid w:val="00896DE0"/>
    <w:rsid w:val="00896F19"/>
    <w:rsid w:val="008A0698"/>
    <w:rsid w:val="008A12B3"/>
    <w:rsid w:val="008A2059"/>
    <w:rsid w:val="008A2374"/>
    <w:rsid w:val="008A2B3E"/>
    <w:rsid w:val="008A2F6E"/>
    <w:rsid w:val="008A4CE3"/>
    <w:rsid w:val="008A58A2"/>
    <w:rsid w:val="008A6059"/>
    <w:rsid w:val="008A618F"/>
    <w:rsid w:val="008A6B8F"/>
    <w:rsid w:val="008B11B6"/>
    <w:rsid w:val="008B196D"/>
    <w:rsid w:val="008B1B1B"/>
    <w:rsid w:val="008B2C29"/>
    <w:rsid w:val="008B3187"/>
    <w:rsid w:val="008B35A7"/>
    <w:rsid w:val="008B4105"/>
    <w:rsid w:val="008B48FE"/>
    <w:rsid w:val="008B5079"/>
    <w:rsid w:val="008B6459"/>
    <w:rsid w:val="008B64E1"/>
    <w:rsid w:val="008C147B"/>
    <w:rsid w:val="008C1AEB"/>
    <w:rsid w:val="008C24BC"/>
    <w:rsid w:val="008C46AD"/>
    <w:rsid w:val="008C5ABB"/>
    <w:rsid w:val="008C71BE"/>
    <w:rsid w:val="008C773D"/>
    <w:rsid w:val="008C7B40"/>
    <w:rsid w:val="008D01EA"/>
    <w:rsid w:val="008D0FE5"/>
    <w:rsid w:val="008D0FFC"/>
    <w:rsid w:val="008D1993"/>
    <w:rsid w:val="008D1E97"/>
    <w:rsid w:val="008D277D"/>
    <w:rsid w:val="008D37DB"/>
    <w:rsid w:val="008D5F43"/>
    <w:rsid w:val="008D6EEE"/>
    <w:rsid w:val="008D73D1"/>
    <w:rsid w:val="008E05C2"/>
    <w:rsid w:val="008E0F40"/>
    <w:rsid w:val="008E13AD"/>
    <w:rsid w:val="008E2528"/>
    <w:rsid w:val="008E444E"/>
    <w:rsid w:val="008E5D19"/>
    <w:rsid w:val="008F16AE"/>
    <w:rsid w:val="008F222E"/>
    <w:rsid w:val="008F30A9"/>
    <w:rsid w:val="008F318D"/>
    <w:rsid w:val="008F50BB"/>
    <w:rsid w:val="008F580C"/>
    <w:rsid w:val="008F68CB"/>
    <w:rsid w:val="00901098"/>
    <w:rsid w:val="0090160F"/>
    <w:rsid w:val="00901B5A"/>
    <w:rsid w:val="00902D40"/>
    <w:rsid w:val="009036FF"/>
    <w:rsid w:val="009048AF"/>
    <w:rsid w:val="00904DBD"/>
    <w:rsid w:val="00907A2E"/>
    <w:rsid w:val="00907C0F"/>
    <w:rsid w:val="00907F26"/>
    <w:rsid w:val="00911B32"/>
    <w:rsid w:val="009133A1"/>
    <w:rsid w:val="00913ACA"/>
    <w:rsid w:val="00913C0F"/>
    <w:rsid w:val="00914674"/>
    <w:rsid w:val="00914C92"/>
    <w:rsid w:val="00917E1F"/>
    <w:rsid w:val="009209EA"/>
    <w:rsid w:val="00922ED9"/>
    <w:rsid w:val="00925F63"/>
    <w:rsid w:val="009276FD"/>
    <w:rsid w:val="0092772C"/>
    <w:rsid w:val="00927D66"/>
    <w:rsid w:val="0093005D"/>
    <w:rsid w:val="009303CD"/>
    <w:rsid w:val="00930D64"/>
    <w:rsid w:val="00932582"/>
    <w:rsid w:val="00932E93"/>
    <w:rsid w:val="009339E4"/>
    <w:rsid w:val="00933B0F"/>
    <w:rsid w:val="00933DA4"/>
    <w:rsid w:val="00934200"/>
    <w:rsid w:val="009351D3"/>
    <w:rsid w:val="009353B9"/>
    <w:rsid w:val="00936079"/>
    <w:rsid w:val="009379D6"/>
    <w:rsid w:val="00937BB7"/>
    <w:rsid w:val="009445E3"/>
    <w:rsid w:val="00945417"/>
    <w:rsid w:val="0094613F"/>
    <w:rsid w:val="00946A0F"/>
    <w:rsid w:val="00950565"/>
    <w:rsid w:val="00952173"/>
    <w:rsid w:val="009543CE"/>
    <w:rsid w:val="00954D20"/>
    <w:rsid w:val="00956B16"/>
    <w:rsid w:val="009578F2"/>
    <w:rsid w:val="00957D45"/>
    <w:rsid w:val="00960A0F"/>
    <w:rsid w:val="00963F53"/>
    <w:rsid w:val="0096515A"/>
    <w:rsid w:val="0096604F"/>
    <w:rsid w:val="009669DA"/>
    <w:rsid w:val="009675BE"/>
    <w:rsid w:val="00967BD9"/>
    <w:rsid w:val="00971360"/>
    <w:rsid w:val="0097326C"/>
    <w:rsid w:val="009750E3"/>
    <w:rsid w:val="00976C7F"/>
    <w:rsid w:val="00976E46"/>
    <w:rsid w:val="00976FD1"/>
    <w:rsid w:val="0097759F"/>
    <w:rsid w:val="0098001B"/>
    <w:rsid w:val="00981E27"/>
    <w:rsid w:val="00984600"/>
    <w:rsid w:val="0098470E"/>
    <w:rsid w:val="00984C4F"/>
    <w:rsid w:val="00984E95"/>
    <w:rsid w:val="00985C91"/>
    <w:rsid w:val="00990F49"/>
    <w:rsid w:val="00991C8D"/>
    <w:rsid w:val="00992BF1"/>
    <w:rsid w:val="00993839"/>
    <w:rsid w:val="00993ADA"/>
    <w:rsid w:val="00993CA0"/>
    <w:rsid w:val="00995100"/>
    <w:rsid w:val="0099517E"/>
    <w:rsid w:val="009978C2"/>
    <w:rsid w:val="009A0DB0"/>
    <w:rsid w:val="009A147D"/>
    <w:rsid w:val="009A2F37"/>
    <w:rsid w:val="009A3ADB"/>
    <w:rsid w:val="009A3FD8"/>
    <w:rsid w:val="009A4DDA"/>
    <w:rsid w:val="009A5CD8"/>
    <w:rsid w:val="009A6306"/>
    <w:rsid w:val="009A6464"/>
    <w:rsid w:val="009A6ACA"/>
    <w:rsid w:val="009A6EEB"/>
    <w:rsid w:val="009A6F4B"/>
    <w:rsid w:val="009B03ED"/>
    <w:rsid w:val="009B0899"/>
    <w:rsid w:val="009B752A"/>
    <w:rsid w:val="009C013A"/>
    <w:rsid w:val="009C214D"/>
    <w:rsid w:val="009C2CA9"/>
    <w:rsid w:val="009C4128"/>
    <w:rsid w:val="009C55A7"/>
    <w:rsid w:val="009C55F8"/>
    <w:rsid w:val="009C6992"/>
    <w:rsid w:val="009C6F66"/>
    <w:rsid w:val="009D3CA7"/>
    <w:rsid w:val="009D53B9"/>
    <w:rsid w:val="009D5DEF"/>
    <w:rsid w:val="009E023F"/>
    <w:rsid w:val="009E02AA"/>
    <w:rsid w:val="009E098E"/>
    <w:rsid w:val="009E0A6F"/>
    <w:rsid w:val="009E27E8"/>
    <w:rsid w:val="009E38FA"/>
    <w:rsid w:val="009E4E52"/>
    <w:rsid w:val="009E6096"/>
    <w:rsid w:val="009E629D"/>
    <w:rsid w:val="009F0778"/>
    <w:rsid w:val="009F3826"/>
    <w:rsid w:val="009F3A27"/>
    <w:rsid w:val="009F3FF2"/>
    <w:rsid w:val="009F41B0"/>
    <w:rsid w:val="009F597C"/>
    <w:rsid w:val="009F7CE7"/>
    <w:rsid w:val="009F7EEC"/>
    <w:rsid w:val="00A01176"/>
    <w:rsid w:val="00A024A0"/>
    <w:rsid w:val="00A03F39"/>
    <w:rsid w:val="00A04A6E"/>
    <w:rsid w:val="00A0582E"/>
    <w:rsid w:val="00A079CD"/>
    <w:rsid w:val="00A108D2"/>
    <w:rsid w:val="00A1240A"/>
    <w:rsid w:val="00A13CEC"/>
    <w:rsid w:val="00A1482A"/>
    <w:rsid w:val="00A14E9D"/>
    <w:rsid w:val="00A15196"/>
    <w:rsid w:val="00A154D9"/>
    <w:rsid w:val="00A16797"/>
    <w:rsid w:val="00A16B51"/>
    <w:rsid w:val="00A204FF"/>
    <w:rsid w:val="00A21D6D"/>
    <w:rsid w:val="00A22346"/>
    <w:rsid w:val="00A229AE"/>
    <w:rsid w:val="00A22BD4"/>
    <w:rsid w:val="00A2466B"/>
    <w:rsid w:val="00A25E0E"/>
    <w:rsid w:val="00A25E98"/>
    <w:rsid w:val="00A30535"/>
    <w:rsid w:val="00A30CCC"/>
    <w:rsid w:val="00A31384"/>
    <w:rsid w:val="00A360F7"/>
    <w:rsid w:val="00A374D7"/>
    <w:rsid w:val="00A4071B"/>
    <w:rsid w:val="00A407A7"/>
    <w:rsid w:val="00A42818"/>
    <w:rsid w:val="00A4292F"/>
    <w:rsid w:val="00A434CE"/>
    <w:rsid w:val="00A44B8F"/>
    <w:rsid w:val="00A45D0C"/>
    <w:rsid w:val="00A46CDE"/>
    <w:rsid w:val="00A47B89"/>
    <w:rsid w:val="00A501CE"/>
    <w:rsid w:val="00A5041B"/>
    <w:rsid w:val="00A50E2A"/>
    <w:rsid w:val="00A518BC"/>
    <w:rsid w:val="00A54672"/>
    <w:rsid w:val="00A54A1F"/>
    <w:rsid w:val="00A54A49"/>
    <w:rsid w:val="00A56A8F"/>
    <w:rsid w:val="00A60E9A"/>
    <w:rsid w:val="00A63643"/>
    <w:rsid w:val="00A6384A"/>
    <w:rsid w:val="00A64780"/>
    <w:rsid w:val="00A6532E"/>
    <w:rsid w:val="00A657F5"/>
    <w:rsid w:val="00A66492"/>
    <w:rsid w:val="00A6741C"/>
    <w:rsid w:val="00A700DC"/>
    <w:rsid w:val="00A712CA"/>
    <w:rsid w:val="00A714A3"/>
    <w:rsid w:val="00A75F85"/>
    <w:rsid w:val="00A80AFF"/>
    <w:rsid w:val="00A816B0"/>
    <w:rsid w:val="00A82971"/>
    <w:rsid w:val="00A84E8F"/>
    <w:rsid w:val="00A860C6"/>
    <w:rsid w:val="00A864AF"/>
    <w:rsid w:val="00A92C57"/>
    <w:rsid w:val="00A9582F"/>
    <w:rsid w:val="00A962CD"/>
    <w:rsid w:val="00A97D2D"/>
    <w:rsid w:val="00A97D31"/>
    <w:rsid w:val="00AA18F7"/>
    <w:rsid w:val="00AA3242"/>
    <w:rsid w:val="00AA3DEE"/>
    <w:rsid w:val="00AA4955"/>
    <w:rsid w:val="00AA6BC2"/>
    <w:rsid w:val="00AB19CC"/>
    <w:rsid w:val="00AB1B8F"/>
    <w:rsid w:val="00AB1FF7"/>
    <w:rsid w:val="00AB2381"/>
    <w:rsid w:val="00AB2614"/>
    <w:rsid w:val="00AB2856"/>
    <w:rsid w:val="00AB3C86"/>
    <w:rsid w:val="00AB3CD1"/>
    <w:rsid w:val="00AB5718"/>
    <w:rsid w:val="00AB5B25"/>
    <w:rsid w:val="00AB72C8"/>
    <w:rsid w:val="00AC1009"/>
    <w:rsid w:val="00AC26A3"/>
    <w:rsid w:val="00AC29AB"/>
    <w:rsid w:val="00AC35D9"/>
    <w:rsid w:val="00AC5167"/>
    <w:rsid w:val="00AC7608"/>
    <w:rsid w:val="00AD01D0"/>
    <w:rsid w:val="00AD1D4B"/>
    <w:rsid w:val="00AD22B5"/>
    <w:rsid w:val="00AD3398"/>
    <w:rsid w:val="00AD450A"/>
    <w:rsid w:val="00AE0E76"/>
    <w:rsid w:val="00AE2748"/>
    <w:rsid w:val="00AE3AD0"/>
    <w:rsid w:val="00AE46B0"/>
    <w:rsid w:val="00AE6222"/>
    <w:rsid w:val="00AE6CE1"/>
    <w:rsid w:val="00AF1543"/>
    <w:rsid w:val="00AF170D"/>
    <w:rsid w:val="00AF4061"/>
    <w:rsid w:val="00AF4A83"/>
    <w:rsid w:val="00AF5D98"/>
    <w:rsid w:val="00AF6730"/>
    <w:rsid w:val="00AF7084"/>
    <w:rsid w:val="00AF7490"/>
    <w:rsid w:val="00AF74A0"/>
    <w:rsid w:val="00AF7591"/>
    <w:rsid w:val="00AF7A2E"/>
    <w:rsid w:val="00B0258B"/>
    <w:rsid w:val="00B02862"/>
    <w:rsid w:val="00B04BCA"/>
    <w:rsid w:val="00B05834"/>
    <w:rsid w:val="00B070B1"/>
    <w:rsid w:val="00B103B1"/>
    <w:rsid w:val="00B105BE"/>
    <w:rsid w:val="00B109EF"/>
    <w:rsid w:val="00B153F6"/>
    <w:rsid w:val="00B1582F"/>
    <w:rsid w:val="00B16681"/>
    <w:rsid w:val="00B222AC"/>
    <w:rsid w:val="00B22560"/>
    <w:rsid w:val="00B23993"/>
    <w:rsid w:val="00B24091"/>
    <w:rsid w:val="00B251E6"/>
    <w:rsid w:val="00B265BF"/>
    <w:rsid w:val="00B2761C"/>
    <w:rsid w:val="00B30CA5"/>
    <w:rsid w:val="00B30FC0"/>
    <w:rsid w:val="00B31127"/>
    <w:rsid w:val="00B352B0"/>
    <w:rsid w:val="00B36014"/>
    <w:rsid w:val="00B360C3"/>
    <w:rsid w:val="00B3685C"/>
    <w:rsid w:val="00B40F91"/>
    <w:rsid w:val="00B41706"/>
    <w:rsid w:val="00B432F5"/>
    <w:rsid w:val="00B46067"/>
    <w:rsid w:val="00B51A3C"/>
    <w:rsid w:val="00B51B85"/>
    <w:rsid w:val="00B54834"/>
    <w:rsid w:val="00B56011"/>
    <w:rsid w:val="00B56169"/>
    <w:rsid w:val="00B57907"/>
    <w:rsid w:val="00B60AEA"/>
    <w:rsid w:val="00B61835"/>
    <w:rsid w:val="00B635F7"/>
    <w:rsid w:val="00B6363B"/>
    <w:rsid w:val="00B640E9"/>
    <w:rsid w:val="00B64F0A"/>
    <w:rsid w:val="00B6676C"/>
    <w:rsid w:val="00B66D1D"/>
    <w:rsid w:val="00B67777"/>
    <w:rsid w:val="00B67C42"/>
    <w:rsid w:val="00B70509"/>
    <w:rsid w:val="00B724AF"/>
    <w:rsid w:val="00B7274E"/>
    <w:rsid w:val="00B742D4"/>
    <w:rsid w:val="00B7463B"/>
    <w:rsid w:val="00B74896"/>
    <w:rsid w:val="00B74BD9"/>
    <w:rsid w:val="00B74D33"/>
    <w:rsid w:val="00B75305"/>
    <w:rsid w:val="00B75357"/>
    <w:rsid w:val="00B80524"/>
    <w:rsid w:val="00B80DEE"/>
    <w:rsid w:val="00B826B6"/>
    <w:rsid w:val="00B8485E"/>
    <w:rsid w:val="00B85A13"/>
    <w:rsid w:val="00B87643"/>
    <w:rsid w:val="00B90577"/>
    <w:rsid w:val="00B90732"/>
    <w:rsid w:val="00B9151A"/>
    <w:rsid w:val="00B9209C"/>
    <w:rsid w:val="00B92E27"/>
    <w:rsid w:val="00B938E1"/>
    <w:rsid w:val="00B95F9E"/>
    <w:rsid w:val="00BA166E"/>
    <w:rsid w:val="00BA170D"/>
    <w:rsid w:val="00BA2AA7"/>
    <w:rsid w:val="00BA2B66"/>
    <w:rsid w:val="00BA3538"/>
    <w:rsid w:val="00BA46AF"/>
    <w:rsid w:val="00BA4B2F"/>
    <w:rsid w:val="00BA4B54"/>
    <w:rsid w:val="00BA4F96"/>
    <w:rsid w:val="00BA618D"/>
    <w:rsid w:val="00BA622D"/>
    <w:rsid w:val="00BA6B15"/>
    <w:rsid w:val="00BA73D0"/>
    <w:rsid w:val="00BB0272"/>
    <w:rsid w:val="00BB0C21"/>
    <w:rsid w:val="00BB19A2"/>
    <w:rsid w:val="00BB4607"/>
    <w:rsid w:val="00BB5310"/>
    <w:rsid w:val="00BB6202"/>
    <w:rsid w:val="00BB63AA"/>
    <w:rsid w:val="00BB6DD4"/>
    <w:rsid w:val="00BB7629"/>
    <w:rsid w:val="00BB7A35"/>
    <w:rsid w:val="00BC06B9"/>
    <w:rsid w:val="00BC0E61"/>
    <w:rsid w:val="00BC123D"/>
    <w:rsid w:val="00BC1759"/>
    <w:rsid w:val="00BC1AEB"/>
    <w:rsid w:val="00BC2A5A"/>
    <w:rsid w:val="00BC35AF"/>
    <w:rsid w:val="00BC3F63"/>
    <w:rsid w:val="00BC587C"/>
    <w:rsid w:val="00BC5A6D"/>
    <w:rsid w:val="00BC5F9D"/>
    <w:rsid w:val="00BC631B"/>
    <w:rsid w:val="00BC717D"/>
    <w:rsid w:val="00BC7EC6"/>
    <w:rsid w:val="00BD19B3"/>
    <w:rsid w:val="00BD1D41"/>
    <w:rsid w:val="00BD35BD"/>
    <w:rsid w:val="00BD3E20"/>
    <w:rsid w:val="00BD6AE6"/>
    <w:rsid w:val="00BD709D"/>
    <w:rsid w:val="00BD7E00"/>
    <w:rsid w:val="00BE11F3"/>
    <w:rsid w:val="00BE14BE"/>
    <w:rsid w:val="00BE1A7A"/>
    <w:rsid w:val="00BE1D16"/>
    <w:rsid w:val="00BE275F"/>
    <w:rsid w:val="00BE4044"/>
    <w:rsid w:val="00BE4898"/>
    <w:rsid w:val="00BE764A"/>
    <w:rsid w:val="00BE7B65"/>
    <w:rsid w:val="00BE7E2C"/>
    <w:rsid w:val="00BF0794"/>
    <w:rsid w:val="00BF0AD9"/>
    <w:rsid w:val="00BF0EBA"/>
    <w:rsid w:val="00BF3A26"/>
    <w:rsid w:val="00BF3CCC"/>
    <w:rsid w:val="00BF4039"/>
    <w:rsid w:val="00BF5045"/>
    <w:rsid w:val="00BF5807"/>
    <w:rsid w:val="00BF5E79"/>
    <w:rsid w:val="00BF79E0"/>
    <w:rsid w:val="00C0059A"/>
    <w:rsid w:val="00C005D7"/>
    <w:rsid w:val="00C0079B"/>
    <w:rsid w:val="00C00B3D"/>
    <w:rsid w:val="00C02FC6"/>
    <w:rsid w:val="00C03A13"/>
    <w:rsid w:val="00C03B85"/>
    <w:rsid w:val="00C060D8"/>
    <w:rsid w:val="00C06821"/>
    <w:rsid w:val="00C103FC"/>
    <w:rsid w:val="00C10B72"/>
    <w:rsid w:val="00C121F5"/>
    <w:rsid w:val="00C142FB"/>
    <w:rsid w:val="00C14440"/>
    <w:rsid w:val="00C1556F"/>
    <w:rsid w:val="00C16CAB"/>
    <w:rsid w:val="00C17FE6"/>
    <w:rsid w:val="00C20031"/>
    <w:rsid w:val="00C21721"/>
    <w:rsid w:val="00C23317"/>
    <w:rsid w:val="00C23D1B"/>
    <w:rsid w:val="00C23DF4"/>
    <w:rsid w:val="00C3045D"/>
    <w:rsid w:val="00C30529"/>
    <w:rsid w:val="00C3202B"/>
    <w:rsid w:val="00C34200"/>
    <w:rsid w:val="00C34B0D"/>
    <w:rsid w:val="00C35842"/>
    <w:rsid w:val="00C35933"/>
    <w:rsid w:val="00C37A38"/>
    <w:rsid w:val="00C40B3C"/>
    <w:rsid w:val="00C42CF5"/>
    <w:rsid w:val="00C431E5"/>
    <w:rsid w:val="00C436E2"/>
    <w:rsid w:val="00C447F1"/>
    <w:rsid w:val="00C45CEA"/>
    <w:rsid w:val="00C45FB6"/>
    <w:rsid w:val="00C46BF4"/>
    <w:rsid w:val="00C46CD0"/>
    <w:rsid w:val="00C47E87"/>
    <w:rsid w:val="00C50C0D"/>
    <w:rsid w:val="00C51E7B"/>
    <w:rsid w:val="00C5358F"/>
    <w:rsid w:val="00C550ED"/>
    <w:rsid w:val="00C553E3"/>
    <w:rsid w:val="00C556DE"/>
    <w:rsid w:val="00C567B7"/>
    <w:rsid w:val="00C57279"/>
    <w:rsid w:val="00C607FD"/>
    <w:rsid w:val="00C631F5"/>
    <w:rsid w:val="00C64A58"/>
    <w:rsid w:val="00C65840"/>
    <w:rsid w:val="00C65872"/>
    <w:rsid w:val="00C66067"/>
    <w:rsid w:val="00C67FBC"/>
    <w:rsid w:val="00C67FE0"/>
    <w:rsid w:val="00C71783"/>
    <w:rsid w:val="00C733F1"/>
    <w:rsid w:val="00C73685"/>
    <w:rsid w:val="00C736CE"/>
    <w:rsid w:val="00C77AC7"/>
    <w:rsid w:val="00C80511"/>
    <w:rsid w:val="00C80DF3"/>
    <w:rsid w:val="00C8128C"/>
    <w:rsid w:val="00C813FB"/>
    <w:rsid w:val="00C82101"/>
    <w:rsid w:val="00C83C92"/>
    <w:rsid w:val="00C85104"/>
    <w:rsid w:val="00C901D2"/>
    <w:rsid w:val="00C90294"/>
    <w:rsid w:val="00C90966"/>
    <w:rsid w:val="00C91B82"/>
    <w:rsid w:val="00C93534"/>
    <w:rsid w:val="00C93F6D"/>
    <w:rsid w:val="00C947EA"/>
    <w:rsid w:val="00C94ACD"/>
    <w:rsid w:val="00C973AC"/>
    <w:rsid w:val="00CA019C"/>
    <w:rsid w:val="00CA179A"/>
    <w:rsid w:val="00CA25E2"/>
    <w:rsid w:val="00CA2892"/>
    <w:rsid w:val="00CA31FB"/>
    <w:rsid w:val="00CA3564"/>
    <w:rsid w:val="00CA3EEA"/>
    <w:rsid w:val="00CA4863"/>
    <w:rsid w:val="00CA599C"/>
    <w:rsid w:val="00CA5EE3"/>
    <w:rsid w:val="00CA6053"/>
    <w:rsid w:val="00CB1806"/>
    <w:rsid w:val="00CB275E"/>
    <w:rsid w:val="00CB2979"/>
    <w:rsid w:val="00CB3865"/>
    <w:rsid w:val="00CB5BE8"/>
    <w:rsid w:val="00CB75D5"/>
    <w:rsid w:val="00CC0CD1"/>
    <w:rsid w:val="00CC3397"/>
    <w:rsid w:val="00CC3993"/>
    <w:rsid w:val="00CC5490"/>
    <w:rsid w:val="00CC594B"/>
    <w:rsid w:val="00CC6C74"/>
    <w:rsid w:val="00CD2A7E"/>
    <w:rsid w:val="00CD4FE5"/>
    <w:rsid w:val="00CD5918"/>
    <w:rsid w:val="00CD5BF6"/>
    <w:rsid w:val="00CD6B97"/>
    <w:rsid w:val="00CE0368"/>
    <w:rsid w:val="00CE043C"/>
    <w:rsid w:val="00CE1259"/>
    <w:rsid w:val="00CE135C"/>
    <w:rsid w:val="00CE4CED"/>
    <w:rsid w:val="00CE4EBA"/>
    <w:rsid w:val="00CE5278"/>
    <w:rsid w:val="00CE5DDA"/>
    <w:rsid w:val="00CE7473"/>
    <w:rsid w:val="00CE77D1"/>
    <w:rsid w:val="00CF107E"/>
    <w:rsid w:val="00CF1A0A"/>
    <w:rsid w:val="00CF4498"/>
    <w:rsid w:val="00CF54D6"/>
    <w:rsid w:val="00CF74B5"/>
    <w:rsid w:val="00D000A0"/>
    <w:rsid w:val="00D00274"/>
    <w:rsid w:val="00D02355"/>
    <w:rsid w:val="00D03E59"/>
    <w:rsid w:val="00D05123"/>
    <w:rsid w:val="00D06747"/>
    <w:rsid w:val="00D10E80"/>
    <w:rsid w:val="00D135A2"/>
    <w:rsid w:val="00D13946"/>
    <w:rsid w:val="00D15289"/>
    <w:rsid w:val="00D16062"/>
    <w:rsid w:val="00D1660D"/>
    <w:rsid w:val="00D16CF3"/>
    <w:rsid w:val="00D21694"/>
    <w:rsid w:val="00D2528F"/>
    <w:rsid w:val="00D254E8"/>
    <w:rsid w:val="00D27A40"/>
    <w:rsid w:val="00D30308"/>
    <w:rsid w:val="00D317BB"/>
    <w:rsid w:val="00D31944"/>
    <w:rsid w:val="00D3282E"/>
    <w:rsid w:val="00D3450D"/>
    <w:rsid w:val="00D3711C"/>
    <w:rsid w:val="00D37D8C"/>
    <w:rsid w:val="00D4047A"/>
    <w:rsid w:val="00D40D03"/>
    <w:rsid w:val="00D41264"/>
    <w:rsid w:val="00D41C70"/>
    <w:rsid w:val="00D42C71"/>
    <w:rsid w:val="00D433A6"/>
    <w:rsid w:val="00D44E6F"/>
    <w:rsid w:val="00D477EB"/>
    <w:rsid w:val="00D47B85"/>
    <w:rsid w:val="00D519BD"/>
    <w:rsid w:val="00D519E2"/>
    <w:rsid w:val="00D51B71"/>
    <w:rsid w:val="00D535DE"/>
    <w:rsid w:val="00D539AB"/>
    <w:rsid w:val="00D5408B"/>
    <w:rsid w:val="00D544D5"/>
    <w:rsid w:val="00D5561F"/>
    <w:rsid w:val="00D55F9F"/>
    <w:rsid w:val="00D561CD"/>
    <w:rsid w:val="00D567E9"/>
    <w:rsid w:val="00D60CC9"/>
    <w:rsid w:val="00D60FC6"/>
    <w:rsid w:val="00D63BF0"/>
    <w:rsid w:val="00D6537B"/>
    <w:rsid w:val="00D65B02"/>
    <w:rsid w:val="00D65C10"/>
    <w:rsid w:val="00D66310"/>
    <w:rsid w:val="00D6680A"/>
    <w:rsid w:val="00D66C72"/>
    <w:rsid w:val="00D67A84"/>
    <w:rsid w:val="00D67FFE"/>
    <w:rsid w:val="00D70465"/>
    <w:rsid w:val="00D70A5A"/>
    <w:rsid w:val="00D71B16"/>
    <w:rsid w:val="00D72DF6"/>
    <w:rsid w:val="00D7422D"/>
    <w:rsid w:val="00D80C5D"/>
    <w:rsid w:val="00D83D5C"/>
    <w:rsid w:val="00D85AF9"/>
    <w:rsid w:val="00D86D62"/>
    <w:rsid w:val="00D9315C"/>
    <w:rsid w:val="00D959C6"/>
    <w:rsid w:val="00D97DF0"/>
    <w:rsid w:val="00DA0028"/>
    <w:rsid w:val="00DA02E4"/>
    <w:rsid w:val="00DA2734"/>
    <w:rsid w:val="00DA3A90"/>
    <w:rsid w:val="00DA422C"/>
    <w:rsid w:val="00DA4D6A"/>
    <w:rsid w:val="00DA4DF3"/>
    <w:rsid w:val="00DA5221"/>
    <w:rsid w:val="00DA5ACA"/>
    <w:rsid w:val="00DA6C4A"/>
    <w:rsid w:val="00DA7830"/>
    <w:rsid w:val="00DB012A"/>
    <w:rsid w:val="00DB1077"/>
    <w:rsid w:val="00DB1490"/>
    <w:rsid w:val="00DB2935"/>
    <w:rsid w:val="00DB556E"/>
    <w:rsid w:val="00DB64DA"/>
    <w:rsid w:val="00DB7775"/>
    <w:rsid w:val="00DB79F5"/>
    <w:rsid w:val="00DC1A37"/>
    <w:rsid w:val="00DC5358"/>
    <w:rsid w:val="00DD458B"/>
    <w:rsid w:val="00DD481F"/>
    <w:rsid w:val="00DD5172"/>
    <w:rsid w:val="00DD6898"/>
    <w:rsid w:val="00DE0BA3"/>
    <w:rsid w:val="00DE0E42"/>
    <w:rsid w:val="00DE1CB8"/>
    <w:rsid w:val="00DE2C79"/>
    <w:rsid w:val="00DE2CAC"/>
    <w:rsid w:val="00DE6BE4"/>
    <w:rsid w:val="00DE759F"/>
    <w:rsid w:val="00DE7DA1"/>
    <w:rsid w:val="00DF0D59"/>
    <w:rsid w:val="00DF0DE7"/>
    <w:rsid w:val="00DF11AD"/>
    <w:rsid w:val="00DF15C0"/>
    <w:rsid w:val="00DF2308"/>
    <w:rsid w:val="00DF254E"/>
    <w:rsid w:val="00DF509C"/>
    <w:rsid w:val="00DF5558"/>
    <w:rsid w:val="00DF565F"/>
    <w:rsid w:val="00DF59CE"/>
    <w:rsid w:val="00DF6C9B"/>
    <w:rsid w:val="00DF71E2"/>
    <w:rsid w:val="00DF7424"/>
    <w:rsid w:val="00E01969"/>
    <w:rsid w:val="00E06CC3"/>
    <w:rsid w:val="00E071E4"/>
    <w:rsid w:val="00E0787B"/>
    <w:rsid w:val="00E11ABB"/>
    <w:rsid w:val="00E12571"/>
    <w:rsid w:val="00E12A5C"/>
    <w:rsid w:val="00E12D79"/>
    <w:rsid w:val="00E12DBC"/>
    <w:rsid w:val="00E130F1"/>
    <w:rsid w:val="00E1549C"/>
    <w:rsid w:val="00E1553D"/>
    <w:rsid w:val="00E16051"/>
    <w:rsid w:val="00E16E67"/>
    <w:rsid w:val="00E17E67"/>
    <w:rsid w:val="00E209F7"/>
    <w:rsid w:val="00E20AEB"/>
    <w:rsid w:val="00E213BE"/>
    <w:rsid w:val="00E21429"/>
    <w:rsid w:val="00E217FF"/>
    <w:rsid w:val="00E22726"/>
    <w:rsid w:val="00E2383D"/>
    <w:rsid w:val="00E238EC"/>
    <w:rsid w:val="00E23A8E"/>
    <w:rsid w:val="00E241D3"/>
    <w:rsid w:val="00E253A0"/>
    <w:rsid w:val="00E25968"/>
    <w:rsid w:val="00E25D21"/>
    <w:rsid w:val="00E3005A"/>
    <w:rsid w:val="00E317F8"/>
    <w:rsid w:val="00E35A9B"/>
    <w:rsid w:val="00E36284"/>
    <w:rsid w:val="00E40B55"/>
    <w:rsid w:val="00E452DF"/>
    <w:rsid w:val="00E47708"/>
    <w:rsid w:val="00E47D7D"/>
    <w:rsid w:val="00E502B0"/>
    <w:rsid w:val="00E5087D"/>
    <w:rsid w:val="00E529F4"/>
    <w:rsid w:val="00E52BB5"/>
    <w:rsid w:val="00E53FFF"/>
    <w:rsid w:val="00E54DEA"/>
    <w:rsid w:val="00E55673"/>
    <w:rsid w:val="00E5711B"/>
    <w:rsid w:val="00E571B9"/>
    <w:rsid w:val="00E61ED4"/>
    <w:rsid w:val="00E62B30"/>
    <w:rsid w:val="00E63318"/>
    <w:rsid w:val="00E6478E"/>
    <w:rsid w:val="00E67053"/>
    <w:rsid w:val="00E676CA"/>
    <w:rsid w:val="00E6775B"/>
    <w:rsid w:val="00E712F6"/>
    <w:rsid w:val="00E73A88"/>
    <w:rsid w:val="00E75E51"/>
    <w:rsid w:val="00E761EB"/>
    <w:rsid w:val="00E7666B"/>
    <w:rsid w:val="00E76EA6"/>
    <w:rsid w:val="00E77E2A"/>
    <w:rsid w:val="00E80181"/>
    <w:rsid w:val="00E80985"/>
    <w:rsid w:val="00E82A75"/>
    <w:rsid w:val="00E838EE"/>
    <w:rsid w:val="00E8395C"/>
    <w:rsid w:val="00E84E1F"/>
    <w:rsid w:val="00E87D24"/>
    <w:rsid w:val="00E91B05"/>
    <w:rsid w:val="00E92C6A"/>
    <w:rsid w:val="00E95A6C"/>
    <w:rsid w:val="00E9694A"/>
    <w:rsid w:val="00EA3A07"/>
    <w:rsid w:val="00EA49F9"/>
    <w:rsid w:val="00EA5840"/>
    <w:rsid w:val="00EA64D9"/>
    <w:rsid w:val="00EA6906"/>
    <w:rsid w:val="00EA7F83"/>
    <w:rsid w:val="00EB29A1"/>
    <w:rsid w:val="00EB2BC5"/>
    <w:rsid w:val="00EB47B8"/>
    <w:rsid w:val="00EB5A87"/>
    <w:rsid w:val="00EB5D18"/>
    <w:rsid w:val="00EC13E9"/>
    <w:rsid w:val="00EC24AC"/>
    <w:rsid w:val="00EC37B8"/>
    <w:rsid w:val="00EC3BB1"/>
    <w:rsid w:val="00EC42AE"/>
    <w:rsid w:val="00EC4BB6"/>
    <w:rsid w:val="00EC4D48"/>
    <w:rsid w:val="00EC64A0"/>
    <w:rsid w:val="00EC64A3"/>
    <w:rsid w:val="00EC6EB4"/>
    <w:rsid w:val="00EC71B5"/>
    <w:rsid w:val="00EC7AEC"/>
    <w:rsid w:val="00ED0969"/>
    <w:rsid w:val="00ED14A8"/>
    <w:rsid w:val="00ED1929"/>
    <w:rsid w:val="00ED2D94"/>
    <w:rsid w:val="00ED412B"/>
    <w:rsid w:val="00ED4445"/>
    <w:rsid w:val="00ED49D7"/>
    <w:rsid w:val="00ED6689"/>
    <w:rsid w:val="00ED74DE"/>
    <w:rsid w:val="00EE10FA"/>
    <w:rsid w:val="00EE5270"/>
    <w:rsid w:val="00EE5F6A"/>
    <w:rsid w:val="00EE65E0"/>
    <w:rsid w:val="00EE68A8"/>
    <w:rsid w:val="00EE6C10"/>
    <w:rsid w:val="00EF133C"/>
    <w:rsid w:val="00EF1A6A"/>
    <w:rsid w:val="00EF274E"/>
    <w:rsid w:val="00EF599A"/>
    <w:rsid w:val="00EF6815"/>
    <w:rsid w:val="00EF70E6"/>
    <w:rsid w:val="00F00A63"/>
    <w:rsid w:val="00F03226"/>
    <w:rsid w:val="00F032A6"/>
    <w:rsid w:val="00F0349D"/>
    <w:rsid w:val="00F0387A"/>
    <w:rsid w:val="00F04686"/>
    <w:rsid w:val="00F05CBF"/>
    <w:rsid w:val="00F11E4A"/>
    <w:rsid w:val="00F13096"/>
    <w:rsid w:val="00F1524D"/>
    <w:rsid w:val="00F15FE0"/>
    <w:rsid w:val="00F1642B"/>
    <w:rsid w:val="00F1770E"/>
    <w:rsid w:val="00F226A8"/>
    <w:rsid w:val="00F231E4"/>
    <w:rsid w:val="00F236D7"/>
    <w:rsid w:val="00F23A58"/>
    <w:rsid w:val="00F24826"/>
    <w:rsid w:val="00F26F76"/>
    <w:rsid w:val="00F27155"/>
    <w:rsid w:val="00F3104E"/>
    <w:rsid w:val="00F34420"/>
    <w:rsid w:val="00F347F9"/>
    <w:rsid w:val="00F3561A"/>
    <w:rsid w:val="00F35BD7"/>
    <w:rsid w:val="00F371E5"/>
    <w:rsid w:val="00F37486"/>
    <w:rsid w:val="00F37725"/>
    <w:rsid w:val="00F37A1A"/>
    <w:rsid w:val="00F37E6B"/>
    <w:rsid w:val="00F400A5"/>
    <w:rsid w:val="00F40D2E"/>
    <w:rsid w:val="00F41E0F"/>
    <w:rsid w:val="00F426F0"/>
    <w:rsid w:val="00F464AC"/>
    <w:rsid w:val="00F4700B"/>
    <w:rsid w:val="00F50268"/>
    <w:rsid w:val="00F5174E"/>
    <w:rsid w:val="00F529BD"/>
    <w:rsid w:val="00F53204"/>
    <w:rsid w:val="00F55229"/>
    <w:rsid w:val="00F55EC0"/>
    <w:rsid w:val="00F5611E"/>
    <w:rsid w:val="00F572D5"/>
    <w:rsid w:val="00F57826"/>
    <w:rsid w:val="00F579A6"/>
    <w:rsid w:val="00F63921"/>
    <w:rsid w:val="00F63BA9"/>
    <w:rsid w:val="00F640C5"/>
    <w:rsid w:val="00F64603"/>
    <w:rsid w:val="00F64671"/>
    <w:rsid w:val="00F64C79"/>
    <w:rsid w:val="00F64DA6"/>
    <w:rsid w:val="00F6621B"/>
    <w:rsid w:val="00F66434"/>
    <w:rsid w:val="00F66C6E"/>
    <w:rsid w:val="00F67AC0"/>
    <w:rsid w:val="00F70AAB"/>
    <w:rsid w:val="00F726FD"/>
    <w:rsid w:val="00F72990"/>
    <w:rsid w:val="00F72FEB"/>
    <w:rsid w:val="00F739E8"/>
    <w:rsid w:val="00F76265"/>
    <w:rsid w:val="00F77873"/>
    <w:rsid w:val="00F80D46"/>
    <w:rsid w:val="00F82127"/>
    <w:rsid w:val="00F83B1D"/>
    <w:rsid w:val="00F83FAB"/>
    <w:rsid w:val="00F8426D"/>
    <w:rsid w:val="00F84920"/>
    <w:rsid w:val="00F84A12"/>
    <w:rsid w:val="00F85C3F"/>
    <w:rsid w:val="00F90C76"/>
    <w:rsid w:val="00F911C2"/>
    <w:rsid w:val="00F91E18"/>
    <w:rsid w:val="00F925AE"/>
    <w:rsid w:val="00F92E04"/>
    <w:rsid w:val="00F932F2"/>
    <w:rsid w:val="00F9389A"/>
    <w:rsid w:val="00F940B9"/>
    <w:rsid w:val="00F94C52"/>
    <w:rsid w:val="00F95660"/>
    <w:rsid w:val="00F96118"/>
    <w:rsid w:val="00F96E1D"/>
    <w:rsid w:val="00FA014B"/>
    <w:rsid w:val="00FA18AA"/>
    <w:rsid w:val="00FA2C51"/>
    <w:rsid w:val="00FA33C7"/>
    <w:rsid w:val="00FA37D6"/>
    <w:rsid w:val="00FA50A3"/>
    <w:rsid w:val="00FA63B3"/>
    <w:rsid w:val="00FA6E3F"/>
    <w:rsid w:val="00FB0275"/>
    <w:rsid w:val="00FB05EA"/>
    <w:rsid w:val="00FB0873"/>
    <w:rsid w:val="00FB2531"/>
    <w:rsid w:val="00FB26E4"/>
    <w:rsid w:val="00FB2F52"/>
    <w:rsid w:val="00FB3A4F"/>
    <w:rsid w:val="00FB40FC"/>
    <w:rsid w:val="00FB4730"/>
    <w:rsid w:val="00FC0157"/>
    <w:rsid w:val="00FC02FB"/>
    <w:rsid w:val="00FC09F7"/>
    <w:rsid w:val="00FC25B6"/>
    <w:rsid w:val="00FC30F8"/>
    <w:rsid w:val="00FC3DE4"/>
    <w:rsid w:val="00FC4119"/>
    <w:rsid w:val="00FC5152"/>
    <w:rsid w:val="00FC5848"/>
    <w:rsid w:val="00FC60C5"/>
    <w:rsid w:val="00FC67AA"/>
    <w:rsid w:val="00FD0256"/>
    <w:rsid w:val="00FD1368"/>
    <w:rsid w:val="00FD37C4"/>
    <w:rsid w:val="00FD3AD5"/>
    <w:rsid w:val="00FD3ADA"/>
    <w:rsid w:val="00FD5579"/>
    <w:rsid w:val="00FD5923"/>
    <w:rsid w:val="00FD61CB"/>
    <w:rsid w:val="00FD79B7"/>
    <w:rsid w:val="00FE00F9"/>
    <w:rsid w:val="00FE155D"/>
    <w:rsid w:val="00FE176A"/>
    <w:rsid w:val="00FE2B1B"/>
    <w:rsid w:val="00FE372A"/>
    <w:rsid w:val="00FE3B92"/>
    <w:rsid w:val="00FE3DDD"/>
    <w:rsid w:val="00FE4FD1"/>
    <w:rsid w:val="00FE565E"/>
    <w:rsid w:val="00FE584A"/>
    <w:rsid w:val="00FE5C74"/>
    <w:rsid w:val="00FE6730"/>
    <w:rsid w:val="00FE6F02"/>
    <w:rsid w:val="00FF0BA9"/>
    <w:rsid w:val="00FF347D"/>
    <w:rsid w:val="00FF3736"/>
    <w:rsid w:val="00FF6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332EF"/>
  <w15:docId w15:val="{21633C04-B88E-4093-AEB0-6A3E5BCE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CD"/>
    <w:pPr>
      <w:spacing w:after="180" w:line="273" w:lineRule="auto"/>
    </w:pPr>
    <w:rPr>
      <w:sz w:val="21"/>
    </w:rPr>
  </w:style>
  <w:style w:type="paragraph" w:styleId="Heading1">
    <w:name w:val="heading 1"/>
    <w:basedOn w:val="Normal"/>
    <w:next w:val="Normal"/>
    <w:link w:val="Heading1Char"/>
    <w:uiPriority w:val="9"/>
    <w:qFormat/>
    <w:rsid w:val="009303CD"/>
    <w:pPr>
      <w:keepNext/>
      <w:keepLines/>
      <w:pageBreakBefore/>
      <w:spacing w:after="360" w:line="240" w:lineRule="auto"/>
      <w:ind w:left="720" w:hanging="720"/>
      <w:textboxTightWrap w:val="allLines"/>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unhideWhenUsed/>
    <w:qFormat/>
    <w:rsid w:val="009303CD"/>
    <w:pPr>
      <w:keepNext/>
      <w:keepLines/>
      <w:spacing w:before="300" w:after="120" w:line="440" w:lineRule="atLeast"/>
      <w:outlineLvl w:val="1"/>
    </w:pPr>
    <w:rPr>
      <w:rFonts w:ascii="Arial" w:eastAsiaTheme="majorEastAsia" w:hAnsi="Arial" w:cstheme="majorBidi"/>
      <w:b/>
      <w:bCs/>
      <w:sz w:val="36"/>
      <w:szCs w:val="26"/>
    </w:rPr>
  </w:style>
  <w:style w:type="paragraph" w:styleId="Heading3">
    <w:name w:val="heading 3"/>
    <w:basedOn w:val="Normal"/>
    <w:next w:val="Normal"/>
    <w:link w:val="Heading3Char"/>
    <w:uiPriority w:val="9"/>
    <w:unhideWhenUsed/>
    <w:qFormat/>
    <w:rsid w:val="009303CD"/>
    <w:pPr>
      <w:keepNext/>
      <w:keepLines/>
      <w:spacing w:before="300" w:after="120" w:line="340" w:lineRule="atLeast"/>
      <w:outlineLvl w:val="2"/>
    </w:pPr>
    <w:rPr>
      <w:rFonts w:ascii="Arial" w:eastAsiaTheme="majorEastAsia" w:hAnsi="Arial" w:cstheme="majorBidi"/>
      <w:b/>
      <w:bCs/>
      <w:sz w:val="28"/>
    </w:rPr>
  </w:style>
  <w:style w:type="paragraph" w:styleId="Heading4">
    <w:name w:val="heading 4"/>
    <w:basedOn w:val="Normal"/>
    <w:next w:val="Normal"/>
    <w:link w:val="Heading4Char"/>
    <w:uiPriority w:val="9"/>
    <w:semiHidden/>
    <w:unhideWhenUsed/>
    <w:qFormat/>
    <w:rsid w:val="009303C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9303C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9303CD"/>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9303C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9303C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303C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3CD"/>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9303CD"/>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9303CD"/>
    <w:rPr>
      <w:rFonts w:ascii="Arial" w:eastAsiaTheme="majorEastAsia" w:hAnsi="Arial" w:cstheme="majorBidi"/>
      <w:b/>
      <w:bCs/>
      <w:sz w:val="28"/>
    </w:rPr>
  </w:style>
  <w:style w:type="character" w:customStyle="1" w:styleId="Heading4Char">
    <w:name w:val="Heading 4 Char"/>
    <w:basedOn w:val="DefaultParagraphFont"/>
    <w:link w:val="Heading4"/>
    <w:uiPriority w:val="9"/>
    <w:semiHidden/>
    <w:rsid w:val="009303C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9303C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303CD"/>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9303C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9303C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303CD"/>
    <w:rPr>
      <w:rFonts w:asciiTheme="majorHAnsi" w:eastAsiaTheme="majorEastAsia" w:hAnsiTheme="majorHAnsi" w:cstheme="majorBidi"/>
      <w:i/>
      <w:iCs/>
      <w:color w:val="000000"/>
      <w:sz w:val="20"/>
      <w:szCs w:val="20"/>
    </w:rPr>
  </w:style>
  <w:style w:type="character" w:styleId="Hyperlink">
    <w:name w:val="Hyperlink"/>
    <w:uiPriority w:val="99"/>
    <w:unhideWhenUsed/>
    <w:rsid w:val="009303CD"/>
    <w:rPr>
      <w:color w:val="1F497D"/>
      <w:u w:val="single"/>
    </w:rPr>
  </w:style>
  <w:style w:type="character" w:styleId="FollowedHyperlink">
    <w:name w:val="FollowedHyperlink"/>
    <w:basedOn w:val="DefaultParagraphFont"/>
    <w:uiPriority w:val="99"/>
    <w:semiHidden/>
    <w:unhideWhenUsed/>
    <w:rsid w:val="009303CD"/>
    <w:rPr>
      <w:color w:val="954F72" w:themeColor="followedHyperlink"/>
      <w:u w:val="single"/>
    </w:rPr>
  </w:style>
  <w:style w:type="character" w:styleId="HTMLCode">
    <w:name w:val="HTML Code"/>
    <w:basedOn w:val="DefaultParagraphFont"/>
    <w:uiPriority w:val="99"/>
    <w:semiHidden/>
    <w:unhideWhenUsed/>
    <w:rsid w:val="009303CD"/>
    <w:rPr>
      <w:rFonts w:ascii="Courier New" w:eastAsia="Times New Roman" w:hAnsi="Courier New" w:cs="Courier New" w:hint="default"/>
      <w:sz w:val="20"/>
      <w:szCs w:val="20"/>
    </w:rPr>
  </w:style>
  <w:style w:type="character" w:styleId="Emphasis">
    <w:name w:val="Emphasis"/>
    <w:basedOn w:val="DefaultParagraphFont"/>
    <w:uiPriority w:val="20"/>
    <w:qFormat/>
    <w:rsid w:val="009303CD"/>
    <w:rPr>
      <w:b/>
      <w:bCs w:val="0"/>
      <w:i/>
      <w:iCs/>
    </w:rPr>
  </w:style>
  <w:style w:type="character" w:styleId="Strong">
    <w:name w:val="Strong"/>
    <w:basedOn w:val="DefaultParagraphFont"/>
    <w:uiPriority w:val="22"/>
    <w:qFormat/>
    <w:rsid w:val="009303CD"/>
    <w:rPr>
      <w:b w:val="0"/>
      <w:bCs w:val="0"/>
      <w:i/>
      <w:iCs w:val="0"/>
      <w:color w:val="44546A" w:themeColor="text2"/>
    </w:rPr>
  </w:style>
  <w:style w:type="paragraph" w:customStyle="1" w:styleId="msonormal0">
    <w:name w:val="msonormal"/>
    <w:basedOn w:val="Normal"/>
    <w:uiPriority w:val="99"/>
    <w:semiHidden/>
    <w:rsid w:val="009303CD"/>
    <w:pPr>
      <w:spacing w:before="100" w:beforeAutospacing="1" w:after="198" w:line="240" w:lineRule="auto"/>
    </w:pPr>
    <w:rPr>
      <w:rFonts w:ascii="Calibri" w:eastAsia="Times New Roman" w:hAnsi="Calibri" w:cs="Calibri"/>
      <w:lang w:eastAsia="en-AU"/>
    </w:rPr>
  </w:style>
  <w:style w:type="paragraph" w:styleId="NormalWeb">
    <w:name w:val="Normal (Web)"/>
    <w:basedOn w:val="Normal"/>
    <w:uiPriority w:val="99"/>
    <w:unhideWhenUsed/>
    <w:rsid w:val="009303CD"/>
    <w:pPr>
      <w:spacing w:before="100" w:beforeAutospacing="1" w:after="198" w:line="240" w:lineRule="auto"/>
    </w:pPr>
    <w:rPr>
      <w:rFonts w:ascii="Calibri" w:eastAsia="Times New Roman" w:hAnsi="Calibri" w:cs="Calibri"/>
      <w:lang w:eastAsia="en-AU"/>
    </w:rPr>
  </w:style>
  <w:style w:type="paragraph" w:styleId="TOC1">
    <w:name w:val="toc 1"/>
    <w:basedOn w:val="Normal"/>
    <w:next w:val="Normal"/>
    <w:autoRedefine/>
    <w:uiPriority w:val="39"/>
    <w:unhideWhenUsed/>
    <w:rsid w:val="00487E53"/>
    <w:pPr>
      <w:tabs>
        <w:tab w:val="left" w:pos="249"/>
        <w:tab w:val="left" w:pos="306"/>
        <w:tab w:val="left" w:pos="420"/>
        <w:tab w:val="right" w:leader="dot" w:pos="9498"/>
      </w:tabs>
      <w:spacing w:before="80" w:after="100" w:line="276" w:lineRule="auto"/>
    </w:pPr>
    <w:rPr>
      <w:rFonts w:ascii="Arial" w:eastAsia="Times New Roman" w:hAnsi="Arial" w:cs="Arial"/>
      <w:b/>
      <w:noProof/>
      <w:sz w:val="22"/>
    </w:rPr>
  </w:style>
  <w:style w:type="paragraph" w:styleId="TOC2">
    <w:name w:val="toc 2"/>
    <w:basedOn w:val="Normal"/>
    <w:next w:val="Normal"/>
    <w:autoRedefine/>
    <w:uiPriority w:val="39"/>
    <w:unhideWhenUsed/>
    <w:rsid w:val="009303CD"/>
    <w:pPr>
      <w:spacing w:after="100"/>
      <w:ind w:left="210"/>
    </w:pPr>
  </w:style>
  <w:style w:type="paragraph" w:styleId="TOC3">
    <w:name w:val="toc 3"/>
    <w:basedOn w:val="Normal"/>
    <w:next w:val="Normal"/>
    <w:autoRedefine/>
    <w:uiPriority w:val="39"/>
    <w:unhideWhenUsed/>
    <w:rsid w:val="009303CD"/>
    <w:pPr>
      <w:spacing w:after="100"/>
      <w:ind w:left="420"/>
    </w:pPr>
  </w:style>
  <w:style w:type="paragraph" w:styleId="CommentText">
    <w:name w:val="annotation text"/>
    <w:basedOn w:val="Normal"/>
    <w:link w:val="CommentTextChar"/>
    <w:uiPriority w:val="99"/>
    <w:unhideWhenUsed/>
    <w:rsid w:val="009303CD"/>
    <w:pPr>
      <w:spacing w:line="240" w:lineRule="auto"/>
    </w:pPr>
    <w:rPr>
      <w:sz w:val="20"/>
      <w:szCs w:val="20"/>
    </w:rPr>
  </w:style>
  <w:style w:type="character" w:customStyle="1" w:styleId="CommentTextChar">
    <w:name w:val="Comment Text Char"/>
    <w:basedOn w:val="DefaultParagraphFont"/>
    <w:link w:val="CommentText"/>
    <w:uiPriority w:val="99"/>
    <w:rsid w:val="009303CD"/>
    <w:rPr>
      <w:sz w:val="20"/>
      <w:szCs w:val="20"/>
    </w:rPr>
  </w:style>
  <w:style w:type="paragraph" w:styleId="Header">
    <w:name w:val="header"/>
    <w:basedOn w:val="Normal"/>
    <w:link w:val="HeaderChar"/>
    <w:uiPriority w:val="99"/>
    <w:unhideWhenUsed/>
    <w:rsid w:val="00930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3CD"/>
    <w:rPr>
      <w:sz w:val="21"/>
    </w:rPr>
  </w:style>
  <w:style w:type="paragraph" w:styleId="Footer">
    <w:name w:val="footer"/>
    <w:basedOn w:val="Normal"/>
    <w:link w:val="FooterChar"/>
    <w:uiPriority w:val="99"/>
    <w:unhideWhenUsed/>
    <w:rsid w:val="00930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3CD"/>
    <w:rPr>
      <w:sz w:val="21"/>
    </w:rPr>
  </w:style>
  <w:style w:type="paragraph" w:styleId="Caption">
    <w:name w:val="caption"/>
    <w:basedOn w:val="Normal"/>
    <w:next w:val="Normal"/>
    <w:unhideWhenUsed/>
    <w:qFormat/>
    <w:rsid w:val="009303CD"/>
    <w:pPr>
      <w:spacing w:before="120" w:after="120" w:line="240" w:lineRule="atLeast"/>
    </w:pPr>
    <w:rPr>
      <w:rFonts w:ascii="Arial" w:eastAsiaTheme="minorEastAsia" w:hAnsi="Arial"/>
      <w:b/>
      <w:bCs/>
      <w:sz w:val="20"/>
      <w:szCs w:val="18"/>
      <w:lang w:bidi="hi-IN"/>
    </w:rPr>
  </w:style>
  <w:style w:type="paragraph" w:customStyle="1" w:styleId="TableCaption">
    <w:name w:val="Table: Caption"/>
    <w:basedOn w:val="NPESUbodytext"/>
    <w:next w:val="TableFigHeadingtotal"/>
    <w:uiPriority w:val="5"/>
    <w:semiHidden/>
    <w:rsid w:val="009303CD"/>
    <w:pPr>
      <w:keepNext/>
      <w:keepLines/>
      <w:spacing w:before="240" w:line="240" w:lineRule="atLeast"/>
    </w:pPr>
    <w:rPr>
      <w:b/>
      <w:sz w:val="20"/>
    </w:rPr>
  </w:style>
  <w:style w:type="paragraph" w:styleId="TableofFigures">
    <w:name w:val="table of figures"/>
    <w:aliases w:val="List of tables"/>
    <w:basedOn w:val="TOC1"/>
    <w:next w:val="TableCaption"/>
    <w:uiPriority w:val="99"/>
    <w:unhideWhenUsed/>
    <w:rsid w:val="00D97DF0"/>
    <w:pPr>
      <w:keepNext/>
      <w:keepLines/>
      <w:tabs>
        <w:tab w:val="right" w:leader="dot" w:pos="9072"/>
      </w:tabs>
      <w:spacing w:before="60" w:after="120" w:line="240" w:lineRule="atLeast"/>
      <w:ind w:left="1021" w:hanging="1021"/>
    </w:pPr>
    <w:rPr>
      <w:rFonts w:cs="Times New Roman"/>
      <w:szCs w:val="20"/>
    </w:rPr>
  </w:style>
  <w:style w:type="paragraph" w:styleId="TableofAuthorities">
    <w:name w:val="table of authorities"/>
    <w:basedOn w:val="Normal"/>
    <w:next w:val="Normal"/>
    <w:uiPriority w:val="99"/>
    <w:semiHidden/>
    <w:unhideWhenUsed/>
    <w:rsid w:val="009303CD"/>
    <w:pPr>
      <w:spacing w:after="0"/>
      <w:ind w:left="210" w:hanging="210"/>
    </w:pPr>
  </w:style>
  <w:style w:type="paragraph" w:styleId="TOAHeading">
    <w:name w:val="toa heading"/>
    <w:basedOn w:val="Normal"/>
    <w:next w:val="Normal"/>
    <w:uiPriority w:val="99"/>
    <w:semiHidden/>
    <w:unhideWhenUsed/>
    <w:rsid w:val="009303CD"/>
    <w:pPr>
      <w:spacing w:before="120"/>
    </w:pPr>
    <w:rPr>
      <w:rFonts w:asciiTheme="majorHAnsi" w:eastAsiaTheme="majorEastAsia" w:hAnsiTheme="majorHAnsi" w:cstheme="majorBidi"/>
      <w:b/>
      <w:bCs/>
      <w:sz w:val="24"/>
      <w:szCs w:val="24"/>
    </w:rPr>
  </w:style>
  <w:style w:type="paragraph" w:styleId="Title">
    <w:name w:val="Title"/>
    <w:basedOn w:val="Normal"/>
    <w:next w:val="Normal"/>
    <w:link w:val="TitleChar"/>
    <w:uiPriority w:val="10"/>
    <w:qFormat/>
    <w:rsid w:val="009303CD"/>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9303CD"/>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9303CD"/>
    <w:rPr>
      <w:rFonts w:eastAsiaTheme="majorEastAsia" w:cstheme="majorBidi"/>
      <w:iCs/>
      <w:color w:val="44546A" w:themeColor="text2"/>
      <w:sz w:val="40"/>
      <w:szCs w:val="24"/>
      <w:lang w:bidi="hi-IN"/>
    </w:rPr>
  </w:style>
  <w:style w:type="character" w:customStyle="1" w:styleId="SubtitleChar">
    <w:name w:val="Subtitle Char"/>
    <w:basedOn w:val="DefaultParagraphFont"/>
    <w:link w:val="Subtitle"/>
    <w:uiPriority w:val="11"/>
    <w:rsid w:val="009303CD"/>
    <w:rPr>
      <w:rFonts w:eastAsiaTheme="majorEastAsia" w:cstheme="majorBidi"/>
      <w:iCs/>
      <w:color w:val="44546A" w:themeColor="text2"/>
      <w:sz w:val="40"/>
      <w:szCs w:val="24"/>
      <w:lang w:bidi="hi-IN"/>
    </w:rPr>
  </w:style>
  <w:style w:type="paragraph" w:styleId="CommentSubject">
    <w:name w:val="annotation subject"/>
    <w:basedOn w:val="CommentText"/>
    <w:next w:val="CommentText"/>
    <w:link w:val="CommentSubjectChar"/>
    <w:uiPriority w:val="99"/>
    <w:semiHidden/>
    <w:unhideWhenUsed/>
    <w:rsid w:val="009303CD"/>
    <w:rPr>
      <w:b/>
      <w:bCs/>
    </w:rPr>
  </w:style>
  <w:style w:type="character" w:customStyle="1" w:styleId="CommentSubjectChar">
    <w:name w:val="Comment Subject Char"/>
    <w:basedOn w:val="CommentTextChar"/>
    <w:link w:val="CommentSubject"/>
    <w:uiPriority w:val="99"/>
    <w:semiHidden/>
    <w:rsid w:val="009303CD"/>
    <w:rPr>
      <w:b/>
      <w:bCs/>
      <w:sz w:val="20"/>
      <w:szCs w:val="20"/>
    </w:rPr>
  </w:style>
  <w:style w:type="paragraph" w:styleId="BalloonText">
    <w:name w:val="Balloon Text"/>
    <w:basedOn w:val="Normal"/>
    <w:link w:val="BalloonTextChar"/>
    <w:uiPriority w:val="99"/>
    <w:semiHidden/>
    <w:unhideWhenUsed/>
    <w:rsid w:val="00930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3CD"/>
    <w:rPr>
      <w:rFonts w:ascii="Tahoma" w:hAnsi="Tahoma" w:cs="Tahoma"/>
      <w:sz w:val="16"/>
      <w:szCs w:val="16"/>
    </w:rPr>
  </w:style>
  <w:style w:type="character" w:customStyle="1" w:styleId="NoSpacingChar">
    <w:name w:val="No Spacing Char"/>
    <w:basedOn w:val="DefaultParagraphFont"/>
    <w:link w:val="NoSpacing"/>
    <w:uiPriority w:val="1"/>
    <w:locked/>
    <w:rsid w:val="009303CD"/>
  </w:style>
  <w:style w:type="paragraph" w:styleId="NoSpacing">
    <w:name w:val="No Spacing"/>
    <w:link w:val="NoSpacingChar"/>
    <w:uiPriority w:val="1"/>
    <w:qFormat/>
    <w:rsid w:val="009303CD"/>
    <w:pPr>
      <w:spacing w:after="0" w:line="240" w:lineRule="auto"/>
    </w:pPr>
  </w:style>
  <w:style w:type="paragraph" w:styleId="Revision">
    <w:name w:val="Revision"/>
    <w:uiPriority w:val="99"/>
    <w:semiHidden/>
    <w:rsid w:val="009303CD"/>
    <w:pPr>
      <w:spacing w:after="0" w:line="240" w:lineRule="auto"/>
    </w:pPr>
    <w:rPr>
      <w:sz w:val="21"/>
    </w:rPr>
  </w:style>
  <w:style w:type="paragraph" w:styleId="ListParagraph">
    <w:name w:val="List Paragraph"/>
    <w:basedOn w:val="Normal"/>
    <w:uiPriority w:val="34"/>
    <w:qFormat/>
    <w:rsid w:val="009303CD"/>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9303CD"/>
    <w:pPr>
      <w:spacing w:after="0" w:line="360" w:lineRule="auto"/>
      <w:jc w:val="center"/>
    </w:pPr>
    <w:rPr>
      <w:rFonts w:eastAsiaTheme="minorEastAsia"/>
      <w:b/>
      <w:i/>
      <w:iCs/>
      <w:color w:val="4472C4" w:themeColor="accent1"/>
      <w:sz w:val="26"/>
      <w:lang w:bidi="hi-IN"/>
    </w:rPr>
  </w:style>
  <w:style w:type="character" w:customStyle="1" w:styleId="QuoteChar">
    <w:name w:val="Quote Char"/>
    <w:basedOn w:val="DefaultParagraphFont"/>
    <w:link w:val="Quote"/>
    <w:uiPriority w:val="29"/>
    <w:rsid w:val="009303CD"/>
    <w:rPr>
      <w:rFonts w:eastAsiaTheme="minorEastAsia"/>
      <w:b/>
      <w:i/>
      <w:iCs/>
      <w:color w:val="4472C4" w:themeColor="accent1"/>
      <w:sz w:val="26"/>
      <w:lang w:bidi="hi-IN"/>
    </w:rPr>
  </w:style>
  <w:style w:type="paragraph" w:styleId="IntenseQuote">
    <w:name w:val="Intense Quote"/>
    <w:basedOn w:val="Normal"/>
    <w:next w:val="Normal"/>
    <w:link w:val="IntenseQuoteChar"/>
    <w:uiPriority w:val="30"/>
    <w:qFormat/>
    <w:rsid w:val="009303CD"/>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9303CD"/>
    <w:rPr>
      <w:rFonts w:asciiTheme="majorHAnsi" w:eastAsiaTheme="minorEastAsia" w:hAnsiTheme="majorHAnsi"/>
      <w:bCs/>
      <w:iCs/>
      <w:color w:val="FFFFFF" w:themeColor="background1"/>
      <w:sz w:val="28"/>
      <w:shd w:val="clear" w:color="auto" w:fill="4472C4" w:themeFill="accent1"/>
      <w:lang w:bidi="hi-IN"/>
    </w:rPr>
  </w:style>
  <w:style w:type="paragraph" w:styleId="TOCHeading">
    <w:name w:val="TOC Heading"/>
    <w:basedOn w:val="Heading1"/>
    <w:next w:val="Normal"/>
    <w:uiPriority w:val="39"/>
    <w:semiHidden/>
    <w:unhideWhenUsed/>
    <w:qFormat/>
    <w:rsid w:val="009303CD"/>
    <w:pPr>
      <w:spacing w:before="480" w:line="264" w:lineRule="auto"/>
      <w:outlineLvl w:val="9"/>
    </w:pPr>
    <w:rPr>
      <w:b w:val="0"/>
    </w:rPr>
  </w:style>
  <w:style w:type="character" w:customStyle="1" w:styleId="Heading1notinTOCChar">
    <w:name w:val="Heading 1 not in TOC Char"/>
    <w:link w:val="Heading1notinTOC"/>
    <w:uiPriority w:val="1"/>
    <w:semiHidden/>
    <w:locked/>
    <w:rsid w:val="009303CD"/>
    <w:rPr>
      <w:rFonts w:ascii="Arial" w:eastAsiaTheme="majorEastAsia" w:hAnsi="Arial" w:cstheme="majorBidi"/>
      <w:b/>
      <w:color w:val="000000"/>
      <w:sz w:val="44"/>
    </w:rPr>
  </w:style>
  <w:style w:type="paragraph" w:customStyle="1" w:styleId="Heading1notinTOC">
    <w:name w:val="Heading 1 not in TOC"/>
    <w:basedOn w:val="Heading1"/>
    <w:next w:val="Normal"/>
    <w:link w:val="Heading1notinTOCChar"/>
    <w:uiPriority w:val="1"/>
    <w:semiHidden/>
    <w:rsid w:val="009303CD"/>
    <w:pPr>
      <w:tabs>
        <w:tab w:val="left" w:pos="794"/>
        <w:tab w:val="left" w:pos="1191"/>
        <w:tab w:val="left" w:pos="2778"/>
      </w:tabs>
      <w:spacing w:line="480" w:lineRule="atLeast"/>
    </w:pPr>
    <w:rPr>
      <w:bCs w:val="0"/>
      <w:color w:val="000000"/>
      <w:szCs w:val="22"/>
    </w:rPr>
  </w:style>
  <w:style w:type="paragraph" w:customStyle="1" w:styleId="05Author">
    <w:name w:val="05 Author"/>
    <w:aliases w:val="date"/>
    <w:basedOn w:val="Normal"/>
    <w:next w:val="Normal"/>
    <w:uiPriority w:val="8"/>
    <w:semiHidden/>
    <w:rsid w:val="009303CD"/>
    <w:pPr>
      <w:keepLines/>
      <w:spacing w:after="1680" w:line="360" w:lineRule="atLeast"/>
      <w:jc w:val="center"/>
    </w:pPr>
    <w:rPr>
      <w:rFonts w:ascii="Arial" w:eastAsia="Times New Roman" w:hAnsi="Arial" w:cs="Times New Roman"/>
      <w:b/>
      <w:color w:val="000000"/>
      <w:sz w:val="24"/>
    </w:rPr>
  </w:style>
  <w:style w:type="paragraph" w:customStyle="1" w:styleId="01Title">
    <w:name w:val="01 Title"/>
    <w:basedOn w:val="Heading1"/>
    <w:next w:val="05Author"/>
    <w:uiPriority w:val="8"/>
    <w:semiHidden/>
    <w:rsid w:val="009303CD"/>
    <w:pPr>
      <w:spacing w:before="1200" w:after="600" w:line="600" w:lineRule="atLeast"/>
      <w:jc w:val="center"/>
    </w:pPr>
    <w:rPr>
      <w:bCs w:val="0"/>
      <w:color w:val="000000"/>
      <w:sz w:val="48"/>
      <w:szCs w:val="22"/>
    </w:rPr>
  </w:style>
  <w:style w:type="paragraph" w:customStyle="1" w:styleId="09Versotitlepagetext">
    <w:name w:val="09 Verso titlepage text"/>
    <w:basedOn w:val="Normal"/>
    <w:uiPriority w:val="8"/>
    <w:semiHidden/>
    <w:rsid w:val="009303CD"/>
    <w:pPr>
      <w:keepLines/>
      <w:spacing w:before="40" w:after="40" w:line="240" w:lineRule="atLeast"/>
    </w:pPr>
    <w:rPr>
      <w:rFonts w:ascii="Arial" w:eastAsia="Times New Roman" w:hAnsi="Arial" w:cs="Times New Roman"/>
      <w:color w:val="000000"/>
      <w:sz w:val="20"/>
    </w:rPr>
  </w:style>
  <w:style w:type="character" w:customStyle="1" w:styleId="TableFigTextChar">
    <w:name w:val="Table/Fig: Text Char"/>
    <w:link w:val="TableFigText"/>
    <w:locked/>
    <w:rsid w:val="009303CD"/>
    <w:rPr>
      <w:rFonts w:ascii="Arial" w:eastAsia="Times New Roman" w:hAnsi="Arial" w:cs="Times New Roman"/>
      <w:sz w:val="16"/>
      <w:szCs w:val="20"/>
    </w:rPr>
  </w:style>
  <w:style w:type="paragraph" w:customStyle="1" w:styleId="TableFigText">
    <w:name w:val="Table/Fig: Text"/>
    <w:basedOn w:val="Normal"/>
    <w:link w:val="TableFigTextChar"/>
    <w:rsid w:val="009303CD"/>
    <w:pPr>
      <w:keepLines/>
      <w:tabs>
        <w:tab w:val="left" w:pos="198"/>
      </w:tabs>
      <w:spacing w:before="60" w:after="60" w:line="200" w:lineRule="atLeast"/>
    </w:pPr>
    <w:rPr>
      <w:rFonts w:ascii="Arial" w:eastAsia="Times New Roman" w:hAnsi="Arial" w:cs="Times New Roman"/>
      <w:sz w:val="16"/>
      <w:szCs w:val="20"/>
    </w:rPr>
  </w:style>
  <w:style w:type="character" w:customStyle="1" w:styleId="NPESUbodytextChar">
    <w:name w:val="NPESU body text Char"/>
    <w:link w:val="NPESUbodytext"/>
    <w:locked/>
    <w:rsid w:val="009303CD"/>
    <w:rPr>
      <w:rFonts w:ascii="Arial" w:eastAsia="Times New Roman" w:hAnsi="Arial" w:cs="Times New Roman"/>
      <w:szCs w:val="20"/>
    </w:rPr>
  </w:style>
  <w:style w:type="paragraph" w:customStyle="1" w:styleId="NPESUbodytext">
    <w:name w:val="NPESU body text"/>
    <w:basedOn w:val="Normal"/>
    <w:link w:val="NPESUbodytextChar"/>
    <w:qFormat/>
    <w:rsid w:val="009303CD"/>
    <w:pPr>
      <w:spacing w:before="60" w:after="120" w:line="260" w:lineRule="atLeast"/>
    </w:pPr>
    <w:rPr>
      <w:rFonts w:ascii="Arial" w:eastAsia="Times New Roman" w:hAnsi="Arial" w:cs="Times New Roman"/>
      <w:sz w:val="22"/>
      <w:szCs w:val="20"/>
    </w:rPr>
  </w:style>
  <w:style w:type="paragraph" w:customStyle="1" w:styleId="TableSourcefootnotes">
    <w:name w:val="Table: Source &amp; footnotes"/>
    <w:basedOn w:val="NPESUbodytext"/>
    <w:next w:val="NPESUbodytext"/>
    <w:uiPriority w:val="5"/>
    <w:rsid w:val="009303CD"/>
    <w:pPr>
      <w:keepLines/>
      <w:tabs>
        <w:tab w:val="left" w:pos="397"/>
      </w:tabs>
      <w:spacing w:before="120" w:line="180" w:lineRule="atLeast"/>
    </w:pPr>
    <w:rPr>
      <w:sz w:val="14"/>
    </w:rPr>
  </w:style>
  <w:style w:type="paragraph" w:customStyle="1" w:styleId="TableFigNotesnumbered">
    <w:name w:val="Table/Fig: Notes numbered"/>
    <w:basedOn w:val="TableSourcefootnotes"/>
    <w:uiPriority w:val="6"/>
    <w:semiHidden/>
    <w:rsid w:val="009303CD"/>
    <w:pPr>
      <w:tabs>
        <w:tab w:val="clear" w:pos="397"/>
      </w:tabs>
      <w:spacing w:after="0"/>
      <w:ind w:left="397" w:hanging="397"/>
    </w:pPr>
  </w:style>
  <w:style w:type="paragraph" w:customStyle="1" w:styleId="TableFigHeadingtotal">
    <w:name w:val="Table/Fig: Heading &amp; total"/>
    <w:basedOn w:val="TableFigText"/>
    <w:next w:val="TableFigText"/>
    <w:link w:val="TableFigHeadingtotalChar"/>
    <w:uiPriority w:val="6"/>
    <w:rsid w:val="009303CD"/>
    <w:rPr>
      <w:b/>
    </w:rPr>
  </w:style>
  <w:style w:type="paragraph" w:customStyle="1" w:styleId="Bullet1">
    <w:name w:val="Bullet 1"/>
    <w:basedOn w:val="NPESUbodytext"/>
    <w:qFormat/>
    <w:rsid w:val="009303CD"/>
    <w:pPr>
      <w:numPr>
        <w:numId w:val="1"/>
      </w:numPr>
      <w:tabs>
        <w:tab w:val="clear" w:pos="397"/>
        <w:tab w:val="num" w:pos="360"/>
      </w:tabs>
      <w:spacing w:before="40" w:after="80"/>
      <w:ind w:left="0" w:firstLine="0"/>
    </w:pPr>
  </w:style>
  <w:style w:type="character" w:customStyle="1" w:styleId="AIHWbodytextChar">
    <w:name w:val="AIHW body text Char"/>
    <w:link w:val="AIHWbodytext"/>
    <w:locked/>
    <w:rsid w:val="009303CD"/>
    <w:rPr>
      <w:rFonts w:ascii="Arial" w:eastAsia="Times New Roman" w:hAnsi="Arial" w:cs="Times New Roman"/>
      <w:color w:val="000000"/>
      <w:szCs w:val="20"/>
    </w:rPr>
  </w:style>
  <w:style w:type="paragraph" w:customStyle="1" w:styleId="AIHWbodytext">
    <w:name w:val="AIHW body text"/>
    <w:basedOn w:val="Normal"/>
    <w:link w:val="AIHWbodytextChar"/>
    <w:qFormat/>
    <w:rsid w:val="009303CD"/>
    <w:pPr>
      <w:spacing w:before="60" w:after="120" w:line="260" w:lineRule="atLeast"/>
    </w:pPr>
    <w:rPr>
      <w:rFonts w:ascii="Arial" w:eastAsia="Times New Roman" w:hAnsi="Arial" w:cs="Times New Roman"/>
      <w:color w:val="000000"/>
      <w:sz w:val="22"/>
      <w:szCs w:val="20"/>
    </w:rPr>
  </w:style>
  <w:style w:type="character" w:styleId="CommentReference">
    <w:name w:val="annotation reference"/>
    <w:basedOn w:val="DefaultParagraphFont"/>
    <w:uiPriority w:val="99"/>
    <w:semiHidden/>
    <w:unhideWhenUsed/>
    <w:rsid w:val="009303CD"/>
    <w:rPr>
      <w:sz w:val="16"/>
      <w:szCs w:val="16"/>
    </w:rPr>
  </w:style>
  <w:style w:type="character" w:styleId="PageNumber">
    <w:name w:val="page number"/>
    <w:semiHidden/>
    <w:unhideWhenUsed/>
    <w:rsid w:val="009303CD"/>
    <w:rPr>
      <w:rFonts w:ascii="Arial" w:hAnsi="Arial" w:cs="Arial" w:hint="default"/>
      <w:strike w:val="0"/>
      <w:dstrike w:val="0"/>
      <w:color w:val="000000"/>
      <w:sz w:val="20"/>
      <w:u w:val="none"/>
      <w:effect w:val="none"/>
      <w:vertAlign w:val="baseline"/>
    </w:rPr>
  </w:style>
  <w:style w:type="character" w:styleId="SubtleEmphasis">
    <w:name w:val="Subtle Emphasis"/>
    <w:basedOn w:val="DefaultParagraphFont"/>
    <w:uiPriority w:val="19"/>
    <w:qFormat/>
    <w:rsid w:val="009303CD"/>
    <w:rPr>
      <w:i/>
      <w:iCs/>
      <w:color w:val="000000"/>
    </w:rPr>
  </w:style>
  <w:style w:type="character" w:styleId="IntenseEmphasis">
    <w:name w:val="Intense Emphasis"/>
    <w:basedOn w:val="DefaultParagraphFont"/>
    <w:uiPriority w:val="21"/>
    <w:qFormat/>
    <w:rsid w:val="009303CD"/>
    <w:rPr>
      <w:b/>
      <w:bCs/>
      <w:i/>
      <w:iCs/>
      <w:color w:val="4472C4" w:themeColor="accent1"/>
    </w:rPr>
  </w:style>
  <w:style w:type="character" w:styleId="SubtleReference">
    <w:name w:val="Subtle Reference"/>
    <w:basedOn w:val="DefaultParagraphFont"/>
    <w:uiPriority w:val="31"/>
    <w:qFormat/>
    <w:rsid w:val="009303CD"/>
    <w:rPr>
      <w:smallCaps/>
      <w:color w:val="000000"/>
      <w:u w:val="single"/>
    </w:rPr>
  </w:style>
  <w:style w:type="character" w:styleId="IntenseReference">
    <w:name w:val="Intense Reference"/>
    <w:basedOn w:val="DefaultParagraphFont"/>
    <w:uiPriority w:val="32"/>
    <w:qFormat/>
    <w:rsid w:val="009303CD"/>
    <w:rPr>
      <w:b w:val="0"/>
      <w:bCs/>
      <w:smallCaps/>
      <w:color w:val="4472C4" w:themeColor="accent1"/>
      <w:spacing w:val="5"/>
      <w:u w:val="single"/>
    </w:rPr>
  </w:style>
  <w:style w:type="character" w:styleId="BookTitle">
    <w:name w:val="Book Title"/>
    <w:basedOn w:val="DefaultParagraphFont"/>
    <w:uiPriority w:val="33"/>
    <w:qFormat/>
    <w:rsid w:val="009303CD"/>
    <w:rPr>
      <w:b/>
      <w:bCs/>
      <w:caps/>
      <w:smallCaps w:val="0"/>
      <w:color w:val="44546A" w:themeColor="text2"/>
      <w:spacing w:val="10"/>
    </w:rPr>
  </w:style>
  <w:style w:type="character" w:customStyle="1" w:styleId="apple-converted-space">
    <w:name w:val="apple-converted-space"/>
    <w:basedOn w:val="DefaultParagraphFont"/>
    <w:rsid w:val="009303CD"/>
  </w:style>
  <w:style w:type="character" w:customStyle="1" w:styleId="TableFigHeadingtotalChar">
    <w:name w:val="Table/Fig: Heading &amp; total Char"/>
    <w:basedOn w:val="TableFigTextChar"/>
    <w:link w:val="TableFigHeadingtotal"/>
    <w:uiPriority w:val="6"/>
    <w:rsid w:val="00A97D31"/>
    <w:rPr>
      <w:rFonts w:ascii="Arial" w:eastAsia="Times New Roman" w:hAnsi="Arial" w:cs="Times New Roman"/>
      <w:b/>
      <w:sz w:val="16"/>
      <w:szCs w:val="20"/>
    </w:rPr>
  </w:style>
  <w:style w:type="table" w:styleId="TableGrid">
    <w:name w:val="Table Grid"/>
    <w:basedOn w:val="TableNormal"/>
    <w:uiPriority w:val="39"/>
    <w:rsid w:val="00901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04B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4BCA"/>
    <w:rPr>
      <w:sz w:val="20"/>
      <w:szCs w:val="20"/>
    </w:rPr>
  </w:style>
  <w:style w:type="character" w:styleId="EndnoteReference">
    <w:name w:val="endnote reference"/>
    <w:basedOn w:val="DefaultParagraphFont"/>
    <w:uiPriority w:val="99"/>
    <w:semiHidden/>
    <w:unhideWhenUsed/>
    <w:rsid w:val="00B04BCA"/>
    <w:rPr>
      <w:vertAlign w:val="superscript"/>
    </w:rPr>
  </w:style>
  <w:style w:type="paragraph" w:styleId="FootnoteText">
    <w:name w:val="footnote text"/>
    <w:basedOn w:val="Normal"/>
    <w:link w:val="FootnoteTextChar"/>
    <w:uiPriority w:val="99"/>
    <w:semiHidden/>
    <w:unhideWhenUsed/>
    <w:rsid w:val="00B04B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BCA"/>
    <w:rPr>
      <w:sz w:val="20"/>
      <w:szCs w:val="20"/>
    </w:rPr>
  </w:style>
  <w:style w:type="character" w:styleId="FootnoteReference">
    <w:name w:val="footnote reference"/>
    <w:basedOn w:val="DefaultParagraphFont"/>
    <w:uiPriority w:val="99"/>
    <w:semiHidden/>
    <w:unhideWhenUsed/>
    <w:rsid w:val="00B04BCA"/>
    <w:rPr>
      <w:vertAlign w:val="superscript"/>
    </w:rPr>
  </w:style>
  <w:style w:type="paragraph" w:customStyle="1" w:styleId="Default">
    <w:name w:val="Default"/>
    <w:rsid w:val="003A212B"/>
    <w:pPr>
      <w:autoSpaceDE w:val="0"/>
      <w:autoSpaceDN w:val="0"/>
      <w:adjustRightInd w:val="0"/>
      <w:spacing w:after="0" w:line="240" w:lineRule="auto"/>
    </w:pPr>
    <w:rPr>
      <w:rFonts w:ascii="Arial" w:eastAsia="SimSun" w:hAnsi="Arial" w:cs="Arial"/>
      <w:color w:val="000000"/>
      <w:sz w:val="24"/>
      <w:szCs w:val="24"/>
      <w:lang w:eastAsia="en-AU"/>
    </w:rPr>
  </w:style>
  <w:style w:type="character" w:styleId="UnresolvedMention">
    <w:name w:val="Unresolved Mention"/>
    <w:basedOn w:val="DefaultParagraphFont"/>
    <w:uiPriority w:val="99"/>
    <w:semiHidden/>
    <w:unhideWhenUsed/>
    <w:rsid w:val="00772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430">
      <w:bodyDiv w:val="1"/>
      <w:marLeft w:val="0"/>
      <w:marRight w:val="0"/>
      <w:marTop w:val="0"/>
      <w:marBottom w:val="0"/>
      <w:divBdr>
        <w:top w:val="none" w:sz="0" w:space="0" w:color="auto"/>
        <w:left w:val="none" w:sz="0" w:space="0" w:color="auto"/>
        <w:bottom w:val="none" w:sz="0" w:space="0" w:color="auto"/>
        <w:right w:val="none" w:sz="0" w:space="0" w:color="auto"/>
      </w:divBdr>
    </w:div>
    <w:div w:id="36051748">
      <w:bodyDiv w:val="1"/>
      <w:marLeft w:val="0"/>
      <w:marRight w:val="0"/>
      <w:marTop w:val="0"/>
      <w:marBottom w:val="0"/>
      <w:divBdr>
        <w:top w:val="none" w:sz="0" w:space="0" w:color="auto"/>
        <w:left w:val="none" w:sz="0" w:space="0" w:color="auto"/>
        <w:bottom w:val="none" w:sz="0" w:space="0" w:color="auto"/>
        <w:right w:val="none" w:sz="0" w:space="0" w:color="auto"/>
      </w:divBdr>
    </w:div>
    <w:div w:id="124200842">
      <w:bodyDiv w:val="1"/>
      <w:marLeft w:val="0"/>
      <w:marRight w:val="0"/>
      <w:marTop w:val="0"/>
      <w:marBottom w:val="0"/>
      <w:divBdr>
        <w:top w:val="none" w:sz="0" w:space="0" w:color="auto"/>
        <w:left w:val="none" w:sz="0" w:space="0" w:color="auto"/>
        <w:bottom w:val="none" w:sz="0" w:space="0" w:color="auto"/>
        <w:right w:val="none" w:sz="0" w:space="0" w:color="auto"/>
      </w:divBdr>
      <w:divsChild>
        <w:div w:id="1649627871">
          <w:marLeft w:val="0"/>
          <w:marRight w:val="0"/>
          <w:marTop w:val="0"/>
          <w:marBottom w:val="0"/>
          <w:divBdr>
            <w:top w:val="none" w:sz="0" w:space="0" w:color="auto"/>
            <w:left w:val="none" w:sz="0" w:space="0" w:color="auto"/>
            <w:bottom w:val="none" w:sz="0" w:space="0" w:color="auto"/>
            <w:right w:val="none" w:sz="0" w:space="0" w:color="auto"/>
          </w:divBdr>
        </w:div>
      </w:divsChild>
    </w:div>
    <w:div w:id="128522210">
      <w:bodyDiv w:val="1"/>
      <w:marLeft w:val="0"/>
      <w:marRight w:val="0"/>
      <w:marTop w:val="0"/>
      <w:marBottom w:val="0"/>
      <w:divBdr>
        <w:top w:val="none" w:sz="0" w:space="0" w:color="auto"/>
        <w:left w:val="none" w:sz="0" w:space="0" w:color="auto"/>
        <w:bottom w:val="none" w:sz="0" w:space="0" w:color="auto"/>
        <w:right w:val="none" w:sz="0" w:space="0" w:color="auto"/>
      </w:divBdr>
    </w:div>
    <w:div w:id="141849588">
      <w:bodyDiv w:val="1"/>
      <w:marLeft w:val="0"/>
      <w:marRight w:val="0"/>
      <w:marTop w:val="0"/>
      <w:marBottom w:val="0"/>
      <w:divBdr>
        <w:top w:val="none" w:sz="0" w:space="0" w:color="auto"/>
        <w:left w:val="none" w:sz="0" w:space="0" w:color="auto"/>
        <w:bottom w:val="none" w:sz="0" w:space="0" w:color="auto"/>
        <w:right w:val="none" w:sz="0" w:space="0" w:color="auto"/>
      </w:divBdr>
    </w:div>
    <w:div w:id="174731931">
      <w:bodyDiv w:val="1"/>
      <w:marLeft w:val="0"/>
      <w:marRight w:val="0"/>
      <w:marTop w:val="0"/>
      <w:marBottom w:val="0"/>
      <w:divBdr>
        <w:top w:val="none" w:sz="0" w:space="0" w:color="auto"/>
        <w:left w:val="none" w:sz="0" w:space="0" w:color="auto"/>
        <w:bottom w:val="none" w:sz="0" w:space="0" w:color="auto"/>
        <w:right w:val="none" w:sz="0" w:space="0" w:color="auto"/>
      </w:divBdr>
    </w:div>
    <w:div w:id="183518760">
      <w:bodyDiv w:val="1"/>
      <w:marLeft w:val="0"/>
      <w:marRight w:val="0"/>
      <w:marTop w:val="0"/>
      <w:marBottom w:val="0"/>
      <w:divBdr>
        <w:top w:val="none" w:sz="0" w:space="0" w:color="auto"/>
        <w:left w:val="none" w:sz="0" w:space="0" w:color="auto"/>
        <w:bottom w:val="none" w:sz="0" w:space="0" w:color="auto"/>
        <w:right w:val="none" w:sz="0" w:space="0" w:color="auto"/>
      </w:divBdr>
    </w:div>
    <w:div w:id="185801482">
      <w:bodyDiv w:val="1"/>
      <w:marLeft w:val="0"/>
      <w:marRight w:val="0"/>
      <w:marTop w:val="0"/>
      <w:marBottom w:val="0"/>
      <w:divBdr>
        <w:top w:val="none" w:sz="0" w:space="0" w:color="auto"/>
        <w:left w:val="none" w:sz="0" w:space="0" w:color="auto"/>
        <w:bottom w:val="none" w:sz="0" w:space="0" w:color="auto"/>
        <w:right w:val="none" w:sz="0" w:space="0" w:color="auto"/>
      </w:divBdr>
    </w:div>
    <w:div w:id="186408219">
      <w:bodyDiv w:val="1"/>
      <w:marLeft w:val="0"/>
      <w:marRight w:val="0"/>
      <w:marTop w:val="0"/>
      <w:marBottom w:val="0"/>
      <w:divBdr>
        <w:top w:val="none" w:sz="0" w:space="0" w:color="auto"/>
        <w:left w:val="none" w:sz="0" w:space="0" w:color="auto"/>
        <w:bottom w:val="none" w:sz="0" w:space="0" w:color="auto"/>
        <w:right w:val="none" w:sz="0" w:space="0" w:color="auto"/>
      </w:divBdr>
      <w:divsChild>
        <w:div w:id="231962329">
          <w:marLeft w:val="0"/>
          <w:marRight w:val="0"/>
          <w:marTop w:val="0"/>
          <w:marBottom w:val="0"/>
          <w:divBdr>
            <w:top w:val="none" w:sz="0" w:space="0" w:color="auto"/>
            <w:left w:val="none" w:sz="0" w:space="0" w:color="auto"/>
            <w:bottom w:val="none" w:sz="0" w:space="0" w:color="auto"/>
            <w:right w:val="none" w:sz="0" w:space="0" w:color="auto"/>
          </w:divBdr>
        </w:div>
      </w:divsChild>
    </w:div>
    <w:div w:id="218631951">
      <w:bodyDiv w:val="1"/>
      <w:marLeft w:val="0"/>
      <w:marRight w:val="0"/>
      <w:marTop w:val="0"/>
      <w:marBottom w:val="0"/>
      <w:divBdr>
        <w:top w:val="none" w:sz="0" w:space="0" w:color="auto"/>
        <w:left w:val="none" w:sz="0" w:space="0" w:color="auto"/>
        <w:bottom w:val="none" w:sz="0" w:space="0" w:color="auto"/>
        <w:right w:val="none" w:sz="0" w:space="0" w:color="auto"/>
      </w:divBdr>
      <w:divsChild>
        <w:div w:id="1387142542">
          <w:marLeft w:val="0"/>
          <w:marRight w:val="0"/>
          <w:marTop w:val="0"/>
          <w:marBottom w:val="0"/>
          <w:divBdr>
            <w:top w:val="none" w:sz="0" w:space="0" w:color="auto"/>
            <w:left w:val="none" w:sz="0" w:space="0" w:color="auto"/>
            <w:bottom w:val="none" w:sz="0" w:space="0" w:color="auto"/>
            <w:right w:val="none" w:sz="0" w:space="0" w:color="auto"/>
          </w:divBdr>
        </w:div>
      </w:divsChild>
    </w:div>
    <w:div w:id="234704630">
      <w:bodyDiv w:val="1"/>
      <w:marLeft w:val="0"/>
      <w:marRight w:val="0"/>
      <w:marTop w:val="0"/>
      <w:marBottom w:val="0"/>
      <w:divBdr>
        <w:top w:val="none" w:sz="0" w:space="0" w:color="auto"/>
        <w:left w:val="none" w:sz="0" w:space="0" w:color="auto"/>
        <w:bottom w:val="none" w:sz="0" w:space="0" w:color="auto"/>
        <w:right w:val="none" w:sz="0" w:space="0" w:color="auto"/>
      </w:divBdr>
    </w:div>
    <w:div w:id="236718763">
      <w:bodyDiv w:val="1"/>
      <w:marLeft w:val="0"/>
      <w:marRight w:val="0"/>
      <w:marTop w:val="0"/>
      <w:marBottom w:val="0"/>
      <w:divBdr>
        <w:top w:val="none" w:sz="0" w:space="0" w:color="auto"/>
        <w:left w:val="none" w:sz="0" w:space="0" w:color="auto"/>
        <w:bottom w:val="none" w:sz="0" w:space="0" w:color="auto"/>
        <w:right w:val="none" w:sz="0" w:space="0" w:color="auto"/>
      </w:divBdr>
      <w:divsChild>
        <w:div w:id="1337802435">
          <w:marLeft w:val="0"/>
          <w:marRight w:val="0"/>
          <w:marTop w:val="0"/>
          <w:marBottom w:val="0"/>
          <w:divBdr>
            <w:top w:val="none" w:sz="0" w:space="0" w:color="auto"/>
            <w:left w:val="none" w:sz="0" w:space="0" w:color="auto"/>
            <w:bottom w:val="none" w:sz="0" w:space="0" w:color="auto"/>
            <w:right w:val="none" w:sz="0" w:space="0" w:color="auto"/>
          </w:divBdr>
        </w:div>
      </w:divsChild>
    </w:div>
    <w:div w:id="313529592">
      <w:bodyDiv w:val="1"/>
      <w:marLeft w:val="0"/>
      <w:marRight w:val="0"/>
      <w:marTop w:val="0"/>
      <w:marBottom w:val="0"/>
      <w:divBdr>
        <w:top w:val="none" w:sz="0" w:space="0" w:color="auto"/>
        <w:left w:val="none" w:sz="0" w:space="0" w:color="auto"/>
        <w:bottom w:val="none" w:sz="0" w:space="0" w:color="auto"/>
        <w:right w:val="none" w:sz="0" w:space="0" w:color="auto"/>
      </w:divBdr>
    </w:div>
    <w:div w:id="314988566">
      <w:bodyDiv w:val="1"/>
      <w:marLeft w:val="0"/>
      <w:marRight w:val="0"/>
      <w:marTop w:val="0"/>
      <w:marBottom w:val="0"/>
      <w:divBdr>
        <w:top w:val="none" w:sz="0" w:space="0" w:color="auto"/>
        <w:left w:val="none" w:sz="0" w:space="0" w:color="auto"/>
        <w:bottom w:val="none" w:sz="0" w:space="0" w:color="auto"/>
        <w:right w:val="none" w:sz="0" w:space="0" w:color="auto"/>
      </w:divBdr>
    </w:div>
    <w:div w:id="322898754">
      <w:bodyDiv w:val="1"/>
      <w:marLeft w:val="0"/>
      <w:marRight w:val="0"/>
      <w:marTop w:val="0"/>
      <w:marBottom w:val="0"/>
      <w:divBdr>
        <w:top w:val="none" w:sz="0" w:space="0" w:color="auto"/>
        <w:left w:val="none" w:sz="0" w:space="0" w:color="auto"/>
        <w:bottom w:val="none" w:sz="0" w:space="0" w:color="auto"/>
        <w:right w:val="none" w:sz="0" w:space="0" w:color="auto"/>
      </w:divBdr>
    </w:div>
    <w:div w:id="352074809">
      <w:bodyDiv w:val="1"/>
      <w:marLeft w:val="0"/>
      <w:marRight w:val="0"/>
      <w:marTop w:val="0"/>
      <w:marBottom w:val="0"/>
      <w:divBdr>
        <w:top w:val="none" w:sz="0" w:space="0" w:color="auto"/>
        <w:left w:val="none" w:sz="0" w:space="0" w:color="auto"/>
        <w:bottom w:val="none" w:sz="0" w:space="0" w:color="auto"/>
        <w:right w:val="none" w:sz="0" w:space="0" w:color="auto"/>
      </w:divBdr>
    </w:div>
    <w:div w:id="381831805">
      <w:bodyDiv w:val="1"/>
      <w:marLeft w:val="0"/>
      <w:marRight w:val="0"/>
      <w:marTop w:val="0"/>
      <w:marBottom w:val="0"/>
      <w:divBdr>
        <w:top w:val="none" w:sz="0" w:space="0" w:color="auto"/>
        <w:left w:val="none" w:sz="0" w:space="0" w:color="auto"/>
        <w:bottom w:val="none" w:sz="0" w:space="0" w:color="auto"/>
        <w:right w:val="none" w:sz="0" w:space="0" w:color="auto"/>
      </w:divBdr>
    </w:div>
    <w:div w:id="403340922">
      <w:bodyDiv w:val="1"/>
      <w:marLeft w:val="0"/>
      <w:marRight w:val="0"/>
      <w:marTop w:val="0"/>
      <w:marBottom w:val="0"/>
      <w:divBdr>
        <w:top w:val="none" w:sz="0" w:space="0" w:color="auto"/>
        <w:left w:val="none" w:sz="0" w:space="0" w:color="auto"/>
        <w:bottom w:val="none" w:sz="0" w:space="0" w:color="auto"/>
        <w:right w:val="none" w:sz="0" w:space="0" w:color="auto"/>
      </w:divBdr>
    </w:div>
    <w:div w:id="537358476">
      <w:bodyDiv w:val="1"/>
      <w:marLeft w:val="0"/>
      <w:marRight w:val="0"/>
      <w:marTop w:val="0"/>
      <w:marBottom w:val="0"/>
      <w:divBdr>
        <w:top w:val="none" w:sz="0" w:space="0" w:color="auto"/>
        <w:left w:val="none" w:sz="0" w:space="0" w:color="auto"/>
        <w:bottom w:val="none" w:sz="0" w:space="0" w:color="auto"/>
        <w:right w:val="none" w:sz="0" w:space="0" w:color="auto"/>
      </w:divBdr>
    </w:div>
    <w:div w:id="541213307">
      <w:bodyDiv w:val="1"/>
      <w:marLeft w:val="0"/>
      <w:marRight w:val="0"/>
      <w:marTop w:val="0"/>
      <w:marBottom w:val="0"/>
      <w:divBdr>
        <w:top w:val="none" w:sz="0" w:space="0" w:color="auto"/>
        <w:left w:val="none" w:sz="0" w:space="0" w:color="auto"/>
        <w:bottom w:val="none" w:sz="0" w:space="0" w:color="auto"/>
        <w:right w:val="none" w:sz="0" w:space="0" w:color="auto"/>
      </w:divBdr>
      <w:divsChild>
        <w:div w:id="1458793647">
          <w:marLeft w:val="0"/>
          <w:marRight w:val="0"/>
          <w:marTop w:val="0"/>
          <w:marBottom w:val="0"/>
          <w:divBdr>
            <w:top w:val="none" w:sz="0" w:space="0" w:color="auto"/>
            <w:left w:val="none" w:sz="0" w:space="0" w:color="auto"/>
            <w:bottom w:val="none" w:sz="0" w:space="0" w:color="auto"/>
            <w:right w:val="none" w:sz="0" w:space="0" w:color="auto"/>
          </w:divBdr>
        </w:div>
      </w:divsChild>
    </w:div>
    <w:div w:id="569655072">
      <w:bodyDiv w:val="1"/>
      <w:marLeft w:val="0"/>
      <w:marRight w:val="0"/>
      <w:marTop w:val="0"/>
      <w:marBottom w:val="0"/>
      <w:divBdr>
        <w:top w:val="none" w:sz="0" w:space="0" w:color="auto"/>
        <w:left w:val="none" w:sz="0" w:space="0" w:color="auto"/>
        <w:bottom w:val="none" w:sz="0" w:space="0" w:color="auto"/>
        <w:right w:val="none" w:sz="0" w:space="0" w:color="auto"/>
      </w:divBdr>
    </w:div>
    <w:div w:id="648897484">
      <w:bodyDiv w:val="1"/>
      <w:marLeft w:val="0"/>
      <w:marRight w:val="0"/>
      <w:marTop w:val="0"/>
      <w:marBottom w:val="0"/>
      <w:divBdr>
        <w:top w:val="none" w:sz="0" w:space="0" w:color="auto"/>
        <w:left w:val="none" w:sz="0" w:space="0" w:color="auto"/>
        <w:bottom w:val="none" w:sz="0" w:space="0" w:color="auto"/>
        <w:right w:val="none" w:sz="0" w:space="0" w:color="auto"/>
      </w:divBdr>
    </w:div>
    <w:div w:id="666984339">
      <w:bodyDiv w:val="1"/>
      <w:marLeft w:val="0"/>
      <w:marRight w:val="0"/>
      <w:marTop w:val="0"/>
      <w:marBottom w:val="0"/>
      <w:divBdr>
        <w:top w:val="none" w:sz="0" w:space="0" w:color="auto"/>
        <w:left w:val="none" w:sz="0" w:space="0" w:color="auto"/>
        <w:bottom w:val="none" w:sz="0" w:space="0" w:color="auto"/>
        <w:right w:val="none" w:sz="0" w:space="0" w:color="auto"/>
      </w:divBdr>
    </w:div>
    <w:div w:id="750466093">
      <w:bodyDiv w:val="1"/>
      <w:marLeft w:val="0"/>
      <w:marRight w:val="0"/>
      <w:marTop w:val="0"/>
      <w:marBottom w:val="0"/>
      <w:divBdr>
        <w:top w:val="none" w:sz="0" w:space="0" w:color="auto"/>
        <w:left w:val="none" w:sz="0" w:space="0" w:color="auto"/>
        <w:bottom w:val="none" w:sz="0" w:space="0" w:color="auto"/>
        <w:right w:val="none" w:sz="0" w:space="0" w:color="auto"/>
      </w:divBdr>
    </w:div>
    <w:div w:id="775565518">
      <w:bodyDiv w:val="1"/>
      <w:marLeft w:val="0"/>
      <w:marRight w:val="0"/>
      <w:marTop w:val="0"/>
      <w:marBottom w:val="0"/>
      <w:divBdr>
        <w:top w:val="none" w:sz="0" w:space="0" w:color="auto"/>
        <w:left w:val="none" w:sz="0" w:space="0" w:color="auto"/>
        <w:bottom w:val="none" w:sz="0" w:space="0" w:color="auto"/>
        <w:right w:val="none" w:sz="0" w:space="0" w:color="auto"/>
      </w:divBdr>
    </w:div>
    <w:div w:id="820346031">
      <w:bodyDiv w:val="1"/>
      <w:marLeft w:val="0"/>
      <w:marRight w:val="0"/>
      <w:marTop w:val="0"/>
      <w:marBottom w:val="0"/>
      <w:divBdr>
        <w:top w:val="none" w:sz="0" w:space="0" w:color="auto"/>
        <w:left w:val="none" w:sz="0" w:space="0" w:color="auto"/>
        <w:bottom w:val="none" w:sz="0" w:space="0" w:color="auto"/>
        <w:right w:val="none" w:sz="0" w:space="0" w:color="auto"/>
      </w:divBdr>
      <w:divsChild>
        <w:div w:id="1516264277">
          <w:marLeft w:val="0"/>
          <w:marRight w:val="0"/>
          <w:marTop w:val="0"/>
          <w:marBottom w:val="0"/>
          <w:divBdr>
            <w:top w:val="none" w:sz="0" w:space="0" w:color="auto"/>
            <w:left w:val="none" w:sz="0" w:space="0" w:color="auto"/>
            <w:bottom w:val="none" w:sz="0" w:space="0" w:color="auto"/>
            <w:right w:val="none" w:sz="0" w:space="0" w:color="auto"/>
          </w:divBdr>
        </w:div>
      </w:divsChild>
    </w:div>
    <w:div w:id="843782422">
      <w:bodyDiv w:val="1"/>
      <w:marLeft w:val="0"/>
      <w:marRight w:val="0"/>
      <w:marTop w:val="0"/>
      <w:marBottom w:val="0"/>
      <w:divBdr>
        <w:top w:val="none" w:sz="0" w:space="0" w:color="auto"/>
        <w:left w:val="none" w:sz="0" w:space="0" w:color="auto"/>
        <w:bottom w:val="none" w:sz="0" w:space="0" w:color="auto"/>
        <w:right w:val="none" w:sz="0" w:space="0" w:color="auto"/>
      </w:divBdr>
    </w:div>
    <w:div w:id="862784533">
      <w:bodyDiv w:val="1"/>
      <w:marLeft w:val="0"/>
      <w:marRight w:val="0"/>
      <w:marTop w:val="0"/>
      <w:marBottom w:val="0"/>
      <w:divBdr>
        <w:top w:val="none" w:sz="0" w:space="0" w:color="auto"/>
        <w:left w:val="none" w:sz="0" w:space="0" w:color="auto"/>
        <w:bottom w:val="none" w:sz="0" w:space="0" w:color="auto"/>
        <w:right w:val="none" w:sz="0" w:space="0" w:color="auto"/>
      </w:divBdr>
    </w:div>
    <w:div w:id="893273831">
      <w:bodyDiv w:val="1"/>
      <w:marLeft w:val="0"/>
      <w:marRight w:val="0"/>
      <w:marTop w:val="0"/>
      <w:marBottom w:val="0"/>
      <w:divBdr>
        <w:top w:val="none" w:sz="0" w:space="0" w:color="auto"/>
        <w:left w:val="none" w:sz="0" w:space="0" w:color="auto"/>
        <w:bottom w:val="none" w:sz="0" w:space="0" w:color="auto"/>
        <w:right w:val="none" w:sz="0" w:space="0" w:color="auto"/>
      </w:divBdr>
      <w:divsChild>
        <w:div w:id="1507329264">
          <w:marLeft w:val="0"/>
          <w:marRight w:val="0"/>
          <w:marTop w:val="0"/>
          <w:marBottom w:val="0"/>
          <w:divBdr>
            <w:top w:val="none" w:sz="0" w:space="0" w:color="auto"/>
            <w:left w:val="none" w:sz="0" w:space="0" w:color="auto"/>
            <w:bottom w:val="none" w:sz="0" w:space="0" w:color="auto"/>
            <w:right w:val="none" w:sz="0" w:space="0" w:color="auto"/>
          </w:divBdr>
        </w:div>
      </w:divsChild>
    </w:div>
    <w:div w:id="893321633">
      <w:bodyDiv w:val="1"/>
      <w:marLeft w:val="0"/>
      <w:marRight w:val="0"/>
      <w:marTop w:val="0"/>
      <w:marBottom w:val="0"/>
      <w:divBdr>
        <w:top w:val="none" w:sz="0" w:space="0" w:color="auto"/>
        <w:left w:val="none" w:sz="0" w:space="0" w:color="auto"/>
        <w:bottom w:val="none" w:sz="0" w:space="0" w:color="auto"/>
        <w:right w:val="none" w:sz="0" w:space="0" w:color="auto"/>
      </w:divBdr>
    </w:div>
    <w:div w:id="901209923">
      <w:bodyDiv w:val="1"/>
      <w:marLeft w:val="0"/>
      <w:marRight w:val="0"/>
      <w:marTop w:val="0"/>
      <w:marBottom w:val="0"/>
      <w:divBdr>
        <w:top w:val="none" w:sz="0" w:space="0" w:color="auto"/>
        <w:left w:val="none" w:sz="0" w:space="0" w:color="auto"/>
        <w:bottom w:val="none" w:sz="0" w:space="0" w:color="auto"/>
        <w:right w:val="none" w:sz="0" w:space="0" w:color="auto"/>
      </w:divBdr>
    </w:div>
    <w:div w:id="931819818">
      <w:bodyDiv w:val="1"/>
      <w:marLeft w:val="0"/>
      <w:marRight w:val="0"/>
      <w:marTop w:val="0"/>
      <w:marBottom w:val="0"/>
      <w:divBdr>
        <w:top w:val="none" w:sz="0" w:space="0" w:color="auto"/>
        <w:left w:val="none" w:sz="0" w:space="0" w:color="auto"/>
        <w:bottom w:val="none" w:sz="0" w:space="0" w:color="auto"/>
        <w:right w:val="none" w:sz="0" w:space="0" w:color="auto"/>
      </w:divBdr>
    </w:div>
    <w:div w:id="949750059">
      <w:bodyDiv w:val="1"/>
      <w:marLeft w:val="0"/>
      <w:marRight w:val="0"/>
      <w:marTop w:val="0"/>
      <w:marBottom w:val="0"/>
      <w:divBdr>
        <w:top w:val="none" w:sz="0" w:space="0" w:color="auto"/>
        <w:left w:val="none" w:sz="0" w:space="0" w:color="auto"/>
        <w:bottom w:val="none" w:sz="0" w:space="0" w:color="auto"/>
        <w:right w:val="none" w:sz="0" w:space="0" w:color="auto"/>
      </w:divBdr>
      <w:divsChild>
        <w:div w:id="935940424">
          <w:marLeft w:val="0"/>
          <w:marRight w:val="0"/>
          <w:marTop w:val="0"/>
          <w:marBottom w:val="0"/>
          <w:divBdr>
            <w:top w:val="none" w:sz="0" w:space="0" w:color="auto"/>
            <w:left w:val="none" w:sz="0" w:space="0" w:color="auto"/>
            <w:bottom w:val="none" w:sz="0" w:space="0" w:color="auto"/>
            <w:right w:val="none" w:sz="0" w:space="0" w:color="auto"/>
          </w:divBdr>
        </w:div>
      </w:divsChild>
    </w:div>
    <w:div w:id="949779231">
      <w:bodyDiv w:val="1"/>
      <w:marLeft w:val="0"/>
      <w:marRight w:val="0"/>
      <w:marTop w:val="0"/>
      <w:marBottom w:val="0"/>
      <w:divBdr>
        <w:top w:val="none" w:sz="0" w:space="0" w:color="auto"/>
        <w:left w:val="none" w:sz="0" w:space="0" w:color="auto"/>
        <w:bottom w:val="none" w:sz="0" w:space="0" w:color="auto"/>
        <w:right w:val="none" w:sz="0" w:space="0" w:color="auto"/>
      </w:divBdr>
    </w:div>
    <w:div w:id="978918590">
      <w:bodyDiv w:val="1"/>
      <w:marLeft w:val="0"/>
      <w:marRight w:val="0"/>
      <w:marTop w:val="0"/>
      <w:marBottom w:val="0"/>
      <w:divBdr>
        <w:top w:val="none" w:sz="0" w:space="0" w:color="auto"/>
        <w:left w:val="none" w:sz="0" w:space="0" w:color="auto"/>
        <w:bottom w:val="none" w:sz="0" w:space="0" w:color="auto"/>
        <w:right w:val="none" w:sz="0" w:space="0" w:color="auto"/>
      </w:divBdr>
    </w:div>
    <w:div w:id="1004628317">
      <w:bodyDiv w:val="1"/>
      <w:marLeft w:val="0"/>
      <w:marRight w:val="0"/>
      <w:marTop w:val="0"/>
      <w:marBottom w:val="0"/>
      <w:divBdr>
        <w:top w:val="none" w:sz="0" w:space="0" w:color="auto"/>
        <w:left w:val="none" w:sz="0" w:space="0" w:color="auto"/>
        <w:bottom w:val="none" w:sz="0" w:space="0" w:color="auto"/>
        <w:right w:val="none" w:sz="0" w:space="0" w:color="auto"/>
      </w:divBdr>
    </w:div>
    <w:div w:id="1014039432">
      <w:bodyDiv w:val="1"/>
      <w:marLeft w:val="0"/>
      <w:marRight w:val="0"/>
      <w:marTop w:val="0"/>
      <w:marBottom w:val="0"/>
      <w:divBdr>
        <w:top w:val="none" w:sz="0" w:space="0" w:color="auto"/>
        <w:left w:val="none" w:sz="0" w:space="0" w:color="auto"/>
        <w:bottom w:val="none" w:sz="0" w:space="0" w:color="auto"/>
        <w:right w:val="none" w:sz="0" w:space="0" w:color="auto"/>
      </w:divBdr>
    </w:div>
    <w:div w:id="1104686215">
      <w:bodyDiv w:val="1"/>
      <w:marLeft w:val="0"/>
      <w:marRight w:val="0"/>
      <w:marTop w:val="0"/>
      <w:marBottom w:val="0"/>
      <w:divBdr>
        <w:top w:val="none" w:sz="0" w:space="0" w:color="auto"/>
        <w:left w:val="none" w:sz="0" w:space="0" w:color="auto"/>
        <w:bottom w:val="none" w:sz="0" w:space="0" w:color="auto"/>
        <w:right w:val="none" w:sz="0" w:space="0" w:color="auto"/>
      </w:divBdr>
    </w:div>
    <w:div w:id="1120806279">
      <w:bodyDiv w:val="1"/>
      <w:marLeft w:val="0"/>
      <w:marRight w:val="0"/>
      <w:marTop w:val="0"/>
      <w:marBottom w:val="0"/>
      <w:divBdr>
        <w:top w:val="none" w:sz="0" w:space="0" w:color="auto"/>
        <w:left w:val="none" w:sz="0" w:space="0" w:color="auto"/>
        <w:bottom w:val="none" w:sz="0" w:space="0" w:color="auto"/>
        <w:right w:val="none" w:sz="0" w:space="0" w:color="auto"/>
      </w:divBdr>
    </w:div>
    <w:div w:id="1177497046">
      <w:bodyDiv w:val="1"/>
      <w:marLeft w:val="0"/>
      <w:marRight w:val="0"/>
      <w:marTop w:val="0"/>
      <w:marBottom w:val="0"/>
      <w:divBdr>
        <w:top w:val="none" w:sz="0" w:space="0" w:color="auto"/>
        <w:left w:val="none" w:sz="0" w:space="0" w:color="auto"/>
        <w:bottom w:val="none" w:sz="0" w:space="0" w:color="auto"/>
        <w:right w:val="none" w:sz="0" w:space="0" w:color="auto"/>
      </w:divBdr>
    </w:div>
    <w:div w:id="1189949405">
      <w:bodyDiv w:val="1"/>
      <w:marLeft w:val="0"/>
      <w:marRight w:val="0"/>
      <w:marTop w:val="0"/>
      <w:marBottom w:val="0"/>
      <w:divBdr>
        <w:top w:val="none" w:sz="0" w:space="0" w:color="auto"/>
        <w:left w:val="none" w:sz="0" w:space="0" w:color="auto"/>
        <w:bottom w:val="none" w:sz="0" w:space="0" w:color="auto"/>
        <w:right w:val="none" w:sz="0" w:space="0" w:color="auto"/>
      </w:divBdr>
    </w:div>
    <w:div w:id="1243219638">
      <w:bodyDiv w:val="1"/>
      <w:marLeft w:val="0"/>
      <w:marRight w:val="0"/>
      <w:marTop w:val="0"/>
      <w:marBottom w:val="0"/>
      <w:divBdr>
        <w:top w:val="none" w:sz="0" w:space="0" w:color="auto"/>
        <w:left w:val="none" w:sz="0" w:space="0" w:color="auto"/>
        <w:bottom w:val="none" w:sz="0" w:space="0" w:color="auto"/>
        <w:right w:val="none" w:sz="0" w:space="0" w:color="auto"/>
      </w:divBdr>
      <w:divsChild>
        <w:div w:id="1791509673">
          <w:marLeft w:val="0"/>
          <w:marRight w:val="0"/>
          <w:marTop w:val="0"/>
          <w:marBottom w:val="0"/>
          <w:divBdr>
            <w:top w:val="none" w:sz="0" w:space="0" w:color="auto"/>
            <w:left w:val="none" w:sz="0" w:space="0" w:color="auto"/>
            <w:bottom w:val="none" w:sz="0" w:space="0" w:color="auto"/>
            <w:right w:val="none" w:sz="0" w:space="0" w:color="auto"/>
          </w:divBdr>
        </w:div>
      </w:divsChild>
    </w:div>
    <w:div w:id="1291131310">
      <w:bodyDiv w:val="1"/>
      <w:marLeft w:val="0"/>
      <w:marRight w:val="0"/>
      <w:marTop w:val="0"/>
      <w:marBottom w:val="0"/>
      <w:divBdr>
        <w:top w:val="none" w:sz="0" w:space="0" w:color="auto"/>
        <w:left w:val="none" w:sz="0" w:space="0" w:color="auto"/>
        <w:bottom w:val="none" w:sz="0" w:space="0" w:color="auto"/>
        <w:right w:val="none" w:sz="0" w:space="0" w:color="auto"/>
      </w:divBdr>
      <w:divsChild>
        <w:div w:id="1868366920">
          <w:marLeft w:val="0"/>
          <w:marRight w:val="0"/>
          <w:marTop w:val="0"/>
          <w:marBottom w:val="0"/>
          <w:divBdr>
            <w:top w:val="none" w:sz="0" w:space="0" w:color="auto"/>
            <w:left w:val="none" w:sz="0" w:space="0" w:color="auto"/>
            <w:bottom w:val="none" w:sz="0" w:space="0" w:color="auto"/>
            <w:right w:val="none" w:sz="0" w:space="0" w:color="auto"/>
          </w:divBdr>
        </w:div>
      </w:divsChild>
    </w:div>
    <w:div w:id="1351637692">
      <w:bodyDiv w:val="1"/>
      <w:marLeft w:val="0"/>
      <w:marRight w:val="0"/>
      <w:marTop w:val="0"/>
      <w:marBottom w:val="0"/>
      <w:divBdr>
        <w:top w:val="none" w:sz="0" w:space="0" w:color="auto"/>
        <w:left w:val="none" w:sz="0" w:space="0" w:color="auto"/>
        <w:bottom w:val="none" w:sz="0" w:space="0" w:color="auto"/>
        <w:right w:val="none" w:sz="0" w:space="0" w:color="auto"/>
      </w:divBdr>
    </w:div>
    <w:div w:id="1390809376">
      <w:bodyDiv w:val="1"/>
      <w:marLeft w:val="0"/>
      <w:marRight w:val="0"/>
      <w:marTop w:val="0"/>
      <w:marBottom w:val="0"/>
      <w:divBdr>
        <w:top w:val="none" w:sz="0" w:space="0" w:color="auto"/>
        <w:left w:val="none" w:sz="0" w:space="0" w:color="auto"/>
        <w:bottom w:val="none" w:sz="0" w:space="0" w:color="auto"/>
        <w:right w:val="none" w:sz="0" w:space="0" w:color="auto"/>
      </w:divBdr>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639140807">
      <w:bodyDiv w:val="1"/>
      <w:marLeft w:val="0"/>
      <w:marRight w:val="0"/>
      <w:marTop w:val="0"/>
      <w:marBottom w:val="0"/>
      <w:divBdr>
        <w:top w:val="none" w:sz="0" w:space="0" w:color="auto"/>
        <w:left w:val="none" w:sz="0" w:space="0" w:color="auto"/>
        <w:bottom w:val="none" w:sz="0" w:space="0" w:color="auto"/>
        <w:right w:val="none" w:sz="0" w:space="0" w:color="auto"/>
      </w:divBdr>
      <w:divsChild>
        <w:div w:id="1904558001">
          <w:marLeft w:val="0"/>
          <w:marRight w:val="0"/>
          <w:marTop w:val="0"/>
          <w:marBottom w:val="0"/>
          <w:divBdr>
            <w:top w:val="none" w:sz="0" w:space="0" w:color="auto"/>
            <w:left w:val="none" w:sz="0" w:space="0" w:color="auto"/>
            <w:bottom w:val="none" w:sz="0" w:space="0" w:color="auto"/>
            <w:right w:val="none" w:sz="0" w:space="0" w:color="auto"/>
          </w:divBdr>
        </w:div>
      </w:divsChild>
    </w:div>
    <w:div w:id="1712730263">
      <w:bodyDiv w:val="1"/>
      <w:marLeft w:val="0"/>
      <w:marRight w:val="0"/>
      <w:marTop w:val="0"/>
      <w:marBottom w:val="0"/>
      <w:divBdr>
        <w:top w:val="none" w:sz="0" w:space="0" w:color="auto"/>
        <w:left w:val="none" w:sz="0" w:space="0" w:color="auto"/>
        <w:bottom w:val="none" w:sz="0" w:space="0" w:color="auto"/>
        <w:right w:val="none" w:sz="0" w:space="0" w:color="auto"/>
      </w:divBdr>
    </w:div>
    <w:div w:id="1756123696">
      <w:bodyDiv w:val="1"/>
      <w:marLeft w:val="0"/>
      <w:marRight w:val="0"/>
      <w:marTop w:val="0"/>
      <w:marBottom w:val="0"/>
      <w:divBdr>
        <w:top w:val="none" w:sz="0" w:space="0" w:color="auto"/>
        <w:left w:val="none" w:sz="0" w:space="0" w:color="auto"/>
        <w:bottom w:val="none" w:sz="0" w:space="0" w:color="auto"/>
        <w:right w:val="none" w:sz="0" w:space="0" w:color="auto"/>
      </w:divBdr>
    </w:div>
    <w:div w:id="1765177193">
      <w:bodyDiv w:val="1"/>
      <w:marLeft w:val="0"/>
      <w:marRight w:val="0"/>
      <w:marTop w:val="0"/>
      <w:marBottom w:val="0"/>
      <w:divBdr>
        <w:top w:val="none" w:sz="0" w:space="0" w:color="auto"/>
        <w:left w:val="none" w:sz="0" w:space="0" w:color="auto"/>
        <w:bottom w:val="none" w:sz="0" w:space="0" w:color="auto"/>
        <w:right w:val="none" w:sz="0" w:space="0" w:color="auto"/>
      </w:divBdr>
    </w:div>
    <w:div w:id="1809012741">
      <w:bodyDiv w:val="1"/>
      <w:marLeft w:val="0"/>
      <w:marRight w:val="0"/>
      <w:marTop w:val="0"/>
      <w:marBottom w:val="0"/>
      <w:divBdr>
        <w:top w:val="none" w:sz="0" w:space="0" w:color="auto"/>
        <w:left w:val="none" w:sz="0" w:space="0" w:color="auto"/>
        <w:bottom w:val="none" w:sz="0" w:space="0" w:color="auto"/>
        <w:right w:val="none" w:sz="0" w:space="0" w:color="auto"/>
      </w:divBdr>
    </w:div>
    <w:div w:id="1835608648">
      <w:bodyDiv w:val="1"/>
      <w:marLeft w:val="0"/>
      <w:marRight w:val="0"/>
      <w:marTop w:val="0"/>
      <w:marBottom w:val="0"/>
      <w:divBdr>
        <w:top w:val="none" w:sz="0" w:space="0" w:color="auto"/>
        <w:left w:val="none" w:sz="0" w:space="0" w:color="auto"/>
        <w:bottom w:val="none" w:sz="0" w:space="0" w:color="auto"/>
        <w:right w:val="none" w:sz="0" w:space="0" w:color="auto"/>
      </w:divBdr>
    </w:div>
    <w:div w:id="1864702838">
      <w:bodyDiv w:val="1"/>
      <w:marLeft w:val="0"/>
      <w:marRight w:val="0"/>
      <w:marTop w:val="0"/>
      <w:marBottom w:val="0"/>
      <w:divBdr>
        <w:top w:val="none" w:sz="0" w:space="0" w:color="auto"/>
        <w:left w:val="none" w:sz="0" w:space="0" w:color="auto"/>
        <w:bottom w:val="none" w:sz="0" w:space="0" w:color="auto"/>
        <w:right w:val="none" w:sz="0" w:space="0" w:color="auto"/>
      </w:divBdr>
    </w:div>
    <w:div w:id="1869636001">
      <w:bodyDiv w:val="1"/>
      <w:marLeft w:val="0"/>
      <w:marRight w:val="0"/>
      <w:marTop w:val="0"/>
      <w:marBottom w:val="0"/>
      <w:divBdr>
        <w:top w:val="none" w:sz="0" w:space="0" w:color="auto"/>
        <w:left w:val="none" w:sz="0" w:space="0" w:color="auto"/>
        <w:bottom w:val="none" w:sz="0" w:space="0" w:color="auto"/>
        <w:right w:val="none" w:sz="0" w:space="0" w:color="auto"/>
      </w:divBdr>
    </w:div>
    <w:div w:id="1892376274">
      <w:bodyDiv w:val="1"/>
      <w:marLeft w:val="0"/>
      <w:marRight w:val="0"/>
      <w:marTop w:val="0"/>
      <w:marBottom w:val="0"/>
      <w:divBdr>
        <w:top w:val="none" w:sz="0" w:space="0" w:color="auto"/>
        <w:left w:val="none" w:sz="0" w:space="0" w:color="auto"/>
        <w:bottom w:val="none" w:sz="0" w:space="0" w:color="auto"/>
        <w:right w:val="none" w:sz="0" w:space="0" w:color="auto"/>
      </w:divBdr>
    </w:div>
    <w:div w:id="1937710661">
      <w:bodyDiv w:val="1"/>
      <w:marLeft w:val="0"/>
      <w:marRight w:val="0"/>
      <w:marTop w:val="0"/>
      <w:marBottom w:val="0"/>
      <w:divBdr>
        <w:top w:val="none" w:sz="0" w:space="0" w:color="auto"/>
        <w:left w:val="none" w:sz="0" w:space="0" w:color="auto"/>
        <w:bottom w:val="none" w:sz="0" w:space="0" w:color="auto"/>
        <w:right w:val="none" w:sz="0" w:space="0" w:color="auto"/>
      </w:divBdr>
    </w:div>
    <w:div w:id="1959140382">
      <w:bodyDiv w:val="1"/>
      <w:marLeft w:val="0"/>
      <w:marRight w:val="0"/>
      <w:marTop w:val="0"/>
      <w:marBottom w:val="0"/>
      <w:divBdr>
        <w:top w:val="none" w:sz="0" w:space="0" w:color="auto"/>
        <w:left w:val="none" w:sz="0" w:space="0" w:color="auto"/>
        <w:bottom w:val="none" w:sz="0" w:space="0" w:color="auto"/>
        <w:right w:val="none" w:sz="0" w:space="0" w:color="auto"/>
      </w:divBdr>
    </w:div>
    <w:div w:id="1999309371">
      <w:bodyDiv w:val="1"/>
      <w:marLeft w:val="0"/>
      <w:marRight w:val="0"/>
      <w:marTop w:val="0"/>
      <w:marBottom w:val="0"/>
      <w:divBdr>
        <w:top w:val="none" w:sz="0" w:space="0" w:color="auto"/>
        <w:left w:val="none" w:sz="0" w:space="0" w:color="auto"/>
        <w:bottom w:val="none" w:sz="0" w:space="0" w:color="auto"/>
        <w:right w:val="none" w:sz="0" w:space="0" w:color="auto"/>
      </w:divBdr>
      <w:divsChild>
        <w:div w:id="1820611386">
          <w:marLeft w:val="0"/>
          <w:marRight w:val="0"/>
          <w:marTop w:val="0"/>
          <w:marBottom w:val="0"/>
          <w:divBdr>
            <w:top w:val="none" w:sz="0" w:space="0" w:color="auto"/>
            <w:left w:val="none" w:sz="0" w:space="0" w:color="auto"/>
            <w:bottom w:val="none" w:sz="0" w:space="0" w:color="auto"/>
            <w:right w:val="none" w:sz="0" w:space="0" w:color="auto"/>
          </w:divBdr>
        </w:div>
      </w:divsChild>
    </w:div>
    <w:div w:id="2008704932">
      <w:bodyDiv w:val="1"/>
      <w:marLeft w:val="0"/>
      <w:marRight w:val="0"/>
      <w:marTop w:val="0"/>
      <w:marBottom w:val="0"/>
      <w:divBdr>
        <w:top w:val="none" w:sz="0" w:space="0" w:color="auto"/>
        <w:left w:val="none" w:sz="0" w:space="0" w:color="auto"/>
        <w:bottom w:val="none" w:sz="0" w:space="0" w:color="auto"/>
        <w:right w:val="none" w:sz="0" w:space="0" w:color="auto"/>
      </w:divBdr>
    </w:div>
    <w:div w:id="2011522248">
      <w:bodyDiv w:val="1"/>
      <w:marLeft w:val="0"/>
      <w:marRight w:val="0"/>
      <w:marTop w:val="0"/>
      <w:marBottom w:val="0"/>
      <w:divBdr>
        <w:top w:val="none" w:sz="0" w:space="0" w:color="auto"/>
        <w:left w:val="none" w:sz="0" w:space="0" w:color="auto"/>
        <w:bottom w:val="none" w:sz="0" w:space="0" w:color="auto"/>
        <w:right w:val="none" w:sz="0" w:space="0" w:color="auto"/>
      </w:divBdr>
    </w:div>
    <w:div w:id="2040740689">
      <w:bodyDiv w:val="1"/>
      <w:marLeft w:val="0"/>
      <w:marRight w:val="0"/>
      <w:marTop w:val="0"/>
      <w:marBottom w:val="0"/>
      <w:divBdr>
        <w:top w:val="none" w:sz="0" w:space="0" w:color="auto"/>
        <w:left w:val="none" w:sz="0" w:space="0" w:color="auto"/>
        <w:bottom w:val="none" w:sz="0" w:space="0" w:color="auto"/>
        <w:right w:val="none" w:sz="0" w:space="0" w:color="auto"/>
      </w:divBdr>
    </w:div>
    <w:div w:id="2139953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cart.health.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hre.eu/Press-Room/Re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182" ma:contentTypeDescription="Create a new document." ma:contentTypeScope="" ma:versionID="60ac1bb33e2492023e81f489c956b3bf">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ae638a50-07e4-437e-8f63-6962fde4e67a" xmlns:ns10="6680c44c-cc36-4314-ad61-78a9951b8b47" targetNamespace="http://schemas.microsoft.com/office/2006/metadata/properties" ma:root="true" ma:fieldsID="d02453a7a868210f12048ba7f9c88958"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ae638a50-07e4-437e-8f63-6962fde4e67a"/>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etingDate" minOccurs="0"/>
                <xsd:element ref="ns10:MediaServiceMetadata" minOccurs="0"/>
                <xsd:element ref="ns10:MediaServiceFastMetadata" minOccurs="0"/>
                <xsd:element ref="ns2:SharedWithUsers" minOccurs="0"/>
                <xsd:element ref="ns2:SharedWithDetails" minOccurs="0"/>
                <xsd:element ref="ns10:MediaServiceObjectDetectorVersions" minOccurs="0"/>
                <xsd:element ref="ns10:MediaServiceSearchProperties" minOccurs="0"/>
                <xsd:element ref="ns10:lcf76f155ced4ddcb4097134ff3c332f" minOccurs="0"/>
                <xsd:element ref="ns2:TaxCatchAll" minOccurs="0"/>
                <xsd:element ref="ns10:MediaServiceGenerationTime" minOccurs="0"/>
                <xsd:element ref="ns10:MediaServiceEventHashCode" minOccurs="0"/>
                <xsd:element ref="ns10: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element name="TaxCatchAll" ma:index="60" nillable="true" ma:displayName="Taxonomy Catch All Column" ma:hidden="true" ma:list="{9679191a-e6eb-46ab-8f12-3d145526fae7}"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Advisory Committee on Assisted Reproductive Technology"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Governance" ma:hidden="true" ma:internalName="FunctionGroup" ma:readOnly="false">
      <xsd:simpleType>
        <xsd:restriction base="dms:Text">
          <xsd:maxLength value="255"/>
        </xsd:restriction>
      </xsd:simpleType>
    </xsd:element>
    <xsd:element name="Function" ma:index="21" nillable="true" ma:displayName="Function" ma:default="Advising the Minister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Ministerial Appointed Committe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Advisory Committee on Assisted Reproductive Technology"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ae638a50-07e4-437e-8f63-6962fde4e67a" elementFormDefault="qualified">
    <xsd:import namespace="http://schemas.microsoft.com/office/2006/documentManagement/types"/>
    <xsd:import namespace="http://schemas.microsoft.com/office/infopath/2007/PartnerControls"/>
    <xsd:element name="MeetingDate" ma:index="51"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2" nillable="true" ma:displayName="MediaServiceMetadata" ma:hidden="true" ma:internalName="MediaServiceMetadata" ma:readOnly="true">
      <xsd:simpleType>
        <xsd:restriction base="dms:Note"/>
      </xsd:simpleType>
    </xsd:element>
    <xsd:element name="MediaServiceFastMetadata" ma:index="53" nillable="true" ma:displayName="MediaServiceFastMetadata" ma:hidden="true" ma:internalName="MediaServiceFastMetadata" ma:readOnly="true">
      <xsd:simpleType>
        <xsd:restriction base="dms:Note"/>
      </xsd:simple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Attachment" ma:index="63" nillable="true" ma:displayName="Attachment" ma:default="0" ma:format="Dropdown" ma:internalName="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Ministerial Appointed Committees</Activity>
    <MeetingDate xmlns="ae638a50-07e4-437e-8f63-6962fde4e67a"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Annual monitoring report (ANZARD)</CategoryValue>
    <PRADate2 xmlns="4f9c820c-e7e2-444d-97ee-45f2b3485c1d" xsi:nil="true"/>
    <zLegacyJSON xmlns="184c05c4-c568-455d-94a4-7e009b164348" xsi:nil="true"/>
    <Case xmlns="4f9c820c-e7e2-444d-97ee-45f2b3485c1d">Advisory Committee on Assisted Reproductive Technology</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Advisory Committee on Assisted Reproductive Technology</Team>
    <Project xmlns="4f9c820c-e7e2-444d-97ee-45f2b3485c1d">NA</Project>
    <HasNHI xmlns="184c05c4-c568-455d-94a4-7e009b164348">false</HasNHI>
    <FunctionGroup xmlns="4f9c820c-e7e2-444d-97ee-45f2b3485c1d">Governance</FunctionGroup>
    <Function xmlns="4f9c820c-e7e2-444d-97ee-45f2b3485c1d">Advising the Ministers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Reporting</CategoryName>
    <PRADateTrigger xmlns="4f9c820c-e7e2-444d-97ee-45f2b3485c1d" xsi:nil="true"/>
    <PRAText2 xmlns="4f9c820c-e7e2-444d-97ee-45f2b3485c1d" xsi:nil="true"/>
    <zLegacyID xmlns="184c05c4-c568-455d-94a4-7e009b164348" xsi:nil="true"/>
    <_dlc_DocId xmlns="56bce0aa-d130-428b-89aa-972bdc26e82f">MOHECM-1178593979-3592</_dlc_DocId>
    <_dlc_DocIdUrl xmlns="56bce0aa-d130-428b-89aa-972bdc26e82f">
      <Url>https://mohgovtnz.sharepoint.com/sites/moh-ecm-AdvComART/_layouts/15/DocIdRedir.aspx?ID=MOHECM-1178593979-3592</Url>
      <Description>MOHECM-1178593979-3592</Description>
    </_dlc_DocIdUrl>
    <Attachment xmlns="6680c44c-cc36-4314-ad61-78a9951b8b47">false</Attachmen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853A-2C90-4B54-9A38-4F79C645D846}">
  <ds:schemaRefs>
    <ds:schemaRef ds:uri="http://schemas.microsoft.com/sharepoint/v3/contenttype/forms"/>
  </ds:schemaRefs>
</ds:datastoreItem>
</file>

<file path=customXml/itemProps2.xml><?xml version="1.0" encoding="utf-8"?>
<ds:datastoreItem xmlns:ds="http://schemas.openxmlformats.org/officeDocument/2006/customXml" ds:itemID="{CD97B589-0922-4437-81EF-B58046EBF008}">
  <ds:schemaRefs>
    <ds:schemaRef ds:uri="http://schemas.microsoft.com/sharepoint/events"/>
  </ds:schemaRefs>
</ds:datastoreItem>
</file>

<file path=customXml/itemProps3.xml><?xml version="1.0" encoding="utf-8"?>
<ds:datastoreItem xmlns:ds="http://schemas.openxmlformats.org/officeDocument/2006/customXml" ds:itemID="{21AD27F0-03D7-4E7C-966C-9997BDC27C3A}"/>
</file>

<file path=customXml/itemProps4.xml><?xml version="1.0" encoding="utf-8"?>
<ds:datastoreItem xmlns:ds="http://schemas.openxmlformats.org/officeDocument/2006/customXml" ds:itemID="{2BC21748-B5F8-460E-83E4-E6452446512B}">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ae638a50-07e4-437e-8f63-6962fde4e67a"/>
    <ds:schemaRef ds:uri="d0b61010-d6f3-4072-b934-7bbb13e97771"/>
    <ds:schemaRef ds:uri="6680c44c-cc36-4314-ad61-78a9951b8b47"/>
    <ds:schemaRef ds:uri="56bce0aa-d130-428b-89aa-972bdc26e82f"/>
    <ds:schemaRef ds:uri="725c79e5-42ce-4aa0-ac78-b6418001f0d2"/>
  </ds:schemaRefs>
</ds:datastoreItem>
</file>

<file path=customXml/itemProps5.xml><?xml version="1.0" encoding="utf-8"?>
<ds:datastoreItem xmlns:ds="http://schemas.openxmlformats.org/officeDocument/2006/customXml" ds:itemID="{F38CE6E1-0BD9-4D97-83C2-FD03704F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58</Pages>
  <Words>16221</Words>
  <Characters>92464</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108469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Oisin Fitzgerald</dc:creator>
  <cp:keywords/>
  <dc:description/>
  <cp:lastModifiedBy>Martin Kennedy</cp:lastModifiedBy>
  <cp:revision>26</cp:revision>
  <cp:lastPrinted>2024-05-15T03:21:00Z</cp:lastPrinted>
  <dcterms:created xsi:type="dcterms:W3CDTF">2024-03-06T22:48:00Z</dcterms:created>
  <dcterms:modified xsi:type="dcterms:W3CDTF">2024-05-15T03:21:00Z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910ea326-0a7a-4786-ae6e-7de565afe609</vt:lpwstr>
  </property>
  <property fmtid="{D5CDD505-2E9C-101B-9397-08002B2CF9AE}" pid="4" name="MediaServiceImageTags">
    <vt:lpwstr/>
  </property>
</Properties>
</file>