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D276D" w14:textId="77777777" w:rsidR="0075201E" w:rsidRDefault="0075201E" w:rsidP="0075201E">
      <w:pPr>
        <w:pStyle w:val="Title"/>
      </w:pPr>
      <w:bookmarkStart w:id="0" w:name="_Toc73459696"/>
      <w:bookmarkStart w:id="1" w:name="_GoBack"/>
      <w:bookmarkEnd w:id="1"/>
      <w:r>
        <w:t>Supplementary Information to the Donation and Surrogacy Guidelines</w:t>
      </w:r>
    </w:p>
    <w:bookmarkEnd w:id="0"/>
    <w:p w14:paraId="0ACD276E" w14:textId="77777777" w:rsidR="0075201E" w:rsidRPr="00947DBE" w:rsidRDefault="0075201E" w:rsidP="0075201E">
      <w:pPr>
        <w:pStyle w:val="Heading1"/>
        <w:rPr>
          <w:rFonts w:eastAsia="Calibri"/>
        </w:rPr>
      </w:pPr>
      <w:r w:rsidRPr="00947DBE">
        <w:rPr>
          <w:rFonts w:eastAsia="Calibri"/>
        </w:rPr>
        <w:t>Purpose of this information</w:t>
      </w:r>
    </w:p>
    <w:p w14:paraId="0ACD276F" w14:textId="77777777" w:rsidR="0075201E" w:rsidRPr="00C55FA6" w:rsidRDefault="0075201E" w:rsidP="000E1B87">
      <w:pPr>
        <w:pStyle w:val="Number"/>
        <w:rPr>
          <w:rFonts w:eastAsia="Calibri"/>
        </w:rPr>
      </w:pPr>
      <w:r w:rsidRPr="00C55FA6">
        <w:rPr>
          <w:rFonts w:eastAsia="Calibri"/>
        </w:rPr>
        <w:t>This informat</w:t>
      </w:r>
      <w:r w:rsidR="000E1B87">
        <w:rPr>
          <w:rFonts w:eastAsia="Calibri"/>
        </w:rPr>
        <w:t>ion is intended to ensure that:</w:t>
      </w:r>
    </w:p>
    <w:p w14:paraId="0ACD2770" w14:textId="77777777" w:rsidR="0075201E" w:rsidRPr="00947DBE" w:rsidRDefault="0075201E" w:rsidP="000E1B87">
      <w:pPr>
        <w:pStyle w:val="Bullet"/>
        <w:rPr>
          <w:rFonts w:eastAsia="Calibri"/>
        </w:rPr>
      </w:pPr>
      <w:r w:rsidRPr="00947DBE">
        <w:rPr>
          <w:rFonts w:eastAsia="Calibri"/>
        </w:rPr>
        <w:t xml:space="preserve">fertility services providers understand why </w:t>
      </w:r>
      <w:r>
        <w:rPr>
          <w:rFonts w:eastAsia="Calibri"/>
        </w:rPr>
        <w:t>the Advisory Committee on Assisted Reproductive Technology (</w:t>
      </w:r>
      <w:r w:rsidRPr="00947DBE">
        <w:rPr>
          <w:rFonts w:eastAsia="Calibri"/>
        </w:rPr>
        <w:t>ACART</w:t>
      </w:r>
      <w:r>
        <w:rPr>
          <w:rFonts w:eastAsia="Calibri"/>
        </w:rPr>
        <w:t>)</w:t>
      </w:r>
      <w:r w:rsidRPr="00947DBE">
        <w:rPr>
          <w:rFonts w:eastAsia="Calibri"/>
        </w:rPr>
        <w:t xml:space="preserve"> has revised the guidelines for donations and surrogacy</w:t>
      </w:r>
      <w:r>
        <w:rPr>
          <w:rFonts w:eastAsia="Calibri"/>
        </w:rPr>
        <w:t xml:space="preserve"> in</w:t>
      </w:r>
      <w:r w:rsidRPr="00947DBE">
        <w:rPr>
          <w:rFonts w:eastAsia="Calibri"/>
        </w:rPr>
        <w:t xml:space="preserve"> </w:t>
      </w:r>
      <w:r w:rsidR="000E1B87">
        <w:rPr>
          <w:rFonts w:eastAsia="Calibri"/>
        </w:rPr>
        <w:t>the way it has</w:t>
      </w:r>
    </w:p>
    <w:p w14:paraId="0ACD2771" w14:textId="77777777" w:rsidR="0075201E" w:rsidRPr="00947DBE" w:rsidRDefault="0075201E" w:rsidP="000E1B87">
      <w:pPr>
        <w:pStyle w:val="Bullet"/>
        <w:rPr>
          <w:rFonts w:eastAsia="Calibri"/>
        </w:rPr>
      </w:pPr>
      <w:r w:rsidRPr="00947DBE">
        <w:rPr>
          <w:rFonts w:eastAsia="Calibri"/>
        </w:rPr>
        <w:t>all parties know how the consent process works</w:t>
      </w:r>
    </w:p>
    <w:p w14:paraId="0ACD2772" w14:textId="77777777" w:rsidR="0075201E" w:rsidRDefault="0075201E" w:rsidP="000E1B87">
      <w:pPr>
        <w:pStyle w:val="Bullet"/>
        <w:rPr>
          <w:rFonts w:eastAsia="Calibri"/>
        </w:rPr>
      </w:pPr>
      <w:r>
        <w:rPr>
          <w:rFonts w:eastAsia="Calibri"/>
        </w:rPr>
        <w:t>the Ethics Committee on Assisted Reproductive Technology (</w:t>
      </w:r>
      <w:r w:rsidRPr="00947DBE">
        <w:rPr>
          <w:rFonts w:eastAsia="Calibri"/>
        </w:rPr>
        <w:t>ECART</w:t>
      </w:r>
      <w:r>
        <w:rPr>
          <w:rFonts w:eastAsia="Calibri"/>
        </w:rPr>
        <w:t>)</w:t>
      </w:r>
      <w:r w:rsidRPr="00947DBE">
        <w:rPr>
          <w:rFonts w:eastAsia="Calibri"/>
        </w:rPr>
        <w:t xml:space="preserve"> understand</w:t>
      </w:r>
      <w:r>
        <w:rPr>
          <w:rFonts w:eastAsia="Calibri"/>
        </w:rPr>
        <w:t>s</w:t>
      </w:r>
      <w:r w:rsidRPr="00947DBE">
        <w:rPr>
          <w:rFonts w:eastAsia="Calibri"/>
        </w:rPr>
        <w:t xml:space="preserve"> why ACART has revised the guidelines for donations and surrogacy </w:t>
      </w:r>
      <w:r>
        <w:rPr>
          <w:rFonts w:eastAsia="Calibri"/>
        </w:rPr>
        <w:t xml:space="preserve">in </w:t>
      </w:r>
      <w:r w:rsidRPr="00947DBE">
        <w:rPr>
          <w:rFonts w:eastAsia="Calibri"/>
        </w:rPr>
        <w:t xml:space="preserve">the way it has so that </w:t>
      </w:r>
      <w:r>
        <w:rPr>
          <w:rFonts w:eastAsia="Calibri"/>
        </w:rPr>
        <w:t>ECART</w:t>
      </w:r>
      <w:r w:rsidRPr="00947DBE">
        <w:rPr>
          <w:rFonts w:eastAsia="Calibri"/>
        </w:rPr>
        <w:t xml:space="preserve"> can apply the guidelines as ACART intends.</w:t>
      </w:r>
    </w:p>
    <w:p w14:paraId="0ACD2773" w14:textId="77777777" w:rsidR="000E1B87" w:rsidRPr="00947DBE" w:rsidRDefault="000E1B87" w:rsidP="000E1B87">
      <w:pPr>
        <w:rPr>
          <w:rFonts w:eastAsia="Calibri"/>
        </w:rPr>
      </w:pPr>
    </w:p>
    <w:p w14:paraId="0ACD2774" w14:textId="77777777" w:rsidR="0075201E" w:rsidRPr="00C14180" w:rsidRDefault="0075201E" w:rsidP="0075201E">
      <w:pPr>
        <w:pStyle w:val="Heading1"/>
        <w:rPr>
          <w:rFonts w:eastAsia="Calibri"/>
        </w:rPr>
      </w:pPr>
      <w:r w:rsidRPr="00C14180">
        <w:rPr>
          <w:rFonts w:eastAsia="Calibri"/>
        </w:rPr>
        <w:t>Purpose</w:t>
      </w:r>
      <w:r>
        <w:rPr>
          <w:rFonts w:eastAsia="Calibri"/>
        </w:rPr>
        <w:t>s</w:t>
      </w:r>
      <w:r w:rsidRPr="00C14180">
        <w:rPr>
          <w:rFonts w:eastAsia="Calibri"/>
        </w:rPr>
        <w:t xml:space="preserve"> </w:t>
      </w:r>
      <w:r>
        <w:rPr>
          <w:rFonts w:eastAsia="Calibri"/>
        </w:rPr>
        <w:t>of the ‘s</w:t>
      </w:r>
      <w:r w:rsidRPr="00C14180">
        <w:rPr>
          <w:rFonts w:eastAsia="Calibri"/>
        </w:rPr>
        <w:t xml:space="preserve">ocial </w:t>
      </w:r>
      <w:r>
        <w:rPr>
          <w:rFonts w:eastAsia="Calibri"/>
        </w:rPr>
        <w:t xml:space="preserve">or financial </w:t>
      </w:r>
      <w:r w:rsidRPr="00C14180">
        <w:rPr>
          <w:rFonts w:eastAsia="Calibri"/>
        </w:rPr>
        <w:t>convenience</w:t>
      </w:r>
      <w:r>
        <w:rPr>
          <w:rFonts w:eastAsia="Calibri"/>
        </w:rPr>
        <w:t>’</w:t>
      </w:r>
      <w:r w:rsidRPr="00C14180">
        <w:rPr>
          <w:rFonts w:eastAsia="Calibri"/>
        </w:rPr>
        <w:t xml:space="preserve"> provision</w:t>
      </w:r>
    </w:p>
    <w:p w14:paraId="0ACD2775" w14:textId="77777777" w:rsidR="0075201E" w:rsidRPr="00F876C5" w:rsidRDefault="0075201E" w:rsidP="000E1B87">
      <w:pPr>
        <w:pStyle w:val="Number"/>
        <w:rPr>
          <w:rFonts w:eastAsia="Calibri"/>
        </w:rPr>
      </w:pPr>
      <w:r w:rsidRPr="00F876C5">
        <w:rPr>
          <w:rFonts w:eastAsia="Calibri"/>
        </w:rPr>
        <w:t>The guidelines contain a provision that “the intending parents are not using the procedures for social or financial convenience or gain.”</w:t>
      </w:r>
      <w:r w:rsidRPr="00AE283C">
        <w:rPr>
          <w:rFonts w:eastAsia="Calibri"/>
        </w:rPr>
        <w:t xml:space="preserve"> </w:t>
      </w:r>
      <w:r w:rsidRPr="00F876C5">
        <w:rPr>
          <w:rFonts w:eastAsia="Calibri"/>
        </w:rPr>
        <w:t>The purposes of this provision are to minimise risks to the offspring and any other parties, and to protect the dignity of future generations.</w:t>
      </w:r>
    </w:p>
    <w:p w14:paraId="0ACD2776" w14:textId="77777777" w:rsidR="0075201E" w:rsidRPr="00F876C5" w:rsidRDefault="0075201E" w:rsidP="000E1B87">
      <w:pPr>
        <w:pStyle w:val="Number"/>
        <w:rPr>
          <w:rFonts w:eastAsia="Calibri"/>
        </w:rPr>
      </w:pPr>
      <w:r w:rsidRPr="00AE283C">
        <w:rPr>
          <w:rFonts w:eastAsia="Calibri"/>
        </w:rPr>
        <w:t>Surrogacy</w:t>
      </w:r>
      <w:r>
        <w:rPr>
          <w:rFonts w:eastAsia="Calibri"/>
        </w:rPr>
        <w:t xml:space="preserve"> and donor conception</w:t>
      </w:r>
      <w:r w:rsidRPr="00AE283C">
        <w:rPr>
          <w:rFonts w:eastAsia="Calibri"/>
        </w:rPr>
        <w:t xml:space="preserve"> </w:t>
      </w:r>
      <w:r>
        <w:rPr>
          <w:rFonts w:eastAsia="Calibri"/>
        </w:rPr>
        <w:t xml:space="preserve">involve </w:t>
      </w:r>
      <w:r w:rsidRPr="00AE283C">
        <w:rPr>
          <w:rFonts w:eastAsia="Calibri"/>
        </w:rPr>
        <w:t xml:space="preserve">general risks to offspring in addition to biological </w:t>
      </w:r>
      <w:r>
        <w:rPr>
          <w:rFonts w:eastAsia="Calibri"/>
        </w:rPr>
        <w:t xml:space="preserve">(pregnancy) </w:t>
      </w:r>
      <w:r w:rsidRPr="00AE283C">
        <w:rPr>
          <w:rFonts w:eastAsia="Calibri"/>
        </w:rPr>
        <w:t xml:space="preserve">risks of surrogacy to the birth mother. </w:t>
      </w:r>
      <w:r>
        <w:rPr>
          <w:rFonts w:eastAsia="Calibri"/>
        </w:rPr>
        <w:t>Some examples of these risks are</w:t>
      </w:r>
      <w:r w:rsidRPr="00AE283C">
        <w:rPr>
          <w:rFonts w:eastAsia="Calibri"/>
        </w:rPr>
        <w:t>: avoidable poor health (</w:t>
      </w:r>
      <w:proofErr w:type="spellStart"/>
      <w:r w:rsidRPr="00AE283C">
        <w:rPr>
          <w:rFonts w:eastAsia="Calibri"/>
        </w:rPr>
        <w:t>eg</w:t>
      </w:r>
      <w:proofErr w:type="spellEnd"/>
      <w:r>
        <w:rPr>
          <w:rFonts w:eastAsia="Calibri"/>
        </w:rPr>
        <w:t>,</w:t>
      </w:r>
      <w:r w:rsidRPr="00AE283C">
        <w:rPr>
          <w:rFonts w:eastAsia="Calibri"/>
        </w:rPr>
        <w:t xml:space="preserve"> </w:t>
      </w:r>
      <w:r>
        <w:rPr>
          <w:rFonts w:eastAsia="Calibri"/>
        </w:rPr>
        <w:t>because the chosen</w:t>
      </w:r>
      <w:r w:rsidRPr="00AE283C">
        <w:rPr>
          <w:rFonts w:eastAsia="Calibri"/>
        </w:rPr>
        <w:t xml:space="preserve"> donor </w:t>
      </w:r>
      <w:r>
        <w:rPr>
          <w:rFonts w:eastAsia="Calibri"/>
        </w:rPr>
        <w:t>has</w:t>
      </w:r>
      <w:r w:rsidRPr="00AE283C">
        <w:rPr>
          <w:rFonts w:eastAsia="Calibri"/>
        </w:rPr>
        <w:t xml:space="preserve"> a significant inheritable disease)</w:t>
      </w:r>
      <w:r>
        <w:rPr>
          <w:rFonts w:eastAsia="Calibri"/>
        </w:rPr>
        <w:t>;</w:t>
      </w:r>
      <w:r w:rsidRPr="00AE283C">
        <w:rPr>
          <w:rFonts w:eastAsia="Calibri"/>
        </w:rPr>
        <w:t xml:space="preserve"> citizenship risks</w:t>
      </w:r>
      <w:r>
        <w:rPr>
          <w:rFonts w:eastAsia="Calibri"/>
        </w:rPr>
        <w:t>;</w:t>
      </w:r>
      <w:r w:rsidRPr="00AE283C">
        <w:rPr>
          <w:rFonts w:eastAsia="Calibri"/>
        </w:rPr>
        <w:t xml:space="preserve"> having no genetic link to parents when that would have been a possibility</w:t>
      </w:r>
      <w:r>
        <w:rPr>
          <w:rFonts w:eastAsia="Calibri"/>
        </w:rPr>
        <w:t xml:space="preserve"> (and any psychological effects that may have on the offspring, in particular); disputes arising in surrogacy cases that affect the child; and intending parents refusing to adopt the child</w:t>
      </w:r>
      <w:r w:rsidRPr="00AE283C">
        <w:rPr>
          <w:rFonts w:eastAsia="Calibri"/>
        </w:rPr>
        <w:t>.</w:t>
      </w:r>
      <w:r>
        <w:rPr>
          <w:rFonts w:eastAsia="Calibri"/>
        </w:rPr>
        <w:t xml:space="preserve"> </w:t>
      </w:r>
      <w:r w:rsidRPr="00F876C5">
        <w:rPr>
          <w:rFonts w:eastAsia="Calibri"/>
        </w:rPr>
        <w:t xml:space="preserve">These risks </w:t>
      </w:r>
      <w:r>
        <w:rPr>
          <w:rFonts w:eastAsia="Calibri"/>
        </w:rPr>
        <w:t xml:space="preserve">should </w:t>
      </w:r>
      <w:r w:rsidRPr="00F876C5">
        <w:rPr>
          <w:rFonts w:eastAsia="Calibri"/>
        </w:rPr>
        <w:t xml:space="preserve">be mitigated by precluding the use of a procedure </w:t>
      </w:r>
      <w:r>
        <w:rPr>
          <w:rFonts w:eastAsia="Calibri"/>
        </w:rPr>
        <w:t>that would</w:t>
      </w:r>
      <w:r w:rsidRPr="00F876C5">
        <w:rPr>
          <w:rFonts w:eastAsia="Calibri"/>
        </w:rPr>
        <w:t xml:space="preserve"> allow the intending parents to prioritise some financial purpose or social purpose over </w:t>
      </w:r>
      <w:r w:rsidR="000E1B87">
        <w:rPr>
          <w:rFonts w:eastAsia="Calibri"/>
        </w:rPr>
        <w:t>the wellbeing of the offspring.</w:t>
      </w:r>
    </w:p>
    <w:p w14:paraId="0ACD2777" w14:textId="77777777" w:rsidR="0075201E" w:rsidRPr="00AE283C" w:rsidRDefault="0075201E" w:rsidP="006B696B">
      <w:pPr>
        <w:pStyle w:val="Number"/>
        <w:keepLines/>
        <w:rPr>
          <w:rFonts w:eastAsia="Calibri"/>
        </w:rPr>
      </w:pPr>
      <w:r>
        <w:rPr>
          <w:rFonts w:eastAsia="Calibri"/>
        </w:rPr>
        <w:lastRenderedPageBreak/>
        <w:t xml:space="preserve">Generally, the </w:t>
      </w:r>
      <w:r w:rsidRPr="00AE283C">
        <w:rPr>
          <w:rFonts w:eastAsia="Calibri"/>
        </w:rPr>
        <w:t xml:space="preserve">use of </w:t>
      </w:r>
      <w:r>
        <w:rPr>
          <w:rFonts w:eastAsia="Calibri"/>
        </w:rPr>
        <w:t>assisted reproductive technology (</w:t>
      </w:r>
      <w:r w:rsidRPr="00AE283C">
        <w:rPr>
          <w:rFonts w:eastAsia="Calibri"/>
        </w:rPr>
        <w:t>ART</w:t>
      </w:r>
      <w:r>
        <w:rPr>
          <w:rFonts w:eastAsia="Calibri"/>
        </w:rPr>
        <w:t>) brings</w:t>
      </w:r>
      <w:r w:rsidRPr="00AE283C">
        <w:rPr>
          <w:rFonts w:eastAsia="Calibri"/>
        </w:rPr>
        <w:t xml:space="preserve"> costs to society and small risks to offspring, so its use needs to be justified. Justifications </w:t>
      </w:r>
      <w:r>
        <w:rPr>
          <w:rFonts w:eastAsia="Calibri"/>
        </w:rPr>
        <w:t>for</w:t>
      </w:r>
      <w:r w:rsidRPr="00AE283C">
        <w:rPr>
          <w:rFonts w:eastAsia="Calibri"/>
        </w:rPr>
        <w:t xml:space="preserve"> its use </w:t>
      </w:r>
      <w:r>
        <w:rPr>
          <w:rFonts w:eastAsia="Calibri"/>
        </w:rPr>
        <w:t xml:space="preserve">are that it </w:t>
      </w:r>
      <w:r w:rsidRPr="00AE283C">
        <w:rPr>
          <w:rFonts w:eastAsia="Calibri"/>
        </w:rPr>
        <w:t>mitigates a medical need, or a need associated with relationship</w:t>
      </w:r>
      <w:r>
        <w:rPr>
          <w:rFonts w:eastAsia="Calibri"/>
        </w:rPr>
        <w:t xml:space="preserve"> </w:t>
      </w:r>
      <w:r w:rsidRPr="00AE283C">
        <w:rPr>
          <w:rFonts w:eastAsia="Calibri"/>
        </w:rPr>
        <w:t xml:space="preserve">status (including sexuality). However, </w:t>
      </w:r>
      <w:r>
        <w:rPr>
          <w:rFonts w:eastAsia="Calibri"/>
        </w:rPr>
        <w:t xml:space="preserve">when using surrogacy and donor conception, </w:t>
      </w:r>
      <w:r w:rsidRPr="00AE283C">
        <w:rPr>
          <w:rFonts w:eastAsia="Calibri"/>
        </w:rPr>
        <w:t xml:space="preserve">our ethical framework must also consider the motivation of parents to have children if, for example, they are placing all the risks of pregnancy onto others without </w:t>
      </w:r>
      <w:proofErr w:type="gramStart"/>
      <w:r w:rsidRPr="00AE283C">
        <w:rPr>
          <w:rFonts w:eastAsia="Calibri"/>
        </w:rPr>
        <w:t>justification, or</w:t>
      </w:r>
      <w:proofErr w:type="gramEnd"/>
      <w:r w:rsidRPr="00AE283C">
        <w:rPr>
          <w:rFonts w:eastAsia="Calibri"/>
        </w:rPr>
        <w:t xml:space="preserve"> </w:t>
      </w:r>
      <w:r>
        <w:rPr>
          <w:rFonts w:eastAsia="Calibri"/>
        </w:rPr>
        <w:t xml:space="preserve">are </w:t>
      </w:r>
      <w:r w:rsidRPr="00AE283C">
        <w:rPr>
          <w:rFonts w:eastAsia="Calibri"/>
        </w:rPr>
        <w:t>not considering in</w:t>
      </w:r>
      <w:r w:rsidR="000E1B87">
        <w:rPr>
          <w:rFonts w:eastAsia="Calibri"/>
        </w:rPr>
        <w:t>terests of offspring.</w:t>
      </w:r>
    </w:p>
    <w:p w14:paraId="0ACD2778" w14:textId="77777777" w:rsidR="0075201E" w:rsidRDefault="0075201E" w:rsidP="000E1B87">
      <w:pPr>
        <w:pStyle w:val="Number"/>
        <w:rPr>
          <w:rFonts w:eastAsia="Calibri"/>
        </w:rPr>
      </w:pPr>
      <w:r w:rsidRPr="00F876C5">
        <w:rPr>
          <w:rFonts w:eastAsia="Calibri"/>
        </w:rPr>
        <w:t xml:space="preserve">Financial gain can include deciding to use a donated embryo rather than using more expensive </w:t>
      </w:r>
      <w:r>
        <w:rPr>
          <w:rFonts w:eastAsia="Calibri"/>
        </w:rPr>
        <w:t>in vitro fertilisation (</w:t>
      </w:r>
      <w:r w:rsidRPr="00F876C5">
        <w:rPr>
          <w:rFonts w:eastAsia="Calibri"/>
        </w:rPr>
        <w:t>IVF</w:t>
      </w:r>
      <w:r>
        <w:rPr>
          <w:rFonts w:eastAsia="Calibri"/>
        </w:rPr>
        <w:t>)</w:t>
      </w:r>
      <w:r w:rsidRPr="00F876C5">
        <w:rPr>
          <w:rFonts w:eastAsia="Calibri"/>
        </w:rPr>
        <w:t>, without considering the impacts on children of taking away the opportunity for them to be genetically related to their p</w:t>
      </w:r>
      <w:r w:rsidR="000E1B87">
        <w:rPr>
          <w:rFonts w:eastAsia="Calibri"/>
        </w:rPr>
        <w:t>arents if it had been possible.</w:t>
      </w:r>
    </w:p>
    <w:p w14:paraId="0ACD2779" w14:textId="77777777" w:rsidR="0075201E" w:rsidRPr="00F876C5" w:rsidRDefault="0075201E" w:rsidP="000E1B87">
      <w:pPr>
        <w:pStyle w:val="Number"/>
        <w:rPr>
          <w:rFonts w:eastAsia="Calibri"/>
        </w:rPr>
      </w:pPr>
      <w:r w:rsidRPr="00F876C5">
        <w:rPr>
          <w:rFonts w:eastAsia="Calibri"/>
        </w:rPr>
        <w:t xml:space="preserve">On the other hand, </w:t>
      </w:r>
      <w:r>
        <w:rPr>
          <w:rFonts w:eastAsia="Calibri"/>
        </w:rPr>
        <w:t>ART</w:t>
      </w:r>
      <w:r w:rsidRPr="00F876C5">
        <w:rPr>
          <w:rFonts w:eastAsia="Calibri"/>
        </w:rPr>
        <w:t xml:space="preserve"> may be the best or only option for </w:t>
      </w:r>
      <w:r>
        <w:rPr>
          <w:rFonts w:eastAsia="Calibri"/>
        </w:rPr>
        <w:t>some people</w:t>
      </w:r>
      <w:r w:rsidRPr="00F876C5">
        <w:rPr>
          <w:rFonts w:eastAsia="Calibri"/>
        </w:rPr>
        <w:t xml:space="preserve">, and they may have carefully considered potential impacts on children and how to mitigate them. </w:t>
      </w:r>
      <w:r>
        <w:rPr>
          <w:rFonts w:eastAsia="Calibri"/>
        </w:rPr>
        <w:t>In the latter case, evidence should be provided to ECART about these circumstances, and how it overrides the apparent social or financial convenience.</w:t>
      </w:r>
    </w:p>
    <w:p w14:paraId="0ACD277A" w14:textId="77777777" w:rsidR="0075201E" w:rsidRDefault="0075201E" w:rsidP="000E1B87">
      <w:pPr>
        <w:pStyle w:val="Number"/>
        <w:rPr>
          <w:rFonts w:eastAsia="Calibri"/>
        </w:rPr>
      </w:pPr>
      <w:r>
        <w:rPr>
          <w:rFonts w:eastAsia="Calibri"/>
        </w:rPr>
        <w:t xml:space="preserve">Social gain could mean avoiding pregnancy for social or career </w:t>
      </w:r>
      <w:proofErr w:type="gramStart"/>
      <w:r>
        <w:rPr>
          <w:rFonts w:eastAsia="Calibri"/>
        </w:rPr>
        <w:t>reasons, or</w:t>
      </w:r>
      <w:proofErr w:type="gramEnd"/>
      <w:r>
        <w:rPr>
          <w:rFonts w:eastAsia="Calibri"/>
        </w:rPr>
        <w:t xml:space="preserve"> </w:t>
      </w:r>
      <w:bookmarkStart w:id="2" w:name="_Hlk49949630"/>
      <w:r>
        <w:rPr>
          <w:rFonts w:eastAsia="Calibri"/>
        </w:rPr>
        <w:t>using surrogates to have children for intending parents far beyond the normal reproductive lifespan. (While care must be taken to avoid age discrimination, the interests of the child in having parents able to care for them is a consideration.)</w:t>
      </w:r>
      <w:bookmarkEnd w:id="2"/>
    </w:p>
    <w:p w14:paraId="0ACD277B" w14:textId="77777777" w:rsidR="0075201E" w:rsidRDefault="0075201E" w:rsidP="000E1B87">
      <w:pPr>
        <w:pStyle w:val="Number"/>
        <w:rPr>
          <w:rFonts w:eastAsia="Calibri"/>
        </w:rPr>
      </w:pPr>
      <w:r>
        <w:rPr>
          <w:rFonts w:eastAsia="Calibri"/>
        </w:rPr>
        <w:t>This provision in the guidelines is intended to balance the risks of rescinding the biological link policy against the need of some people to use a wider range of donation and surrogacy options to form families than was formerly possible</w:t>
      </w:r>
      <w:r w:rsidR="000E1B87">
        <w:rPr>
          <w:rFonts w:eastAsia="Calibri"/>
        </w:rPr>
        <w:t>.</w:t>
      </w:r>
    </w:p>
    <w:p w14:paraId="0ACD277C" w14:textId="77777777" w:rsidR="000E1B87" w:rsidRDefault="000E1B87" w:rsidP="000E1B87">
      <w:pPr>
        <w:rPr>
          <w:rFonts w:eastAsia="Calibri"/>
        </w:rPr>
      </w:pPr>
    </w:p>
    <w:p w14:paraId="0ACD277D" w14:textId="77777777" w:rsidR="0075201E" w:rsidRPr="00947DBE" w:rsidRDefault="0075201E" w:rsidP="0075201E">
      <w:pPr>
        <w:pStyle w:val="Heading1"/>
        <w:rPr>
          <w:rFonts w:eastAsia="Calibri"/>
        </w:rPr>
      </w:pPr>
      <w:r w:rsidRPr="00947DBE">
        <w:rPr>
          <w:rFonts w:eastAsia="Calibri"/>
        </w:rPr>
        <w:t>Donations of gametes and embryos, and consenting</w:t>
      </w:r>
    </w:p>
    <w:p w14:paraId="0ACD277E" w14:textId="77777777" w:rsidR="0075201E" w:rsidRDefault="0075201E" w:rsidP="000E1B87">
      <w:pPr>
        <w:pStyle w:val="Number"/>
      </w:pPr>
      <w:r w:rsidRPr="0080434C">
        <w:t xml:space="preserve">The removal of the mandatory biological link means gametes and embryos can be donated and </w:t>
      </w:r>
      <w:r w:rsidRPr="00F876C5">
        <w:rPr>
          <w:rFonts w:eastAsia="Calibri"/>
        </w:rPr>
        <w:t>used</w:t>
      </w:r>
      <w:r w:rsidRPr="0080434C">
        <w:t xml:space="preserve"> in a </w:t>
      </w:r>
      <w:r>
        <w:t>wider</w:t>
      </w:r>
      <w:r w:rsidRPr="0080434C">
        <w:t xml:space="preserve"> range of situations than before. For example, single people who are infertile will be able to have surrogates gestate babies</w:t>
      </w:r>
      <w:r>
        <w:t xml:space="preserve"> to whom they have no genetic connection (</w:t>
      </w:r>
      <w:proofErr w:type="spellStart"/>
      <w:r>
        <w:t>ie</w:t>
      </w:r>
      <w:proofErr w:type="spellEnd"/>
      <w:r>
        <w:t>, both gametes will be donated)</w:t>
      </w:r>
      <w:r w:rsidRPr="0080434C">
        <w:t xml:space="preserve">, as will couples </w:t>
      </w:r>
      <w:r>
        <w:t>where</w:t>
      </w:r>
      <w:r w:rsidRPr="0080434C">
        <w:t xml:space="preserve"> both partners are infertile.</w:t>
      </w:r>
    </w:p>
    <w:p w14:paraId="0ACD277F" w14:textId="77777777" w:rsidR="0075201E" w:rsidRDefault="0075201E" w:rsidP="000E1B87">
      <w:pPr>
        <w:pStyle w:val="Number"/>
      </w:pPr>
      <w:r>
        <w:t>All gamete donors will need to be aware of the range of potential donation scenarios and what rights they will have over their donated gametes, or embryos created from those gametes. Similarly, embryo donors will need to be aware of the various donation possibilities, and what authority they will have (or not ha</w:t>
      </w:r>
      <w:r w:rsidR="000E1B87">
        <w:t>ve) in the different scenarios.</w:t>
      </w:r>
    </w:p>
    <w:p w14:paraId="0ACD2780" w14:textId="77777777" w:rsidR="0075201E" w:rsidRPr="00C44C6A" w:rsidRDefault="0075201E" w:rsidP="006B696B">
      <w:pPr>
        <w:pStyle w:val="Number"/>
        <w:keepLines/>
      </w:pPr>
      <w:r w:rsidRPr="00C44C6A">
        <w:lastRenderedPageBreak/>
        <w:t xml:space="preserve">People might have embryos created for themselves and decide to donate any unused embryos </w:t>
      </w:r>
      <w:r w:rsidR="000E1B87">
        <w:t>–</w:t>
      </w:r>
      <w:r w:rsidRPr="00C44C6A">
        <w:t xml:space="preserve"> and the recipients of those donated embryos might then choose to donate any surplus embryos</w:t>
      </w:r>
      <w:r>
        <w:t xml:space="preserve"> if either of these parties has not had children from the embryos. (ACART has kept the policy of limiting full-genetic siblings to only two families).</w:t>
      </w:r>
    </w:p>
    <w:p w14:paraId="0ACD2781" w14:textId="77777777" w:rsidR="0075201E" w:rsidRDefault="0075201E" w:rsidP="000E1B87">
      <w:pPr>
        <w:pStyle w:val="Number"/>
      </w:pPr>
      <w:r>
        <w:t>The tables in the final section set out all of the possible embryo donation scenarios, showing who is involved and who must consent in which situation (as explained below).</w:t>
      </w:r>
    </w:p>
    <w:p w14:paraId="0ACD2782" w14:textId="77777777" w:rsidR="006B696B" w:rsidRDefault="006B696B" w:rsidP="006B696B"/>
    <w:p w14:paraId="0ACD2783" w14:textId="77777777" w:rsidR="0075201E" w:rsidRPr="0093405B" w:rsidRDefault="0075201E" w:rsidP="006B696B">
      <w:pPr>
        <w:pStyle w:val="Heading2"/>
      </w:pPr>
      <w:r w:rsidRPr="0093405B">
        <w:t>Counselling will need to cover numerous scenarios and factors</w:t>
      </w:r>
    </w:p>
    <w:p w14:paraId="0ACD2784" w14:textId="77777777" w:rsidR="0075201E" w:rsidRDefault="0075201E" w:rsidP="000E1B87">
      <w:pPr>
        <w:pStyle w:val="Number"/>
      </w:pPr>
      <w:r>
        <w:t xml:space="preserve">It is important that </w:t>
      </w:r>
      <w:r w:rsidRPr="007A5248">
        <w:t>counsell</w:t>
      </w:r>
      <w:r>
        <w:t>ors</w:t>
      </w:r>
      <w:r w:rsidRPr="007A5248">
        <w:t xml:space="preserve"> explain</w:t>
      </w:r>
      <w:r>
        <w:t xml:space="preserve"> to gamete and embryo donors that </w:t>
      </w:r>
      <w:r w:rsidRPr="007A5248">
        <w:t>donation, re</w:t>
      </w:r>
      <w:r>
        <w:noBreakHyphen/>
      </w:r>
      <w:r w:rsidRPr="007A5248">
        <w:t>d</w:t>
      </w:r>
      <w:r>
        <w:t>onation and on-donation are all</w:t>
      </w:r>
      <w:r w:rsidRPr="007A5248">
        <w:t xml:space="preserve"> possible and that the gamete</w:t>
      </w:r>
      <w:r>
        <w:t xml:space="preserve"> and/or embryo </w:t>
      </w:r>
      <w:r w:rsidRPr="007A5248">
        <w:t xml:space="preserve">donors should specify conditions </w:t>
      </w:r>
      <w:r>
        <w:t xml:space="preserve">about the use of their donation </w:t>
      </w:r>
      <w:r w:rsidRPr="007A5248">
        <w:t>when they donate</w:t>
      </w:r>
      <w:r>
        <w:t>, if they have any such conditions</w:t>
      </w:r>
      <w:r w:rsidRPr="007A5248">
        <w:t>.</w:t>
      </w:r>
      <w:r>
        <w:t xml:space="preserve"> For example, gamete donors could specify that any embryos created using their gametes are not to be re-donated or on-donated</w:t>
      </w:r>
      <w:r w:rsidR="000E1B87">
        <w:t>.</w:t>
      </w:r>
    </w:p>
    <w:p w14:paraId="0ACD2785" w14:textId="77777777" w:rsidR="000E1B87" w:rsidRPr="0080434C" w:rsidRDefault="000E1B87" w:rsidP="000E1B87"/>
    <w:p w14:paraId="0ACD2786" w14:textId="77777777" w:rsidR="0075201E" w:rsidRPr="0082366D" w:rsidRDefault="0075201E" w:rsidP="0075201E">
      <w:pPr>
        <w:pStyle w:val="Heading2"/>
      </w:pPr>
      <w:r w:rsidRPr="0082366D">
        <w:t xml:space="preserve">Gamete </w:t>
      </w:r>
      <w:r>
        <w:t>donors must consider possible</w:t>
      </w:r>
      <w:r w:rsidRPr="0082366D">
        <w:t xml:space="preserve"> embryo donations</w:t>
      </w:r>
      <w:r>
        <w:t xml:space="preserve"> and can place conditions</w:t>
      </w:r>
    </w:p>
    <w:p w14:paraId="0ACD2787" w14:textId="77777777" w:rsidR="0075201E" w:rsidRDefault="0075201E" w:rsidP="000E1B87">
      <w:pPr>
        <w:pStyle w:val="Number"/>
      </w:pPr>
      <w:r>
        <w:t>Some submitters to ACART’</w:t>
      </w:r>
      <w:r w:rsidRPr="007A5248">
        <w:t>s</w:t>
      </w:r>
      <w:r>
        <w:t xml:space="preserve"> consultations</w:t>
      </w:r>
      <w:r w:rsidRPr="007A5248">
        <w:t xml:space="preserve"> asked whether gamete donors would need to have consented to the donation of embryos created from the gametes they provided. </w:t>
      </w:r>
      <w:r>
        <w:t xml:space="preserve">Some gamete donors might like to know who could use the embryos created from their </w:t>
      </w:r>
      <w:proofErr w:type="gramStart"/>
      <w:r>
        <w:t>gametes, and</w:t>
      </w:r>
      <w:proofErr w:type="gramEnd"/>
      <w:r>
        <w:t xml:space="preserve"> might be concerned </w:t>
      </w:r>
      <w:r w:rsidRPr="006101C9">
        <w:t>that</w:t>
      </w:r>
      <w:r>
        <w:t xml:space="preserve"> the intending parents</w:t>
      </w:r>
      <w:r w:rsidRPr="006E6232">
        <w:t xml:space="preserve"> </w:t>
      </w:r>
      <w:r w:rsidRPr="006101C9">
        <w:t xml:space="preserve">might </w:t>
      </w:r>
      <w:r>
        <w:t>give</w:t>
      </w:r>
      <w:r w:rsidRPr="006101C9">
        <w:t xml:space="preserve"> </w:t>
      </w:r>
      <w:r>
        <w:t>surplus</w:t>
      </w:r>
      <w:r w:rsidRPr="006101C9">
        <w:t xml:space="preserve"> embryo</w:t>
      </w:r>
      <w:r>
        <w:t>s</w:t>
      </w:r>
      <w:r w:rsidRPr="006101C9">
        <w:t xml:space="preserve"> </w:t>
      </w:r>
      <w:r>
        <w:t>to people who are unknown to the donors</w:t>
      </w:r>
      <w:r w:rsidR="000E1B87">
        <w:t>.</w:t>
      </w:r>
    </w:p>
    <w:p w14:paraId="0ACD2788" w14:textId="77777777" w:rsidR="0075201E" w:rsidRPr="0080434C" w:rsidRDefault="0075201E" w:rsidP="000E1B87">
      <w:pPr>
        <w:pStyle w:val="Number"/>
      </w:pPr>
      <w:r>
        <w:t xml:space="preserve">Embryo donation (or re-donation or on-donation) is possible in many situations. </w:t>
      </w:r>
      <w:r w:rsidRPr="006101C9">
        <w:t xml:space="preserve">ACART </w:t>
      </w:r>
      <w:r>
        <w:t>stresses the importance</w:t>
      </w:r>
      <w:r w:rsidRPr="006101C9">
        <w:t xml:space="preserve"> </w:t>
      </w:r>
      <w:r>
        <w:t>of</w:t>
      </w:r>
      <w:r w:rsidRPr="006101C9">
        <w:t xml:space="preserve"> counsell</w:t>
      </w:r>
      <w:r>
        <w:t>ors</w:t>
      </w:r>
      <w:r w:rsidRPr="006101C9">
        <w:t xml:space="preserve"> </w:t>
      </w:r>
      <w:r>
        <w:t>being clear</w:t>
      </w:r>
      <w:r w:rsidRPr="006101C9">
        <w:t xml:space="preserve"> that embryo</w:t>
      </w:r>
      <w:r>
        <w:t>s</w:t>
      </w:r>
      <w:r w:rsidRPr="006101C9">
        <w:t xml:space="preserve"> could be donated </w:t>
      </w:r>
      <w:r>
        <w:t>(</w:t>
      </w:r>
      <w:r w:rsidRPr="006101C9">
        <w:t>and possibly re-donated</w:t>
      </w:r>
      <w:r>
        <w:t xml:space="preserve"> or on-donated)</w:t>
      </w:r>
      <w:r w:rsidRPr="006101C9">
        <w:t xml:space="preserve"> and that the gamete donors will have no </w:t>
      </w:r>
      <w:r>
        <w:t xml:space="preserve">further </w:t>
      </w:r>
      <w:r w:rsidRPr="006101C9">
        <w:t xml:space="preserve">say </w:t>
      </w:r>
      <w:r>
        <w:t xml:space="preserve">in those donations </w:t>
      </w:r>
      <w:r w:rsidRPr="006101C9">
        <w:t>other than by conditions they might apply when they</w:t>
      </w:r>
      <w:r>
        <w:t xml:space="preserve"> originally</w:t>
      </w:r>
      <w:r w:rsidRPr="006101C9">
        <w:t xml:space="preserve"> donate</w:t>
      </w:r>
      <w:r>
        <w:t xml:space="preserve"> their gametes</w:t>
      </w:r>
      <w:r w:rsidRPr="006101C9">
        <w:t>.</w:t>
      </w:r>
    </w:p>
    <w:p w14:paraId="0ACD2789" w14:textId="2637C1FC" w:rsidR="0075201E" w:rsidRDefault="0075201E" w:rsidP="000E1B87">
      <w:pPr>
        <w:pStyle w:val="Number"/>
      </w:pPr>
      <w:r>
        <w:t xml:space="preserve">Gamete donors can place conditions on how their gametes can be used up until an embryo is formed (or their gametes are used for insemination). </w:t>
      </w:r>
      <w:r w:rsidRPr="00947DBE">
        <w:t>Once gametes have been used to create an embryo</w:t>
      </w:r>
      <w:r>
        <w:t>,</w:t>
      </w:r>
      <w:r w:rsidRPr="00947DBE">
        <w:t xml:space="preserve"> </w:t>
      </w:r>
      <w:r w:rsidRPr="003E066B">
        <w:t xml:space="preserve">the gamete donors have </w:t>
      </w:r>
      <w:r>
        <w:t>no further</w:t>
      </w:r>
      <w:r w:rsidRPr="003E066B">
        <w:t xml:space="preserve"> say. </w:t>
      </w:r>
      <w:r>
        <w:t>However, if gamete donors had consented before these guidelines were in use, and a new donation is planned that they had never thought of, they must be asked if they consent to the now planned use. This is</w:t>
      </w:r>
      <w:r w:rsidRPr="003E066B">
        <w:t xml:space="preserve"> the </w:t>
      </w:r>
      <w:r>
        <w:t>“</w:t>
      </w:r>
      <w:r w:rsidRPr="003E066B">
        <w:t>retrospective rule</w:t>
      </w:r>
      <w:r>
        <w:t>”</w:t>
      </w:r>
      <w:r w:rsidRPr="005D6C40">
        <w:t xml:space="preserve"> (explained below in paragraph </w:t>
      </w:r>
      <w:r w:rsidRPr="005D6C40">
        <w:rPr>
          <w:highlight w:val="yellow"/>
        </w:rPr>
        <w:fldChar w:fldCharType="begin"/>
      </w:r>
      <w:r w:rsidRPr="005D6C40">
        <w:instrText xml:space="preserve"> REF _Ref14638566 \r \h </w:instrText>
      </w:r>
      <w:r>
        <w:rPr>
          <w:highlight w:val="yellow"/>
        </w:rPr>
        <w:instrText xml:space="preserve"> \* MERGEFORMAT </w:instrText>
      </w:r>
      <w:r w:rsidRPr="005D6C40">
        <w:rPr>
          <w:highlight w:val="yellow"/>
        </w:rPr>
      </w:r>
      <w:r w:rsidRPr="005D6C40">
        <w:rPr>
          <w:highlight w:val="yellow"/>
        </w:rPr>
        <w:fldChar w:fldCharType="separate"/>
      </w:r>
      <w:r w:rsidR="002E354E">
        <w:t>25</w:t>
      </w:r>
      <w:r w:rsidRPr="005D6C40">
        <w:rPr>
          <w:highlight w:val="yellow"/>
        </w:rPr>
        <w:fldChar w:fldCharType="end"/>
      </w:r>
      <w:r w:rsidRPr="005D6C40">
        <w:t xml:space="preserve">). </w:t>
      </w:r>
      <w:r>
        <w:t>Otherwise, and generally, i</w:t>
      </w:r>
      <w:r w:rsidRPr="005D6C40">
        <w:t xml:space="preserve">t is important that gamete donors specify any conditions </w:t>
      </w:r>
      <w:r w:rsidRPr="005D6C40">
        <w:rPr>
          <w:b/>
        </w:rPr>
        <w:t>before</w:t>
      </w:r>
      <w:r w:rsidRPr="005D6C40">
        <w:t xml:space="preserve"> they make their donation.</w:t>
      </w:r>
    </w:p>
    <w:p w14:paraId="0ACD278A" w14:textId="77777777" w:rsidR="000E1B87" w:rsidRPr="005D6C40" w:rsidRDefault="000E1B87" w:rsidP="000E1B87"/>
    <w:p w14:paraId="0ACD278B" w14:textId="77777777" w:rsidR="0075201E" w:rsidRPr="00C44C6A" w:rsidRDefault="0075201E" w:rsidP="0075201E">
      <w:pPr>
        <w:pStyle w:val="Heading2"/>
        <w:rPr>
          <w:rFonts w:eastAsia="Calibri"/>
        </w:rPr>
      </w:pPr>
      <w:r>
        <w:rPr>
          <w:rFonts w:eastAsia="Calibri"/>
        </w:rPr>
        <w:lastRenderedPageBreak/>
        <w:t>A</w:t>
      </w:r>
      <w:r w:rsidRPr="00C44C6A">
        <w:rPr>
          <w:rFonts w:eastAsia="Calibri"/>
        </w:rPr>
        <w:t xml:space="preserve">uthority </w:t>
      </w:r>
      <w:r>
        <w:rPr>
          <w:rFonts w:eastAsia="Calibri"/>
        </w:rPr>
        <w:t xml:space="preserve">over embryos usually </w:t>
      </w:r>
      <w:r w:rsidRPr="00C44C6A">
        <w:rPr>
          <w:rFonts w:eastAsia="Calibri"/>
        </w:rPr>
        <w:t>rests with the original intending parents</w:t>
      </w:r>
    </w:p>
    <w:p w14:paraId="0ACD278C" w14:textId="77777777" w:rsidR="0075201E" w:rsidRDefault="0075201E" w:rsidP="000E1B87">
      <w:pPr>
        <w:pStyle w:val="Number"/>
      </w:pPr>
      <w:r>
        <w:t xml:space="preserve">Recipients of donated embryos must be aware that the authority over those embryos rests with the original intending parents. This is the case now and will continue to </w:t>
      </w:r>
      <w:r w:rsidR="000E1B87">
        <w:t>be under the new guidelines.</w:t>
      </w:r>
    </w:p>
    <w:p w14:paraId="0ACD278D" w14:textId="77777777" w:rsidR="0075201E" w:rsidRDefault="0075201E" w:rsidP="000E1B87">
      <w:pPr>
        <w:pStyle w:val="Number"/>
      </w:pPr>
      <w:r>
        <w:t>T</w:t>
      </w:r>
      <w:r w:rsidRPr="00C44C6A">
        <w:t>he original intending parents might choose to re-donate the embryos to another recipient</w:t>
      </w:r>
      <w:r>
        <w:t xml:space="preserve"> (providing the two-family limit would not be breached)</w:t>
      </w:r>
      <w:r w:rsidRPr="00C44C6A">
        <w:t>.</w:t>
      </w:r>
      <w:r>
        <w:t xml:space="preserve"> The recipients of the donated embryos do not have the authority to stop such a re-donation except in cases where they have had children from embryos that would be full-genetic siblings to the children that would be born from the re-donation; this situation is described further in the next section.</w:t>
      </w:r>
    </w:p>
    <w:p w14:paraId="0ACD278E" w14:textId="77777777" w:rsidR="000E1B87" w:rsidRPr="00C44C6A" w:rsidRDefault="000E1B87" w:rsidP="000E1B87"/>
    <w:p w14:paraId="0ACD278F" w14:textId="77777777" w:rsidR="0075201E" w:rsidRPr="00604AD3" w:rsidRDefault="0075201E" w:rsidP="0075201E">
      <w:pPr>
        <w:pStyle w:val="Heading2"/>
        <w:rPr>
          <w:rFonts w:eastAsia="Calibri"/>
        </w:rPr>
      </w:pPr>
      <w:r w:rsidRPr="00604AD3">
        <w:rPr>
          <w:rFonts w:eastAsia="Calibri"/>
        </w:rPr>
        <w:t>Authority over embryos</w:t>
      </w:r>
      <w:r>
        <w:rPr>
          <w:rFonts w:eastAsia="Calibri"/>
        </w:rPr>
        <w:t>: in one scenario it rests with recipients</w:t>
      </w:r>
    </w:p>
    <w:p w14:paraId="0ACD2790" w14:textId="77777777" w:rsidR="0075201E" w:rsidRDefault="0075201E" w:rsidP="000E1B87">
      <w:pPr>
        <w:pStyle w:val="Number"/>
        <w:rPr>
          <w:rFonts w:eastAsia="Calibri"/>
        </w:rPr>
      </w:pPr>
      <w:r w:rsidRPr="00441BE9">
        <w:rPr>
          <w:rFonts w:eastAsia="Calibri"/>
        </w:rPr>
        <w:t>In most cases</w:t>
      </w:r>
      <w:r>
        <w:rPr>
          <w:rFonts w:eastAsia="Calibri"/>
        </w:rPr>
        <w:t>,</w:t>
      </w:r>
      <w:r w:rsidRPr="00441BE9">
        <w:rPr>
          <w:rFonts w:eastAsia="Calibri"/>
        </w:rPr>
        <w:t xml:space="preserve"> the authority to decide what happens to an embryo rests with the person</w:t>
      </w:r>
      <w:r>
        <w:rPr>
          <w:rFonts w:eastAsia="Calibri"/>
        </w:rPr>
        <w:t xml:space="preserve"> or </w:t>
      </w:r>
      <w:r w:rsidRPr="00441BE9">
        <w:rPr>
          <w:rFonts w:eastAsia="Calibri"/>
        </w:rPr>
        <w:t xml:space="preserve">couple who had the embryos created for their own use. However, in the particular scenario set out below, the authority over embryos rests with the </w:t>
      </w:r>
      <w:r w:rsidRPr="006D4BD4">
        <w:rPr>
          <w:rFonts w:eastAsia="Calibri"/>
          <w:b/>
        </w:rPr>
        <w:t>recipients</w:t>
      </w:r>
      <w:r w:rsidRPr="00441BE9">
        <w:rPr>
          <w:rFonts w:eastAsia="Calibri"/>
        </w:rPr>
        <w:t xml:space="preserve"> of </w:t>
      </w:r>
      <w:r>
        <w:rPr>
          <w:rFonts w:eastAsia="Calibri"/>
        </w:rPr>
        <w:t xml:space="preserve">the </w:t>
      </w:r>
      <w:r w:rsidR="000E1B87">
        <w:rPr>
          <w:rFonts w:eastAsia="Calibri"/>
        </w:rPr>
        <w:t>donated embryos.</w:t>
      </w:r>
    </w:p>
    <w:p w14:paraId="0ACD2791" w14:textId="77777777" w:rsidR="0075201E" w:rsidRPr="002D251E" w:rsidRDefault="0075201E" w:rsidP="000E1B87">
      <w:pPr>
        <w:pStyle w:val="Number"/>
        <w:rPr>
          <w:rFonts w:eastAsia="Calibri"/>
        </w:rPr>
      </w:pPr>
      <w:r w:rsidRPr="002D251E">
        <w:rPr>
          <w:rFonts w:eastAsia="Calibri"/>
        </w:rPr>
        <w:t>Specifically, if the:</w:t>
      </w:r>
    </w:p>
    <w:p w14:paraId="0ACD2792" w14:textId="77777777" w:rsidR="0075201E" w:rsidRPr="00061E15" w:rsidRDefault="0075201E" w:rsidP="000E1B87">
      <w:pPr>
        <w:pStyle w:val="Letter"/>
        <w:rPr>
          <w:rFonts w:eastAsia="Calibri"/>
        </w:rPr>
      </w:pPr>
      <w:r w:rsidRPr="002D251E">
        <w:rPr>
          <w:rFonts w:eastAsia="Calibri"/>
        </w:rPr>
        <w:t xml:space="preserve">original intending parents did not have a child that would be a genetic sibling to a child born from the donated embryo </w:t>
      </w:r>
      <w:r w:rsidRPr="002D251E">
        <w:rPr>
          <w:rFonts w:eastAsia="Calibri"/>
          <w:b/>
        </w:rPr>
        <w:t>and</w:t>
      </w:r>
    </w:p>
    <w:p w14:paraId="0ACD2793" w14:textId="77777777" w:rsidR="0075201E" w:rsidRPr="00061E15" w:rsidRDefault="0075201E" w:rsidP="000E1B87">
      <w:pPr>
        <w:pStyle w:val="Letter"/>
        <w:rPr>
          <w:rFonts w:eastAsia="Calibri"/>
        </w:rPr>
      </w:pPr>
      <w:r w:rsidRPr="002D251E">
        <w:rPr>
          <w:rFonts w:eastAsia="Calibri"/>
        </w:rPr>
        <w:t xml:space="preserve">original intending parents did not have any gametes in the embryos </w:t>
      </w:r>
      <w:r w:rsidRPr="002D251E">
        <w:rPr>
          <w:rFonts w:eastAsia="Calibri"/>
          <w:b/>
        </w:rPr>
        <w:t>and</w:t>
      </w:r>
    </w:p>
    <w:p w14:paraId="0ACD2794" w14:textId="77777777" w:rsidR="0075201E" w:rsidRPr="002D251E" w:rsidRDefault="0075201E" w:rsidP="000E1B87">
      <w:pPr>
        <w:pStyle w:val="Letter"/>
        <w:rPr>
          <w:rFonts w:eastAsia="Calibri"/>
        </w:rPr>
      </w:pPr>
      <w:r w:rsidRPr="002D251E">
        <w:rPr>
          <w:rFonts w:eastAsia="Calibri"/>
        </w:rPr>
        <w:t xml:space="preserve">recipients did have a child that would be so related, </w:t>
      </w:r>
      <w:r w:rsidRPr="002D251E">
        <w:rPr>
          <w:rFonts w:eastAsia="Calibri"/>
          <w:b/>
        </w:rPr>
        <w:t>then</w:t>
      </w:r>
    </w:p>
    <w:p w14:paraId="0ACD2795" w14:textId="77777777" w:rsidR="0075201E" w:rsidRDefault="0075201E" w:rsidP="000E1B87">
      <w:pPr>
        <w:spacing w:before="120"/>
        <w:ind w:left="567"/>
        <w:rPr>
          <w:rFonts w:eastAsia="Calibri"/>
        </w:rPr>
      </w:pPr>
      <w:r w:rsidRPr="00061E15">
        <w:rPr>
          <w:rFonts w:eastAsia="Calibri"/>
        </w:rPr>
        <w:t>the authority to consent to the embryo donation rests with these recipients</w:t>
      </w:r>
      <w:r w:rsidR="000E1B87">
        <w:rPr>
          <w:rFonts w:eastAsia="Calibri"/>
        </w:rPr>
        <w:t>.</w:t>
      </w:r>
    </w:p>
    <w:p w14:paraId="0ACD2796" w14:textId="77777777" w:rsidR="000E1B87" w:rsidRPr="00977506" w:rsidRDefault="000E1B87" w:rsidP="000E1B87">
      <w:pPr>
        <w:rPr>
          <w:rFonts w:eastAsia="Calibri"/>
        </w:rPr>
      </w:pPr>
    </w:p>
    <w:p w14:paraId="0ACD2797" w14:textId="77777777" w:rsidR="0075201E" w:rsidRDefault="0075201E" w:rsidP="0075201E">
      <w:pPr>
        <w:pStyle w:val="Heading2"/>
        <w:rPr>
          <w:rFonts w:eastAsia="Calibri"/>
        </w:rPr>
      </w:pPr>
      <w:r>
        <w:rPr>
          <w:rFonts w:eastAsia="Calibri"/>
        </w:rPr>
        <w:t>Joint agreement needed if recipients had a child and the embryo don</w:t>
      </w:r>
      <w:r w:rsidR="000E1B87">
        <w:rPr>
          <w:rFonts w:eastAsia="Calibri"/>
        </w:rPr>
        <w:t>ors had gametes in the embryos</w:t>
      </w:r>
    </w:p>
    <w:p w14:paraId="0ACD2798" w14:textId="77777777" w:rsidR="0075201E" w:rsidRDefault="0075201E" w:rsidP="000E1B87">
      <w:pPr>
        <w:pStyle w:val="Number"/>
        <w:rPr>
          <w:rFonts w:eastAsia="Calibri"/>
        </w:rPr>
      </w:pPr>
      <w:r w:rsidRPr="00697D58">
        <w:rPr>
          <w:rFonts w:eastAsia="Calibri"/>
        </w:rPr>
        <w:t xml:space="preserve">If </w:t>
      </w:r>
      <w:r>
        <w:rPr>
          <w:rFonts w:eastAsia="Calibri"/>
        </w:rPr>
        <w:t xml:space="preserve">the </w:t>
      </w:r>
      <w:r w:rsidRPr="00697D58">
        <w:rPr>
          <w:rFonts w:eastAsia="Calibri"/>
        </w:rPr>
        <w:t xml:space="preserve">recipients </w:t>
      </w:r>
      <w:r>
        <w:rPr>
          <w:rFonts w:eastAsia="Calibri"/>
        </w:rPr>
        <w:t xml:space="preserve">of donated embryos have </w:t>
      </w:r>
      <w:r w:rsidRPr="00697D58">
        <w:rPr>
          <w:rFonts w:eastAsia="Calibri"/>
        </w:rPr>
        <w:t xml:space="preserve">had a child and the embryo donors </w:t>
      </w:r>
      <w:r>
        <w:rPr>
          <w:rFonts w:eastAsia="Calibri"/>
        </w:rPr>
        <w:t xml:space="preserve">(who did not have a child) </w:t>
      </w:r>
      <w:r w:rsidRPr="00697D58">
        <w:rPr>
          <w:rFonts w:eastAsia="Calibri"/>
        </w:rPr>
        <w:t>had gametes in the embr</w:t>
      </w:r>
      <w:r>
        <w:rPr>
          <w:rFonts w:eastAsia="Calibri"/>
        </w:rPr>
        <w:t>yos to be donated, then both par</w:t>
      </w:r>
      <w:r w:rsidRPr="00697D58">
        <w:rPr>
          <w:rFonts w:eastAsia="Calibri"/>
        </w:rPr>
        <w:t xml:space="preserve">ties would need to agree to a donation as </w:t>
      </w:r>
      <w:r>
        <w:rPr>
          <w:rFonts w:eastAsia="Calibri"/>
        </w:rPr>
        <w:t>both parties would have an interest in the consequences of the donation.</w:t>
      </w:r>
    </w:p>
    <w:p w14:paraId="0ACD2799" w14:textId="77777777" w:rsidR="000E1B87" w:rsidRDefault="000E1B87" w:rsidP="000E1B87">
      <w:pPr>
        <w:rPr>
          <w:rFonts w:eastAsia="Calibri"/>
        </w:rPr>
      </w:pPr>
    </w:p>
    <w:p w14:paraId="0ACD279A" w14:textId="77777777" w:rsidR="0075201E" w:rsidRPr="007C780B" w:rsidRDefault="0075201E" w:rsidP="0075201E">
      <w:pPr>
        <w:pStyle w:val="Heading2"/>
        <w:rPr>
          <w:rFonts w:eastAsia="Calibri"/>
        </w:rPr>
      </w:pPr>
      <w:r>
        <w:rPr>
          <w:rFonts w:eastAsia="Calibri"/>
        </w:rPr>
        <w:lastRenderedPageBreak/>
        <w:t>The o</w:t>
      </w:r>
      <w:r w:rsidRPr="007C780B">
        <w:rPr>
          <w:rFonts w:eastAsia="Calibri"/>
        </w:rPr>
        <w:t>riginal intending parents might later have a child</w:t>
      </w:r>
    </w:p>
    <w:p w14:paraId="0ACD279B" w14:textId="77777777" w:rsidR="0075201E" w:rsidRDefault="0075201E" w:rsidP="00501A57">
      <w:pPr>
        <w:pStyle w:val="Number"/>
        <w:keepNext/>
        <w:rPr>
          <w:rFonts w:eastAsia="Calibri"/>
        </w:rPr>
      </w:pPr>
      <w:r>
        <w:rPr>
          <w:rFonts w:eastAsia="Calibri"/>
        </w:rPr>
        <w:t>It is also possible that original intending parents will:</w:t>
      </w:r>
    </w:p>
    <w:p w14:paraId="0ACD279C" w14:textId="77777777" w:rsidR="0075201E" w:rsidRDefault="0075201E" w:rsidP="00501A57">
      <w:pPr>
        <w:pStyle w:val="Letter"/>
        <w:keepNext/>
        <w:rPr>
          <w:rFonts w:eastAsia="Calibri"/>
        </w:rPr>
      </w:pPr>
      <w:r>
        <w:rPr>
          <w:rFonts w:eastAsia="Calibri"/>
        </w:rPr>
        <w:t xml:space="preserve">not have children initially </w:t>
      </w:r>
      <w:r w:rsidRPr="00C44C6A">
        <w:rPr>
          <w:rFonts w:eastAsia="Calibri"/>
        </w:rPr>
        <w:t>and</w:t>
      </w:r>
    </w:p>
    <w:p w14:paraId="0ACD279D" w14:textId="77777777" w:rsidR="0075201E" w:rsidRDefault="0075201E" w:rsidP="00501A57">
      <w:pPr>
        <w:pStyle w:val="Letter"/>
        <w:keepNext/>
        <w:rPr>
          <w:rFonts w:eastAsia="Calibri"/>
        </w:rPr>
      </w:pPr>
      <w:r>
        <w:rPr>
          <w:rFonts w:eastAsia="Calibri"/>
        </w:rPr>
        <w:t>donate surplus embryos to recipients and</w:t>
      </w:r>
    </w:p>
    <w:p w14:paraId="0ACD279E" w14:textId="77777777" w:rsidR="0075201E" w:rsidRDefault="0075201E" w:rsidP="000E1B87">
      <w:pPr>
        <w:pStyle w:val="Letter"/>
        <w:rPr>
          <w:rFonts w:eastAsia="Calibri"/>
        </w:rPr>
      </w:pPr>
      <w:r w:rsidRPr="00C44C6A">
        <w:rPr>
          <w:rFonts w:eastAsia="Calibri"/>
        </w:rPr>
        <w:t>subsequently</w:t>
      </w:r>
      <w:r>
        <w:rPr>
          <w:rFonts w:eastAsia="Calibri"/>
        </w:rPr>
        <w:t xml:space="preserve"> have a child that would be a full genetic sibling to any child born </w:t>
      </w:r>
      <w:r w:rsidR="000E1B87">
        <w:rPr>
          <w:rFonts w:eastAsia="Calibri"/>
        </w:rPr>
        <w:t>of the already donated embryos.</w:t>
      </w:r>
    </w:p>
    <w:p w14:paraId="0ACD279F" w14:textId="77777777" w:rsidR="0075201E" w:rsidRDefault="0075201E" w:rsidP="000E1B87">
      <w:pPr>
        <w:pStyle w:val="Number"/>
      </w:pPr>
      <w:r w:rsidRPr="00C44C6A">
        <w:t>If this were to happen</w:t>
      </w:r>
      <w:r>
        <w:t>,</w:t>
      </w:r>
      <w:r w:rsidRPr="00C44C6A">
        <w:t xml:space="preserve"> and the recipients have had a child, then</w:t>
      </w:r>
      <w:r w:rsidRPr="00496740">
        <w:t xml:space="preserve"> </w:t>
      </w:r>
      <w:r>
        <w:t>n</w:t>
      </w:r>
      <w:r w:rsidRPr="00C44C6A">
        <w:t xml:space="preserve">either party could </w:t>
      </w:r>
      <w:r>
        <w:t>make any</w:t>
      </w:r>
      <w:r w:rsidRPr="00C44C6A">
        <w:t xml:space="preserve"> further donations as the two</w:t>
      </w:r>
      <w:r>
        <w:t>-</w:t>
      </w:r>
      <w:r w:rsidRPr="00C44C6A">
        <w:t>family limit for full</w:t>
      </w:r>
      <w:r>
        <w:t>-genetic</w:t>
      </w:r>
      <w:r w:rsidRPr="00C44C6A">
        <w:t xml:space="preserve"> siblings would have been reached</w:t>
      </w:r>
      <w:r w:rsidR="000E1B87">
        <w:t>.</w:t>
      </w:r>
    </w:p>
    <w:p w14:paraId="0ACD27A0" w14:textId="77777777" w:rsidR="000E1B87" w:rsidRPr="00C44C6A" w:rsidRDefault="000E1B87" w:rsidP="000E1B87"/>
    <w:p w14:paraId="0ACD27A1" w14:textId="77777777" w:rsidR="0075201E" w:rsidRPr="00690502" w:rsidRDefault="0075201E" w:rsidP="0075201E">
      <w:pPr>
        <w:pStyle w:val="Heading2"/>
        <w:rPr>
          <w:rFonts w:eastAsia="Calibri"/>
        </w:rPr>
      </w:pPr>
      <w:r>
        <w:rPr>
          <w:rFonts w:eastAsia="Calibri"/>
        </w:rPr>
        <w:t>T</w:t>
      </w:r>
      <w:r w:rsidRPr="00690502">
        <w:rPr>
          <w:rFonts w:eastAsia="Calibri"/>
        </w:rPr>
        <w:t>he retrospective rule</w:t>
      </w:r>
    </w:p>
    <w:p w14:paraId="0ACD27A2" w14:textId="77777777" w:rsidR="0075201E" w:rsidRDefault="0075201E" w:rsidP="000E1B87">
      <w:pPr>
        <w:pStyle w:val="Number"/>
      </w:pPr>
      <w:r w:rsidRPr="00604AD3">
        <w:t>As is the case now, gamete donors will be able to change or withdraw their consent up to the point the gamete</w:t>
      </w:r>
      <w:r w:rsidR="000E1B87">
        <w:t>s are used to create an embryo.</w:t>
      </w:r>
    </w:p>
    <w:p w14:paraId="0ACD27A3" w14:textId="77777777" w:rsidR="0075201E" w:rsidRPr="00420E18" w:rsidRDefault="0075201E" w:rsidP="000E1B87">
      <w:pPr>
        <w:pStyle w:val="Number"/>
      </w:pPr>
      <w:bookmarkStart w:id="3" w:name="_Ref14638566"/>
      <w:r>
        <w:t>B</w:t>
      </w:r>
      <w:r w:rsidRPr="00604AD3">
        <w:t>ecause</w:t>
      </w:r>
      <w:r>
        <w:t xml:space="preserve"> rescinding the mandatory biological link</w:t>
      </w:r>
      <w:r w:rsidRPr="00604AD3">
        <w:t xml:space="preserve"> </w:t>
      </w:r>
      <w:r>
        <w:t>has produced</w:t>
      </w:r>
      <w:r w:rsidRPr="00604AD3">
        <w:t xml:space="preserve"> new donation scenarios</w:t>
      </w:r>
      <w:r>
        <w:t xml:space="preserve">, </w:t>
      </w:r>
      <w:r w:rsidRPr="00604AD3">
        <w:t xml:space="preserve">ACART has introduced a provision to cover </w:t>
      </w:r>
      <w:r>
        <w:t xml:space="preserve">the </w:t>
      </w:r>
      <w:r w:rsidRPr="00604AD3">
        <w:t xml:space="preserve">potential retrospective effects of the new guidelines. </w:t>
      </w:r>
      <w:r>
        <w:t xml:space="preserve">Specifically, </w:t>
      </w:r>
      <w:r w:rsidRPr="00420E18">
        <w:t xml:space="preserve">when a person or </w:t>
      </w:r>
      <w:r>
        <w:t>people</w:t>
      </w:r>
      <w:r w:rsidRPr="00420E18">
        <w:t xml:space="preserve"> had donated gametes or embryos before these new guidelines were issued</w:t>
      </w:r>
      <w:r>
        <w:t>,</w:t>
      </w:r>
      <w:r w:rsidRPr="00420E18">
        <w:t xml:space="preserve"> and a procedure is now intended that had not been possible under the previous guidelines, the </w:t>
      </w:r>
      <w:r>
        <w:t xml:space="preserve">gamete </w:t>
      </w:r>
      <w:r w:rsidRPr="00420E18">
        <w:t>donors must give new consent.</w:t>
      </w:r>
      <w:bookmarkEnd w:id="3"/>
    </w:p>
    <w:p w14:paraId="0ACD27A4" w14:textId="77777777" w:rsidR="0075201E" w:rsidRDefault="0075201E" w:rsidP="000E1B87">
      <w:pPr>
        <w:pStyle w:val="Number"/>
      </w:pPr>
      <w:r w:rsidRPr="00604AD3">
        <w:t>This requirement</w:t>
      </w:r>
      <w:r>
        <w:t xml:space="preserve"> for a new consent </w:t>
      </w:r>
      <w:r w:rsidRPr="00604AD3">
        <w:t xml:space="preserve">applies even when </w:t>
      </w:r>
      <w:r>
        <w:t xml:space="preserve">embryos have been created from the </w:t>
      </w:r>
      <w:r w:rsidRPr="00604AD3">
        <w:t>donated gametes under the previous guidelines because the gamete donors might not have considered or consented to the use of the embryo that is now intended.</w:t>
      </w:r>
    </w:p>
    <w:p w14:paraId="0ACD27A5" w14:textId="77777777" w:rsidR="000E1B87" w:rsidRPr="00604AD3" w:rsidRDefault="000E1B87" w:rsidP="000E1B87"/>
    <w:p w14:paraId="0ACD27A6" w14:textId="77777777" w:rsidR="0075201E" w:rsidRPr="00F0640E" w:rsidRDefault="0075201E" w:rsidP="0075201E">
      <w:pPr>
        <w:pStyle w:val="Heading2"/>
      </w:pPr>
      <w:r>
        <w:t xml:space="preserve">Embryo donors will have </w:t>
      </w:r>
      <w:r w:rsidRPr="00F0640E">
        <w:t>no legal rights</w:t>
      </w:r>
      <w:r>
        <w:t xml:space="preserve"> over the offspring</w:t>
      </w:r>
    </w:p>
    <w:p w14:paraId="0ACD27A7" w14:textId="77777777" w:rsidR="0075201E" w:rsidRPr="000E1B87" w:rsidRDefault="0075201E" w:rsidP="000E1B87">
      <w:pPr>
        <w:pStyle w:val="Number"/>
      </w:pPr>
      <w:r>
        <w:rPr>
          <w:rFonts w:eastAsia="Calibri"/>
        </w:rPr>
        <w:t>It is particularly important that clinics and counsellors</w:t>
      </w:r>
      <w:r w:rsidRPr="00947DBE">
        <w:rPr>
          <w:rFonts w:eastAsia="Calibri"/>
        </w:rPr>
        <w:t xml:space="preserve"> advise embryo donors that they will have no legal rights over the resulting children.</w:t>
      </w:r>
      <w:r>
        <w:rPr>
          <w:rFonts w:eastAsia="Calibri"/>
        </w:rPr>
        <w:t xml:space="preserve"> The birth mother (and any partner) or the adopting parent(s) in surrogacy cases will be the legal parents of the child and have sole parental rights.</w:t>
      </w:r>
    </w:p>
    <w:p w14:paraId="0ACD27A8" w14:textId="77777777" w:rsidR="000E1B87" w:rsidRDefault="000E1B87" w:rsidP="000E1B87"/>
    <w:p w14:paraId="0ACD27A9" w14:textId="77777777" w:rsidR="0075201E" w:rsidRPr="00947DBE" w:rsidRDefault="0075201E" w:rsidP="0075201E">
      <w:pPr>
        <w:pStyle w:val="Heading1"/>
        <w:rPr>
          <w:rFonts w:eastAsia="Calibri"/>
        </w:rPr>
      </w:pPr>
      <w:r>
        <w:rPr>
          <w:rFonts w:eastAsia="Calibri"/>
        </w:rPr>
        <w:lastRenderedPageBreak/>
        <w:t>Surrogacy</w:t>
      </w:r>
    </w:p>
    <w:p w14:paraId="0ACD27AA" w14:textId="77777777" w:rsidR="0075201E" w:rsidRPr="00947DBE" w:rsidRDefault="0075201E" w:rsidP="0075201E">
      <w:pPr>
        <w:pStyle w:val="Heading2"/>
        <w:rPr>
          <w:rFonts w:eastAsia="Calibri"/>
        </w:rPr>
      </w:pPr>
      <w:r w:rsidRPr="00947DBE">
        <w:rPr>
          <w:rFonts w:eastAsia="Calibri"/>
        </w:rPr>
        <w:t>All parties must consider how their residency will affect relationships in the future</w:t>
      </w:r>
    </w:p>
    <w:p w14:paraId="0ACD27AB" w14:textId="77777777" w:rsidR="0075201E" w:rsidRPr="00B51CBA" w:rsidRDefault="0075201E" w:rsidP="000E1B87">
      <w:pPr>
        <w:pStyle w:val="Number"/>
      </w:pPr>
      <w:r>
        <w:t xml:space="preserve">With the removal of the mandatory biological link, it is now possible for intending parents to </w:t>
      </w:r>
      <w:r w:rsidRPr="005B72CE">
        <w:rPr>
          <w:rFonts w:eastAsia="Calibri"/>
        </w:rPr>
        <w:t>have</w:t>
      </w:r>
      <w:r>
        <w:t xml:space="preserve"> a child, with no genetic link to them, gestated by a surrogate. Although this enables more people to have children and more women to act as surrogates, it also creates certain risks</w:t>
      </w:r>
      <w:r w:rsidR="000E1B87">
        <w:t>.</w:t>
      </w:r>
    </w:p>
    <w:p w14:paraId="0ACD27AC" w14:textId="77777777" w:rsidR="0075201E" w:rsidRPr="005B72CE" w:rsidRDefault="0075201E" w:rsidP="000E1B87">
      <w:pPr>
        <w:pStyle w:val="Number"/>
        <w:rPr>
          <w:rFonts w:eastAsia="Calibri"/>
        </w:rPr>
      </w:pPr>
      <w:r w:rsidRPr="005B72CE">
        <w:rPr>
          <w:rFonts w:eastAsia="Calibri"/>
        </w:rPr>
        <w:t>Consequently, ACART has introduced the provision that all parties to the surrogacy must have considered the future residency of those parties. This requirement will ensure the parties have plans in place to protect the wellbeing of the offspring and the adult parties. The provision will give ECART the scope to consider whether the residency plans will make such protections available.</w:t>
      </w:r>
    </w:p>
    <w:p w14:paraId="0ACD27AD" w14:textId="77777777" w:rsidR="0075201E" w:rsidRDefault="0075201E" w:rsidP="000E1B87">
      <w:pPr>
        <w:pStyle w:val="Number"/>
        <w:rPr>
          <w:rFonts w:eastAsia="Calibri"/>
        </w:rPr>
      </w:pPr>
      <w:r w:rsidRPr="005B72CE">
        <w:rPr>
          <w:rFonts w:eastAsia="Calibri"/>
        </w:rPr>
        <w:t>ACART acknowledges that in surrogacy arrangements involving other countries</w:t>
      </w:r>
      <w:r>
        <w:rPr>
          <w:rFonts w:eastAsia="Calibri"/>
        </w:rPr>
        <w:t>,</w:t>
      </w:r>
      <w:r w:rsidRPr="005B72CE">
        <w:rPr>
          <w:rFonts w:eastAsia="Calibri"/>
        </w:rPr>
        <w:t xml:space="preserve"> it could be more difficult to safeguard the wellbeing of all the parties. Consequently, it is important that ECART elicit</w:t>
      </w:r>
      <w:r>
        <w:rPr>
          <w:rFonts w:eastAsia="Calibri"/>
        </w:rPr>
        <w:t>s</w:t>
      </w:r>
      <w:r w:rsidRPr="005B72CE">
        <w:rPr>
          <w:rFonts w:eastAsia="Calibri"/>
        </w:rPr>
        <w:t xml:space="preserve"> as much information as needed to </w:t>
      </w:r>
      <w:r>
        <w:rPr>
          <w:rFonts w:eastAsia="Calibri"/>
        </w:rPr>
        <w:t>establish that</w:t>
      </w:r>
      <w:r w:rsidRPr="005B72CE">
        <w:rPr>
          <w:rFonts w:eastAsia="Calibri"/>
        </w:rPr>
        <w:t xml:space="preserve"> the residency plans are sufficient to ensure the child will not be stateless, and the parties can maintain contact with one another.</w:t>
      </w:r>
    </w:p>
    <w:p w14:paraId="0ACD27AE" w14:textId="77777777" w:rsidR="0075201E" w:rsidRDefault="0075201E" w:rsidP="006B696B">
      <w:pPr>
        <w:pStyle w:val="Number"/>
        <w:rPr>
          <w:rFonts w:eastAsia="Calibri"/>
        </w:rPr>
      </w:pPr>
      <w:r>
        <w:rPr>
          <w:rFonts w:eastAsia="Calibri"/>
        </w:rPr>
        <w:t>The guidelines include a mandatory requirement that all parties to a surrogacy must obtain legal advice. ACART anticipates that the legal advice should include information about the rights (or absence of such rights) of the child to be a New Zealand citizen depending on the citizenship of the surrogate (birth mother).</w:t>
      </w:r>
    </w:p>
    <w:p w14:paraId="0ACD27AF" w14:textId="77777777" w:rsidR="0075201E" w:rsidRDefault="0075201E" w:rsidP="000E1B87">
      <w:pPr>
        <w:pStyle w:val="Number"/>
        <w:rPr>
          <w:rFonts w:eastAsia="Calibri"/>
        </w:rPr>
      </w:pPr>
      <w:proofErr w:type="spellStart"/>
      <w:r>
        <w:rPr>
          <w:rFonts w:eastAsia="Calibri"/>
        </w:rPr>
        <w:t>Oranga</w:t>
      </w:r>
      <w:proofErr w:type="spellEnd"/>
      <w:r>
        <w:rPr>
          <w:rFonts w:eastAsia="Calibri"/>
        </w:rPr>
        <w:t xml:space="preserve"> Tamariki’s website sets out the matters the </w:t>
      </w:r>
      <w:r w:rsidRPr="001B7B9C">
        <w:rPr>
          <w:rFonts w:eastAsia="Calibri"/>
        </w:rPr>
        <w:t xml:space="preserve">Minister </w:t>
      </w:r>
      <w:r>
        <w:rPr>
          <w:rFonts w:eastAsia="Calibri"/>
        </w:rPr>
        <w:t xml:space="preserve">of Immigration </w:t>
      </w:r>
      <w:r w:rsidRPr="001B7B9C">
        <w:rPr>
          <w:rFonts w:eastAsia="Calibri"/>
        </w:rPr>
        <w:t>may consider when deciding whether to grant citizenship</w:t>
      </w:r>
      <w:r>
        <w:rPr>
          <w:rFonts w:eastAsia="Calibri"/>
        </w:rPr>
        <w:t xml:space="preserve"> to an individual</w:t>
      </w:r>
      <w:r w:rsidRPr="001B7B9C">
        <w:rPr>
          <w:rFonts w:eastAsia="Calibri"/>
        </w:rPr>
        <w:t>.</w:t>
      </w:r>
      <w:r>
        <w:rPr>
          <w:rFonts w:eastAsia="Calibri"/>
        </w:rPr>
        <w:t xml:space="preserve"> See:</w:t>
      </w:r>
      <w:r w:rsidRPr="00A20B0F">
        <w:t xml:space="preserve"> </w:t>
      </w:r>
      <w:hyperlink r:id="rId8" w:history="1">
        <w:r w:rsidRPr="000E1B87">
          <w:rPr>
            <w:rStyle w:val="Hyperlink"/>
            <w:rFonts w:eastAsia="Calibri"/>
          </w:rPr>
          <w:t>https://www.orangatamariki.govt.nz/assets/Uploads/Adoptions/Surrogacy-and-adoption/2020-Information-Fact-Sheet-International-Surrogacy.pdf</w:t>
        </w:r>
      </w:hyperlink>
      <w:r w:rsidR="000E1B87">
        <w:rPr>
          <w:rStyle w:val="Hyperlink"/>
          <w:rFonts w:eastAsia="Calibri" w:cs="Arial"/>
        </w:rPr>
        <w:t>.</w:t>
      </w:r>
    </w:p>
    <w:p w14:paraId="0ACD27B0" w14:textId="77777777" w:rsidR="0075201E" w:rsidRPr="001B7B9C" w:rsidRDefault="0075201E" w:rsidP="000E1B87">
      <w:pPr>
        <w:rPr>
          <w:rFonts w:eastAsia="Calibri"/>
        </w:rPr>
      </w:pPr>
    </w:p>
    <w:p w14:paraId="0ACD27B1" w14:textId="77777777" w:rsidR="0075201E" w:rsidRPr="00947DBE" w:rsidRDefault="0075201E" w:rsidP="0075201E">
      <w:pPr>
        <w:pStyle w:val="Heading1"/>
        <w:rPr>
          <w:rFonts w:eastAsia="Calibri"/>
        </w:rPr>
      </w:pPr>
      <w:r w:rsidRPr="00947DBE">
        <w:rPr>
          <w:rFonts w:eastAsia="Calibri"/>
        </w:rPr>
        <w:lastRenderedPageBreak/>
        <w:t>Family gamete donations</w:t>
      </w:r>
    </w:p>
    <w:p w14:paraId="0ACD27B2" w14:textId="77777777" w:rsidR="0075201E" w:rsidRDefault="0075201E" w:rsidP="00501A57">
      <w:pPr>
        <w:pStyle w:val="Number"/>
        <w:keepNext/>
        <w:rPr>
          <w:rFonts w:eastAsia="Calibri"/>
        </w:rPr>
      </w:pPr>
      <w:r>
        <w:rPr>
          <w:rFonts w:eastAsia="Calibri"/>
        </w:rPr>
        <w:t>Gamete donations between certain family members can create a greater potential for one party to exert an undue influence over another. Also, depending on who is donating what to whom, there can be a greater risk of intergenerational complexity than would occur with gametes from a non-family member.</w:t>
      </w:r>
    </w:p>
    <w:p w14:paraId="0ACD27B3" w14:textId="77777777" w:rsidR="0075201E" w:rsidRPr="00947DBE" w:rsidRDefault="0075201E" w:rsidP="00501A57">
      <w:pPr>
        <w:pStyle w:val="Number"/>
        <w:keepNext/>
        <w:rPr>
          <w:rFonts w:eastAsia="Calibri"/>
        </w:rPr>
      </w:pPr>
      <w:r w:rsidRPr="00947DBE">
        <w:rPr>
          <w:rFonts w:eastAsia="Calibri"/>
        </w:rPr>
        <w:t xml:space="preserve">ACART </w:t>
      </w:r>
      <w:r>
        <w:rPr>
          <w:rFonts w:eastAsia="Calibri"/>
        </w:rPr>
        <w:t xml:space="preserve">therefore strengthened the provision against </w:t>
      </w:r>
      <w:r w:rsidRPr="00947DBE">
        <w:rPr>
          <w:rFonts w:eastAsia="Calibri"/>
        </w:rPr>
        <w:t>undue influence</w:t>
      </w:r>
      <w:r>
        <w:rPr>
          <w:rFonts w:eastAsia="Calibri"/>
        </w:rPr>
        <w:t xml:space="preserve"> by</w:t>
      </w:r>
      <w:r w:rsidRPr="00947DBE">
        <w:rPr>
          <w:rFonts w:eastAsia="Calibri"/>
        </w:rPr>
        <w:t xml:space="preserve"> </w:t>
      </w:r>
      <w:r>
        <w:rPr>
          <w:rFonts w:eastAsia="Calibri"/>
        </w:rPr>
        <w:t xml:space="preserve">stating that ECART must check specifically for evidence that such influence might have occurred. Similarly, ECART must assess cases involving family gamete donations for </w:t>
      </w:r>
      <w:r w:rsidRPr="00947DBE">
        <w:rPr>
          <w:rFonts w:eastAsia="Calibri"/>
        </w:rPr>
        <w:t xml:space="preserve">intergenerational complexity </w:t>
      </w:r>
      <w:r>
        <w:rPr>
          <w:rFonts w:eastAsia="Calibri"/>
        </w:rPr>
        <w:t>that could be problematic for the parties involved.</w:t>
      </w:r>
    </w:p>
    <w:p w14:paraId="0ACD27B4" w14:textId="77777777" w:rsidR="0075201E" w:rsidRDefault="0075201E" w:rsidP="000E1B87">
      <w:pPr>
        <w:pStyle w:val="Number"/>
        <w:rPr>
          <w:rFonts w:eastAsia="Calibri"/>
        </w:rPr>
      </w:pPr>
      <w:r w:rsidRPr="00166AC9">
        <w:rPr>
          <w:rFonts w:eastAsia="Calibri"/>
        </w:rPr>
        <w:t xml:space="preserve">ACART has also made a provision that clinics can seek an ethical review from ECART if they have a case </w:t>
      </w:r>
      <w:r>
        <w:rPr>
          <w:rFonts w:eastAsia="Calibri"/>
        </w:rPr>
        <w:t>that</w:t>
      </w:r>
      <w:r w:rsidRPr="00166AC9">
        <w:rPr>
          <w:rFonts w:eastAsia="Calibri"/>
        </w:rPr>
        <w:t xml:space="preserve"> they believe </w:t>
      </w:r>
      <w:r>
        <w:rPr>
          <w:rFonts w:eastAsia="Calibri"/>
        </w:rPr>
        <w:t xml:space="preserve">would benefit from </w:t>
      </w:r>
      <w:r w:rsidRPr="00166AC9">
        <w:rPr>
          <w:rFonts w:eastAsia="Calibri"/>
        </w:rPr>
        <w:t>additional expert consideration.</w:t>
      </w:r>
    </w:p>
    <w:p w14:paraId="0ACD27B5" w14:textId="77777777" w:rsidR="0075201E" w:rsidRDefault="0075201E" w:rsidP="000E1B87">
      <w:pPr>
        <w:rPr>
          <w:rFonts w:eastAsia="Calibri"/>
        </w:rPr>
      </w:pPr>
    </w:p>
    <w:p w14:paraId="0ACD27B6" w14:textId="77777777" w:rsidR="0075201E" w:rsidRPr="00A81BDA" w:rsidRDefault="0075201E" w:rsidP="00A81BDA">
      <w:pPr>
        <w:pStyle w:val="Title"/>
        <w:pageBreakBefore/>
        <w:pBdr>
          <w:bottom w:val="single" w:sz="12" w:space="6" w:color="auto"/>
        </w:pBdr>
        <w:rPr>
          <w:sz w:val="44"/>
          <w:szCs w:val="44"/>
        </w:rPr>
      </w:pPr>
      <w:r w:rsidRPr="00A81BDA">
        <w:rPr>
          <w:sz w:val="44"/>
          <w:szCs w:val="44"/>
        </w:rPr>
        <w:lastRenderedPageBreak/>
        <w:t>Who consents to donation of gametes and embryos and in what circumstances</w:t>
      </w:r>
    </w:p>
    <w:p w14:paraId="0ACD27B7" w14:textId="77777777" w:rsidR="0075201E" w:rsidRPr="00AE5ADF" w:rsidRDefault="0075201E" w:rsidP="0075201E">
      <w:pPr>
        <w:pStyle w:val="Heading1"/>
      </w:pPr>
      <w:r w:rsidRPr="00AE5ADF">
        <w:t>Embryos</w:t>
      </w:r>
    </w:p>
    <w:p w14:paraId="0ACD27B8" w14:textId="77777777" w:rsidR="0075201E" w:rsidRPr="00C11E22" w:rsidRDefault="0075201E" w:rsidP="0066154E">
      <w:pPr>
        <w:pStyle w:val="Bullet"/>
        <w:spacing w:before="120"/>
        <w:ind w:left="284"/>
      </w:pPr>
      <w:r w:rsidRPr="00AE5ADF">
        <w:t>Embryos</w:t>
      </w:r>
      <w:r w:rsidRPr="00C11E22">
        <w:t xml:space="preserve"> will have been created for </w:t>
      </w:r>
      <w:r>
        <w:t xml:space="preserve">the </w:t>
      </w:r>
      <w:r w:rsidRPr="00C11E22">
        <w:t>original int</w:t>
      </w:r>
      <w:r>
        <w:t>ending parents</w:t>
      </w:r>
      <w:r w:rsidRPr="00C11E22">
        <w:t>.</w:t>
      </w:r>
    </w:p>
    <w:p w14:paraId="0ACD27B9" w14:textId="77777777" w:rsidR="0075201E" w:rsidRDefault="0075201E" w:rsidP="0066154E">
      <w:pPr>
        <w:pStyle w:val="Bullet"/>
        <w:spacing w:before="120"/>
        <w:ind w:left="284"/>
      </w:pPr>
      <w:r w:rsidRPr="00C11E22">
        <w:t>In theory, re-donations and on-donations can keep being made. In practice, this is unlikely to happen often and might never happen at all.</w:t>
      </w:r>
    </w:p>
    <w:p w14:paraId="0ACD27BA" w14:textId="77777777" w:rsidR="0075201E" w:rsidRPr="00604F46" w:rsidRDefault="0075201E" w:rsidP="0066154E">
      <w:pPr>
        <w:pStyle w:val="Bullet"/>
        <w:spacing w:before="120"/>
        <w:ind w:left="284"/>
      </w:pPr>
      <w:r w:rsidRPr="00604F46">
        <w:t>In cases of re-donation or on-donation</w:t>
      </w:r>
      <w:r>
        <w:t>,</w:t>
      </w:r>
      <w:r w:rsidRPr="00604F46">
        <w:t xml:space="preserve"> the “first” recipients </w:t>
      </w:r>
      <w:r>
        <w:t>can</w:t>
      </w:r>
      <w:r w:rsidRPr="00604F46">
        <w:t xml:space="preserve"> be referred to as the “prior” recipients.</w:t>
      </w:r>
    </w:p>
    <w:p w14:paraId="0ACD27BB" w14:textId="77777777" w:rsidR="0075201E" w:rsidRDefault="0075201E" w:rsidP="0066154E">
      <w:pPr>
        <w:pStyle w:val="Bullet"/>
        <w:spacing w:before="120"/>
        <w:ind w:left="284"/>
      </w:pPr>
      <w:r>
        <w:t xml:space="preserve">Original intending </w:t>
      </w:r>
      <w:proofErr w:type="spellStart"/>
      <w:r>
        <w:t>parents</w:t>
      </w:r>
      <w:proofErr w:type="spellEnd"/>
      <w:r>
        <w:t xml:space="preserve"> c</w:t>
      </w:r>
      <w:r w:rsidRPr="004828AA">
        <w:t>onsent</w:t>
      </w:r>
      <w:r>
        <w:t xml:space="preserve"> </w:t>
      </w:r>
      <w:r w:rsidRPr="004828AA">
        <w:t xml:space="preserve">to initial and any </w:t>
      </w:r>
      <w:r w:rsidRPr="00492E5B">
        <w:rPr>
          <w:b/>
        </w:rPr>
        <w:t>re</w:t>
      </w:r>
      <w:r>
        <w:t>-</w:t>
      </w:r>
      <w:r w:rsidRPr="004828AA">
        <w:t xml:space="preserve">donation </w:t>
      </w:r>
      <w:r>
        <w:t xml:space="preserve">of embryos. Recipients consent to </w:t>
      </w:r>
      <w:r w:rsidRPr="00492E5B">
        <w:rPr>
          <w:b/>
        </w:rPr>
        <w:t>on</w:t>
      </w:r>
      <w:r>
        <w:t>-donations.</w:t>
      </w:r>
    </w:p>
    <w:p w14:paraId="0ACD27BC" w14:textId="77777777" w:rsidR="0075201E" w:rsidRPr="00EE1DBB" w:rsidRDefault="0075201E" w:rsidP="0066154E">
      <w:pPr>
        <w:pStyle w:val="Bullet"/>
        <w:spacing w:before="120"/>
        <w:ind w:left="284"/>
      </w:pPr>
      <w:r w:rsidRPr="00C11E22">
        <w:t>Re-donation</w:t>
      </w:r>
      <w:r>
        <w:t xml:space="preserve">s </w:t>
      </w:r>
      <w:r w:rsidRPr="00C11E22">
        <w:t xml:space="preserve">are allowed in all but </w:t>
      </w:r>
      <w:r>
        <w:t>“</w:t>
      </w:r>
      <w:r w:rsidRPr="00C11E22">
        <w:t>scenario</w:t>
      </w:r>
      <w:r>
        <w:t xml:space="preserve"> 1” in the tables below, assuming other conditions are met (such as conditions placed by the gamete donors and that full genetic siblings can only be born in a maximum of two families). On-donations are allowed in only one scenario (scenario C.3).</w:t>
      </w:r>
    </w:p>
    <w:p w14:paraId="0ACD27BD" w14:textId="77777777" w:rsidR="0075201E" w:rsidRPr="0066154E" w:rsidRDefault="0075201E" w:rsidP="0066154E">
      <w:pPr>
        <w:pStyle w:val="Bullet"/>
        <w:spacing w:before="120"/>
        <w:ind w:left="284"/>
        <w:rPr>
          <w:spacing w:val="-2"/>
        </w:rPr>
      </w:pPr>
      <w:r w:rsidRPr="0066154E">
        <w:rPr>
          <w:spacing w:val="-2"/>
        </w:rPr>
        <w:t>The ability to donate, re-donate or on-donate embryos is based on some combination of</w:t>
      </w:r>
      <w:r w:rsidR="0066154E" w:rsidRPr="0066154E">
        <w:rPr>
          <w:spacing w:val="-2"/>
        </w:rPr>
        <w:t>:</w:t>
      </w:r>
    </w:p>
    <w:p w14:paraId="0ACD27BE" w14:textId="77777777" w:rsidR="0075201E" w:rsidRDefault="0075201E" w:rsidP="0066154E">
      <w:pPr>
        <w:pStyle w:val="Letter"/>
        <w:spacing w:before="60"/>
        <w:ind w:left="709" w:hanging="425"/>
      </w:pPr>
      <w:r>
        <w:t>who the embryos were created for</w:t>
      </w:r>
    </w:p>
    <w:p w14:paraId="0ACD27BF" w14:textId="77777777" w:rsidR="0075201E" w:rsidRDefault="0075201E" w:rsidP="0066154E">
      <w:pPr>
        <w:pStyle w:val="Letter"/>
        <w:spacing w:before="60"/>
        <w:ind w:left="709" w:hanging="425"/>
      </w:pPr>
      <w:r>
        <w:t>whose gametes were used</w:t>
      </w:r>
    </w:p>
    <w:p w14:paraId="0ACD27C0" w14:textId="77777777" w:rsidR="0075201E" w:rsidRPr="00C11E22" w:rsidRDefault="0075201E" w:rsidP="0066154E">
      <w:pPr>
        <w:pStyle w:val="Letter"/>
        <w:spacing w:before="60"/>
        <w:ind w:left="709" w:hanging="425"/>
      </w:pPr>
      <w:r>
        <w:t>the two-family limit for full-genetic siblings not being breached</w:t>
      </w:r>
    </w:p>
    <w:p w14:paraId="0ACD27C1" w14:textId="77777777" w:rsidR="0075201E" w:rsidRPr="00C11E22" w:rsidRDefault="0075201E" w:rsidP="0066154E">
      <w:pPr>
        <w:pStyle w:val="Letter"/>
        <w:spacing w:before="60"/>
        <w:ind w:left="709" w:hanging="425"/>
      </w:pPr>
      <w:r>
        <w:t>whose family any existing full-genetic</w:t>
      </w:r>
      <w:r w:rsidRPr="00C11E22">
        <w:t xml:space="preserve"> siblings are </w:t>
      </w:r>
      <w:r>
        <w:t>in</w:t>
      </w:r>
    </w:p>
    <w:p w14:paraId="0ACD27C2" w14:textId="77777777" w:rsidR="0075201E" w:rsidRPr="00604F46" w:rsidRDefault="0075201E" w:rsidP="0066154E">
      <w:pPr>
        <w:pStyle w:val="Letter"/>
        <w:spacing w:before="60"/>
        <w:ind w:left="709" w:hanging="425"/>
      </w:pPr>
      <w:r w:rsidRPr="00604F46">
        <w:t>whose family the new full</w:t>
      </w:r>
      <w:r>
        <w:t>-</w:t>
      </w:r>
      <w:r w:rsidRPr="00604F46">
        <w:t>genetic sibling would be raised in</w:t>
      </w:r>
      <w:r>
        <w:t>.</w:t>
      </w:r>
    </w:p>
    <w:p w14:paraId="0ACD27C3" w14:textId="77777777" w:rsidR="0075201E" w:rsidRDefault="0075201E" w:rsidP="0066154E">
      <w:pPr>
        <w:pStyle w:val="Bullet"/>
        <w:spacing w:before="120"/>
        <w:ind w:left="284"/>
      </w:pPr>
      <w:r w:rsidRPr="00023890">
        <w:t>Having a su</w:t>
      </w:r>
      <w:r>
        <w:t xml:space="preserve">rrogate gestate a child </w:t>
      </w:r>
      <w:r w:rsidRPr="00023890">
        <w:t>does not change who has the authority over a donation (unless</w:t>
      </w:r>
      <w:r w:rsidRPr="00C11E22">
        <w:t xml:space="preserve"> the surrogate keeps the baby, in which case the relevant family is the surrogate’s family</w:t>
      </w:r>
      <w:r>
        <w:t>)</w:t>
      </w:r>
      <w:r w:rsidRPr="00C11E22">
        <w:t>.</w:t>
      </w:r>
    </w:p>
    <w:p w14:paraId="0ACD27C4" w14:textId="77777777" w:rsidR="0075201E" w:rsidRPr="00EF4C59" w:rsidRDefault="0075201E" w:rsidP="0066154E"/>
    <w:p w14:paraId="0ACD27C5" w14:textId="77777777" w:rsidR="0075201E" w:rsidRPr="00AE5ADF" w:rsidRDefault="0075201E" w:rsidP="0066154E">
      <w:pPr>
        <w:pStyle w:val="Heading1"/>
        <w:spacing w:before="240"/>
      </w:pPr>
      <w:r w:rsidRPr="00AE5ADF">
        <w:t>Gamete</w:t>
      </w:r>
      <w:r>
        <w:t>s</w:t>
      </w:r>
    </w:p>
    <w:p w14:paraId="0ACD27C6" w14:textId="77777777" w:rsidR="0075201E" w:rsidRDefault="0075201E" w:rsidP="0066154E">
      <w:pPr>
        <w:pStyle w:val="Bullet"/>
        <w:spacing w:before="120"/>
        <w:ind w:left="284"/>
      </w:pPr>
      <w:r w:rsidRPr="00AE5ADF">
        <w:t>Gamete</w:t>
      </w:r>
      <w:r>
        <w:t xml:space="preserve"> donors consent to a use when they donate their gametes, or up until suc</w:t>
      </w:r>
      <w:r w:rsidR="0066154E">
        <w:t>h time as an embryo is created.</w:t>
      </w:r>
    </w:p>
    <w:p w14:paraId="0ACD27C7" w14:textId="77777777" w:rsidR="0075201E" w:rsidRDefault="0075201E" w:rsidP="0066154E">
      <w:pPr>
        <w:pStyle w:val="Bullet"/>
        <w:spacing w:before="120"/>
        <w:ind w:left="284"/>
      </w:pPr>
      <w:r>
        <w:t>Once an embryo has been created, the gamete donors do not have a say in the use of the embryo; they need to know this beforehand and place any conditions accordingly before the embryo is created. So, in the scenarios below, the gamete donors will have consented to a use (and possible other uses: namely other donations) and do not need to be approached again to consent to the embryo donations that are being considered (unless the retrospective rule applies).</w:t>
      </w:r>
    </w:p>
    <w:p w14:paraId="0ACD27C8" w14:textId="77777777" w:rsidR="0075201E" w:rsidRPr="00EE1DBB" w:rsidRDefault="00615A56" w:rsidP="0066154E">
      <w:pPr>
        <w:pStyle w:val="Heading1"/>
        <w:spacing w:before="480"/>
        <w:ind w:left="567" w:hanging="567"/>
      </w:pPr>
      <w:r>
        <w:lastRenderedPageBreak/>
        <w:t>A</w:t>
      </w:r>
      <w:r>
        <w:tab/>
      </w:r>
      <w:r w:rsidR="0075201E">
        <w:t xml:space="preserve">The original intending parents (IPs) use </w:t>
      </w:r>
      <w:r w:rsidR="0075201E" w:rsidRPr="002D7FD1">
        <w:rPr>
          <w:i/>
        </w:rPr>
        <w:t>both their own</w:t>
      </w:r>
      <w:r w:rsidR="0075201E" w:rsidRPr="00C11E22">
        <w:t xml:space="preserve"> gametes</w:t>
      </w:r>
    </w:p>
    <w:tbl>
      <w:tblPr>
        <w:tblStyle w:val="TableGrid"/>
        <w:tblW w:w="0" w:type="auto"/>
        <w:tblInd w:w="675" w:type="dxa"/>
        <w:tblLayout w:type="fixed"/>
        <w:tblLook w:val="04A0" w:firstRow="1" w:lastRow="0" w:firstColumn="1" w:lastColumn="0" w:noHBand="0" w:noVBand="1"/>
      </w:tblPr>
      <w:tblGrid>
        <w:gridCol w:w="2055"/>
        <w:gridCol w:w="2056"/>
        <w:gridCol w:w="2055"/>
        <w:gridCol w:w="2056"/>
      </w:tblGrid>
      <w:tr w:rsidR="0075201E" w:rsidRPr="006E75ED" w14:paraId="0ACD27CD" w14:textId="77777777" w:rsidTr="006E75ED">
        <w:trPr>
          <w:cantSplit/>
        </w:trPr>
        <w:tc>
          <w:tcPr>
            <w:tcW w:w="2055" w:type="dxa"/>
            <w:shd w:val="clear" w:color="auto" w:fill="D9D9D9" w:themeFill="background1" w:themeFillShade="D9"/>
          </w:tcPr>
          <w:p w14:paraId="0ACD27C9" w14:textId="77777777" w:rsidR="0075201E" w:rsidRPr="006E75ED" w:rsidRDefault="0075201E" w:rsidP="006E75ED">
            <w:pPr>
              <w:pStyle w:val="TableText"/>
              <w:rPr>
                <w:b/>
              </w:rPr>
            </w:pPr>
            <w:r w:rsidRPr="006E75ED">
              <w:rPr>
                <w:b/>
              </w:rPr>
              <w:t>Scenario 1</w:t>
            </w:r>
          </w:p>
        </w:tc>
        <w:tc>
          <w:tcPr>
            <w:tcW w:w="2056" w:type="dxa"/>
            <w:shd w:val="clear" w:color="auto" w:fill="D9D9D9" w:themeFill="background1" w:themeFillShade="D9"/>
          </w:tcPr>
          <w:p w14:paraId="0ACD27CA" w14:textId="77777777" w:rsidR="0075201E" w:rsidRPr="006E75ED" w:rsidRDefault="0075201E" w:rsidP="006E75ED">
            <w:pPr>
              <w:pStyle w:val="TableText"/>
              <w:rPr>
                <w:b/>
              </w:rPr>
            </w:pPr>
            <w:r w:rsidRPr="006E75ED">
              <w:rPr>
                <w:b/>
              </w:rPr>
              <w:t>Scenario 2</w:t>
            </w:r>
          </w:p>
        </w:tc>
        <w:tc>
          <w:tcPr>
            <w:tcW w:w="2055" w:type="dxa"/>
            <w:shd w:val="clear" w:color="auto" w:fill="D9D9D9" w:themeFill="background1" w:themeFillShade="D9"/>
          </w:tcPr>
          <w:p w14:paraId="0ACD27CB" w14:textId="77777777" w:rsidR="0075201E" w:rsidRPr="006E75ED" w:rsidRDefault="0075201E" w:rsidP="006E75ED">
            <w:pPr>
              <w:pStyle w:val="TableText"/>
              <w:rPr>
                <w:b/>
              </w:rPr>
            </w:pPr>
            <w:r w:rsidRPr="006E75ED">
              <w:rPr>
                <w:b/>
              </w:rPr>
              <w:t>Scenario 3</w:t>
            </w:r>
          </w:p>
        </w:tc>
        <w:tc>
          <w:tcPr>
            <w:tcW w:w="2056" w:type="dxa"/>
            <w:shd w:val="clear" w:color="auto" w:fill="D9D9D9" w:themeFill="background1" w:themeFillShade="D9"/>
          </w:tcPr>
          <w:p w14:paraId="0ACD27CC" w14:textId="77777777" w:rsidR="0075201E" w:rsidRPr="006E75ED" w:rsidRDefault="0075201E" w:rsidP="006E75ED">
            <w:pPr>
              <w:pStyle w:val="TableText"/>
              <w:rPr>
                <w:b/>
              </w:rPr>
            </w:pPr>
            <w:r w:rsidRPr="006E75ED">
              <w:rPr>
                <w:b/>
              </w:rPr>
              <w:t>Scenario 4</w:t>
            </w:r>
          </w:p>
        </w:tc>
      </w:tr>
      <w:tr w:rsidR="0075201E" w:rsidRPr="00C11E22" w14:paraId="0ACD27D5" w14:textId="77777777" w:rsidTr="006E75ED">
        <w:trPr>
          <w:cantSplit/>
        </w:trPr>
        <w:tc>
          <w:tcPr>
            <w:tcW w:w="2055" w:type="dxa"/>
          </w:tcPr>
          <w:p w14:paraId="0ACD27CE" w14:textId="77777777" w:rsidR="0075201E" w:rsidRPr="0031253E" w:rsidRDefault="006E75ED" w:rsidP="006E75ED">
            <w:pPr>
              <w:pStyle w:val="TableText"/>
            </w:pPr>
            <w:r>
              <w:t>Original IPs have a child.</w:t>
            </w:r>
          </w:p>
        </w:tc>
        <w:tc>
          <w:tcPr>
            <w:tcW w:w="2056" w:type="dxa"/>
          </w:tcPr>
          <w:p w14:paraId="0ACD27CF" w14:textId="77777777" w:rsidR="0075201E" w:rsidRPr="0031253E" w:rsidRDefault="0075201E" w:rsidP="006E75ED">
            <w:pPr>
              <w:pStyle w:val="TableText"/>
            </w:pPr>
            <w:r w:rsidRPr="0031253E">
              <w:t>Original IPs have a child.</w:t>
            </w:r>
          </w:p>
          <w:p w14:paraId="0ACD27D0" w14:textId="77777777" w:rsidR="0075201E" w:rsidRPr="0031253E" w:rsidRDefault="0075201E" w:rsidP="006E75ED">
            <w:pPr>
              <w:pStyle w:val="TableText"/>
            </w:pPr>
            <w:r w:rsidRPr="0031253E">
              <w:rPr>
                <w:highlight w:val="green"/>
              </w:rPr>
              <w:t>Consent</w:t>
            </w:r>
          </w:p>
        </w:tc>
        <w:tc>
          <w:tcPr>
            <w:tcW w:w="2055" w:type="dxa"/>
          </w:tcPr>
          <w:p w14:paraId="0ACD27D1" w14:textId="77777777" w:rsidR="0075201E" w:rsidRPr="0031253E" w:rsidRDefault="0075201E" w:rsidP="006E75ED">
            <w:pPr>
              <w:pStyle w:val="TableText"/>
            </w:pPr>
            <w:r w:rsidRPr="0031253E">
              <w:t>Original IPs do not have a child.</w:t>
            </w:r>
          </w:p>
          <w:p w14:paraId="0ACD27D2" w14:textId="77777777" w:rsidR="0075201E" w:rsidRPr="0031253E" w:rsidRDefault="0075201E" w:rsidP="006E75ED">
            <w:pPr>
              <w:pStyle w:val="TableText"/>
            </w:pPr>
            <w:r w:rsidRPr="0031253E">
              <w:rPr>
                <w:highlight w:val="green"/>
              </w:rPr>
              <w:t>Consent</w:t>
            </w:r>
          </w:p>
        </w:tc>
        <w:tc>
          <w:tcPr>
            <w:tcW w:w="2056" w:type="dxa"/>
          </w:tcPr>
          <w:p w14:paraId="0ACD27D3" w14:textId="77777777" w:rsidR="0075201E" w:rsidRPr="0031253E" w:rsidRDefault="0075201E" w:rsidP="006E75ED">
            <w:pPr>
              <w:pStyle w:val="TableText"/>
            </w:pPr>
            <w:r w:rsidRPr="0031253E">
              <w:t>Original IPs do not have a child.</w:t>
            </w:r>
          </w:p>
          <w:p w14:paraId="0ACD27D4" w14:textId="77777777" w:rsidR="0075201E" w:rsidRPr="0031253E" w:rsidRDefault="0075201E" w:rsidP="006E75ED">
            <w:pPr>
              <w:pStyle w:val="TableText"/>
            </w:pPr>
            <w:r w:rsidRPr="0031253E">
              <w:rPr>
                <w:highlight w:val="green"/>
              </w:rPr>
              <w:t>Consent</w:t>
            </w:r>
          </w:p>
        </w:tc>
      </w:tr>
      <w:tr w:rsidR="0075201E" w:rsidRPr="00C11E22" w14:paraId="0ACD27DB" w14:textId="77777777" w:rsidTr="006E75ED">
        <w:trPr>
          <w:cantSplit/>
        </w:trPr>
        <w:tc>
          <w:tcPr>
            <w:tcW w:w="2055" w:type="dxa"/>
          </w:tcPr>
          <w:p w14:paraId="0ACD27D6" w14:textId="77777777" w:rsidR="0075201E" w:rsidRPr="0031253E" w:rsidRDefault="0075201E" w:rsidP="006E75ED">
            <w:pPr>
              <w:pStyle w:val="TableText"/>
            </w:pPr>
            <w:r w:rsidRPr="0031253E">
              <w:t>First</w:t>
            </w:r>
            <w:r>
              <w:t xml:space="preserve"> </w:t>
            </w:r>
            <w:r w:rsidRPr="0031253E">
              <w:t>recipients have a child.</w:t>
            </w:r>
          </w:p>
        </w:tc>
        <w:tc>
          <w:tcPr>
            <w:tcW w:w="2056" w:type="dxa"/>
          </w:tcPr>
          <w:p w14:paraId="0ACD27D7" w14:textId="77777777" w:rsidR="0075201E" w:rsidRPr="0031253E" w:rsidRDefault="0075201E" w:rsidP="006E75ED">
            <w:pPr>
              <w:pStyle w:val="TableText"/>
            </w:pPr>
            <w:r w:rsidRPr="0031253E">
              <w:t>First recipients do not have a child.</w:t>
            </w:r>
          </w:p>
        </w:tc>
        <w:tc>
          <w:tcPr>
            <w:tcW w:w="2055" w:type="dxa"/>
          </w:tcPr>
          <w:p w14:paraId="0ACD27D8" w14:textId="77777777" w:rsidR="0075201E" w:rsidRPr="0031253E" w:rsidRDefault="0075201E" w:rsidP="006E75ED">
            <w:pPr>
              <w:pStyle w:val="TableText"/>
            </w:pPr>
            <w:r w:rsidRPr="0031253E">
              <w:t>First recipients have a child.</w:t>
            </w:r>
          </w:p>
          <w:p w14:paraId="0ACD27D9" w14:textId="77777777" w:rsidR="0075201E" w:rsidRPr="0031253E" w:rsidRDefault="0075201E" w:rsidP="006E75ED">
            <w:pPr>
              <w:pStyle w:val="TableText"/>
            </w:pPr>
            <w:r w:rsidRPr="0031253E">
              <w:rPr>
                <w:highlight w:val="green"/>
              </w:rPr>
              <w:t>Consent</w:t>
            </w:r>
          </w:p>
        </w:tc>
        <w:tc>
          <w:tcPr>
            <w:tcW w:w="2056" w:type="dxa"/>
          </w:tcPr>
          <w:p w14:paraId="0ACD27DA" w14:textId="77777777" w:rsidR="0075201E" w:rsidRPr="0031253E" w:rsidRDefault="0075201E" w:rsidP="006E75ED">
            <w:pPr>
              <w:pStyle w:val="TableText"/>
            </w:pPr>
            <w:r w:rsidRPr="0031253E">
              <w:t>First recipients do not have a child.</w:t>
            </w:r>
          </w:p>
        </w:tc>
      </w:tr>
      <w:tr w:rsidR="0075201E" w:rsidRPr="00C11E22" w14:paraId="0ACD27E0" w14:textId="77777777" w:rsidTr="006E75ED">
        <w:trPr>
          <w:cantSplit/>
        </w:trPr>
        <w:tc>
          <w:tcPr>
            <w:tcW w:w="2055" w:type="dxa"/>
            <w:shd w:val="clear" w:color="auto" w:fill="auto"/>
          </w:tcPr>
          <w:p w14:paraId="0ACD27DC" w14:textId="77777777" w:rsidR="0075201E" w:rsidRPr="0031253E" w:rsidRDefault="0075201E" w:rsidP="006E75ED">
            <w:pPr>
              <w:pStyle w:val="TableText"/>
            </w:pPr>
            <w:r w:rsidRPr="0031253E">
              <w:rPr>
                <w:color w:val="FF0000"/>
              </w:rPr>
              <w:t xml:space="preserve">Subsequent recipient not </w:t>
            </w:r>
            <w:proofErr w:type="gramStart"/>
            <w:r w:rsidRPr="0031253E">
              <w:rPr>
                <w:color w:val="FF0000"/>
              </w:rPr>
              <w:t>allowed.*</w:t>
            </w:r>
            <w:proofErr w:type="gramEnd"/>
          </w:p>
        </w:tc>
        <w:tc>
          <w:tcPr>
            <w:tcW w:w="2056" w:type="dxa"/>
          </w:tcPr>
          <w:p w14:paraId="0ACD27DD" w14:textId="77777777" w:rsidR="0075201E" w:rsidRPr="0031253E" w:rsidRDefault="0075201E" w:rsidP="006E75ED">
            <w:pPr>
              <w:pStyle w:val="TableText"/>
            </w:pPr>
            <w:r w:rsidRPr="0031253E">
              <w:t>Subsequent recipient allowed.</w:t>
            </w:r>
          </w:p>
        </w:tc>
        <w:tc>
          <w:tcPr>
            <w:tcW w:w="2055" w:type="dxa"/>
          </w:tcPr>
          <w:p w14:paraId="0ACD27DE" w14:textId="77777777" w:rsidR="0075201E" w:rsidRPr="0031253E" w:rsidRDefault="0075201E" w:rsidP="006E75ED">
            <w:pPr>
              <w:pStyle w:val="TableText"/>
            </w:pPr>
            <w:r w:rsidRPr="0031253E">
              <w:t>Subsequent recipient allowed.</w:t>
            </w:r>
          </w:p>
        </w:tc>
        <w:tc>
          <w:tcPr>
            <w:tcW w:w="2056" w:type="dxa"/>
          </w:tcPr>
          <w:p w14:paraId="0ACD27DF" w14:textId="77777777" w:rsidR="0075201E" w:rsidRPr="0031253E" w:rsidRDefault="0075201E" w:rsidP="006E75ED">
            <w:pPr>
              <w:pStyle w:val="TableText"/>
            </w:pPr>
            <w:r w:rsidRPr="0031253E">
              <w:t>Subsequent recipient allowed.</w:t>
            </w:r>
          </w:p>
        </w:tc>
      </w:tr>
    </w:tbl>
    <w:p w14:paraId="0ACD27E1" w14:textId="77777777" w:rsidR="0075201E" w:rsidRDefault="0075201E" w:rsidP="006E75ED">
      <w:pPr>
        <w:pStyle w:val="Note"/>
      </w:pPr>
      <w:r w:rsidRPr="00C11E22">
        <w:t>*</w:t>
      </w:r>
      <w:r w:rsidR="006E75ED">
        <w:tab/>
      </w:r>
      <w:r w:rsidRPr="00C11E22">
        <w:t>Because of the two</w:t>
      </w:r>
      <w:r>
        <w:t>-</w:t>
      </w:r>
      <w:r w:rsidRPr="00C11E22">
        <w:t>family limit.</w:t>
      </w:r>
    </w:p>
    <w:p w14:paraId="0ACD27E2" w14:textId="77777777" w:rsidR="00F3273B" w:rsidRPr="00F3273B" w:rsidRDefault="00F3273B" w:rsidP="00F3273B"/>
    <w:p w14:paraId="0ACD27E3" w14:textId="77777777" w:rsidR="0075201E" w:rsidRPr="00376488" w:rsidRDefault="0075201E" w:rsidP="006E75ED">
      <w:pPr>
        <w:pStyle w:val="Bullet"/>
        <w:spacing w:before="120"/>
      </w:pPr>
      <w:r w:rsidRPr="00376488">
        <w:t xml:space="preserve">In scenario 3, </w:t>
      </w:r>
      <w:r w:rsidRPr="00376488">
        <w:rPr>
          <w:b/>
        </w:rPr>
        <w:t>both</w:t>
      </w:r>
      <w:r w:rsidRPr="00376488">
        <w:t xml:space="preserve"> the original IPs and the recipients who have had a child using the embryos must consent to a</w:t>
      </w:r>
      <w:r>
        <w:t>ny</w:t>
      </w:r>
      <w:r w:rsidRPr="00376488">
        <w:t xml:space="preserve"> subsequent donation. This is because the original IPs have a genetic interest, and had the embryos created for themselves, </w:t>
      </w:r>
      <w:r>
        <w:t>and the recipient family will have a full genetic sibling if the embryo is donated and results in a living child.</w:t>
      </w:r>
    </w:p>
    <w:p w14:paraId="0ACD27E4" w14:textId="77777777" w:rsidR="0075201E" w:rsidRPr="00376488" w:rsidRDefault="0075201E" w:rsidP="006E75ED"/>
    <w:p w14:paraId="0ACD27E5" w14:textId="77777777" w:rsidR="0075201E" w:rsidRPr="00EE1DBB" w:rsidRDefault="00615A56" w:rsidP="00F3273B">
      <w:pPr>
        <w:pStyle w:val="Heading1"/>
        <w:spacing w:before="480"/>
        <w:ind w:left="567" w:hanging="567"/>
      </w:pPr>
      <w:r>
        <w:t>B</w:t>
      </w:r>
      <w:r>
        <w:tab/>
      </w:r>
      <w:r w:rsidR="0075201E">
        <w:t xml:space="preserve">The original intending parents use </w:t>
      </w:r>
      <w:r w:rsidR="0075201E" w:rsidRPr="00A720D3">
        <w:t>one of their own gametes and one from a donor</w:t>
      </w:r>
    </w:p>
    <w:tbl>
      <w:tblPr>
        <w:tblStyle w:val="TableGrid"/>
        <w:tblW w:w="0" w:type="auto"/>
        <w:tblInd w:w="675" w:type="dxa"/>
        <w:tblLayout w:type="fixed"/>
        <w:tblLook w:val="04A0" w:firstRow="1" w:lastRow="0" w:firstColumn="1" w:lastColumn="0" w:noHBand="0" w:noVBand="1"/>
      </w:tblPr>
      <w:tblGrid>
        <w:gridCol w:w="2055"/>
        <w:gridCol w:w="2056"/>
        <w:gridCol w:w="2055"/>
        <w:gridCol w:w="2056"/>
      </w:tblGrid>
      <w:tr w:rsidR="0075201E" w:rsidRPr="00F3273B" w14:paraId="0ACD27EA" w14:textId="77777777" w:rsidTr="00F3273B">
        <w:trPr>
          <w:cantSplit/>
        </w:trPr>
        <w:tc>
          <w:tcPr>
            <w:tcW w:w="2055" w:type="dxa"/>
            <w:shd w:val="clear" w:color="auto" w:fill="D9D9D9" w:themeFill="background1" w:themeFillShade="D9"/>
          </w:tcPr>
          <w:p w14:paraId="0ACD27E6" w14:textId="77777777" w:rsidR="0075201E" w:rsidRPr="00F3273B" w:rsidRDefault="0075201E" w:rsidP="00F3273B">
            <w:pPr>
              <w:pStyle w:val="TableText"/>
              <w:rPr>
                <w:b/>
              </w:rPr>
            </w:pPr>
            <w:r w:rsidRPr="00F3273B">
              <w:rPr>
                <w:b/>
              </w:rPr>
              <w:t>Scenario 1</w:t>
            </w:r>
          </w:p>
        </w:tc>
        <w:tc>
          <w:tcPr>
            <w:tcW w:w="2056" w:type="dxa"/>
            <w:shd w:val="clear" w:color="auto" w:fill="D9D9D9" w:themeFill="background1" w:themeFillShade="D9"/>
          </w:tcPr>
          <w:p w14:paraId="0ACD27E7" w14:textId="77777777" w:rsidR="0075201E" w:rsidRPr="00F3273B" w:rsidRDefault="0075201E" w:rsidP="00F3273B">
            <w:pPr>
              <w:pStyle w:val="TableText"/>
              <w:rPr>
                <w:b/>
              </w:rPr>
            </w:pPr>
            <w:r w:rsidRPr="00F3273B">
              <w:rPr>
                <w:b/>
              </w:rPr>
              <w:t>Scenario 2</w:t>
            </w:r>
          </w:p>
        </w:tc>
        <w:tc>
          <w:tcPr>
            <w:tcW w:w="2055" w:type="dxa"/>
            <w:shd w:val="clear" w:color="auto" w:fill="D9D9D9" w:themeFill="background1" w:themeFillShade="D9"/>
          </w:tcPr>
          <w:p w14:paraId="0ACD27E8" w14:textId="77777777" w:rsidR="0075201E" w:rsidRPr="00F3273B" w:rsidRDefault="0075201E" w:rsidP="00F3273B">
            <w:pPr>
              <w:pStyle w:val="TableText"/>
              <w:rPr>
                <w:b/>
              </w:rPr>
            </w:pPr>
            <w:r w:rsidRPr="00F3273B">
              <w:rPr>
                <w:b/>
              </w:rPr>
              <w:t>Scenario 3</w:t>
            </w:r>
          </w:p>
        </w:tc>
        <w:tc>
          <w:tcPr>
            <w:tcW w:w="2056" w:type="dxa"/>
            <w:shd w:val="clear" w:color="auto" w:fill="D9D9D9" w:themeFill="background1" w:themeFillShade="D9"/>
          </w:tcPr>
          <w:p w14:paraId="0ACD27E9" w14:textId="77777777" w:rsidR="0075201E" w:rsidRPr="00F3273B" w:rsidRDefault="0075201E" w:rsidP="00F3273B">
            <w:pPr>
              <w:pStyle w:val="TableText"/>
              <w:rPr>
                <w:b/>
              </w:rPr>
            </w:pPr>
            <w:r w:rsidRPr="00F3273B">
              <w:rPr>
                <w:b/>
              </w:rPr>
              <w:t>Scenario 4</w:t>
            </w:r>
          </w:p>
        </w:tc>
      </w:tr>
      <w:tr w:rsidR="0075201E" w:rsidRPr="00C11E22" w14:paraId="0ACD27F2" w14:textId="77777777" w:rsidTr="00F3273B">
        <w:trPr>
          <w:cantSplit/>
        </w:trPr>
        <w:tc>
          <w:tcPr>
            <w:tcW w:w="2055" w:type="dxa"/>
          </w:tcPr>
          <w:p w14:paraId="0ACD27EB" w14:textId="77777777" w:rsidR="0075201E" w:rsidRPr="0031253E" w:rsidRDefault="0075201E" w:rsidP="00F3273B">
            <w:pPr>
              <w:pStyle w:val="TableText"/>
            </w:pPr>
            <w:r w:rsidRPr="0031253E">
              <w:t>Original IPs have a child.</w:t>
            </w:r>
          </w:p>
        </w:tc>
        <w:tc>
          <w:tcPr>
            <w:tcW w:w="2056" w:type="dxa"/>
          </w:tcPr>
          <w:p w14:paraId="0ACD27EC" w14:textId="77777777" w:rsidR="0075201E" w:rsidRPr="0031253E" w:rsidRDefault="0075201E" w:rsidP="00F3273B">
            <w:pPr>
              <w:pStyle w:val="TableText"/>
            </w:pPr>
            <w:r w:rsidRPr="0031253E">
              <w:t>Original IPs have a child.</w:t>
            </w:r>
          </w:p>
          <w:p w14:paraId="0ACD27ED" w14:textId="77777777" w:rsidR="0075201E" w:rsidRPr="0031253E" w:rsidRDefault="0075201E" w:rsidP="00F3273B">
            <w:pPr>
              <w:pStyle w:val="TableText"/>
            </w:pPr>
            <w:r w:rsidRPr="0031253E">
              <w:rPr>
                <w:highlight w:val="green"/>
              </w:rPr>
              <w:t>Consent</w:t>
            </w:r>
          </w:p>
        </w:tc>
        <w:tc>
          <w:tcPr>
            <w:tcW w:w="2055" w:type="dxa"/>
            <w:shd w:val="clear" w:color="auto" w:fill="auto"/>
          </w:tcPr>
          <w:p w14:paraId="0ACD27EE" w14:textId="77777777" w:rsidR="0075201E" w:rsidRPr="0031253E" w:rsidRDefault="0075201E" w:rsidP="00F3273B">
            <w:pPr>
              <w:pStyle w:val="TableText"/>
            </w:pPr>
            <w:r w:rsidRPr="0031253E">
              <w:t>Original IPs do not have a child.</w:t>
            </w:r>
          </w:p>
          <w:p w14:paraId="0ACD27EF" w14:textId="77777777" w:rsidR="0075201E" w:rsidRPr="0031253E" w:rsidRDefault="0075201E" w:rsidP="00F3273B">
            <w:pPr>
              <w:pStyle w:val="TableText"/>
            </w:pPr>
            <w:r w:rsidRPr="0031253E">
              <w:rPr>
                <w:highlight w:val="green"/>
              </w:rPr>
              <w:t>Consent</w:t>
            </w:r>
          </w:p>
        </w:tc>
        <w:tc>
          <w:tcPr>
            <w:tcW w:w="2056" w:type="dxa"/>
          </w:tcPr>
          <w:p w14:paraId="0ACD27F0" w14:textId="77777777" w:rsidR="0075201E" w:rsidRPr="0031253E" w:rsidRDefault="0075201E" w:rsidP="00F3273B">
            <w:pPr>
              <w:pStyle w:val="TableText"/>
            </w:pPr>
            <w:r w:rsidRPr="0031253E">
              <w:t>Original IPs do not have a child.</w:t>
            </w:r>
          </w:p>
          <w:p w14:paraId="0ACD27F1" w14:textId="77777777" w:rsidR="0075201E" w:rsidRPr="0031253E" w:rsidRDefault="0075201E" w:rsidP="00F3273B">
            <w:pPr>
              <w:pStyle w:val="TableText"/>
            </w:pPr>
            <w:r w:rsidRPr="0031253E">
              <w:rPr>
                <w:highlight w:val="green"/>
              </w:rPr>
              <w:t>Consent</w:t>
            </w:r>
          </w:p>
        </w:tc>
      </w:tr>
      <w:tr w:rsidR="0075201E" w:rsidRPr="00C11E22" w14:paraId="0ACD27F8" w14:textId="77777777" w:rsidTr="00F3273B">
        <w:trPr>
          <w:cantSplit/>
        </w:trPr>
        <w:tc>
          <w:tcPr>
            <w:tcW w:w="2055" w:type="dxa"/>
          </w:tcPr>
          <w:p w14:paraId="0ACD27F3" w14:textId="77777777" w:rsidR="0075201E" w:rsidRPr="0031253E" w:rsidRDefault="0075201E" w:rsidP="00F3273B">
            <w:pPr>
              <w:pStyle w:val="TableText"/>
            </w:pPr>
            <w:r w:rsidRPr="0031253E">
              <w:t>First</w:t>
            </w:r>
            <w:r>
              <w:t xml:space="preserve"> </w:t>
            </w:r>
            <w:r w:rsidRPr="0031253E">
              <w:t>recipients have a child.</w:t>
            </w:r>
          </w:p>
        </w:tc>
        <w:tc>
          <w:tcPr>
            <w:tcW w:w="2056" w:type="dxa"/>
          </w:tcPr>
          <w:p w14:paraId="0ACD27F4" w14:textId="77777777" w:rsidR="0075201E" w:rsidRPr="0031253E" w:rsidRDefault="0075201E" w:rsidP="00F3273B">
            <w:pPr>
              <w:pStyle w:val="TableText"/>
            </w:pPr>
            <w:r w:rsidRPr="0031253E">
              <w:t>First recipients do not have a child.</w:t>
            </w:r>
          </w:p>
        </w:tc>
        <w:tc>
          <w:tcPr>
            <w:tcW w:w="2055" w:type="dxa"/>
          </w:tcPr>
          <w:p w14:paraId="0ACD27F5" w14:textId="77777777" w:rsidR="0075201E" w:rsidRPr="0031253E" w:rsidRDefault="0075201E" w:rsidP="00F3273B">
            <w:pPr>
              <w:pStyle w:val="TableText"/>
            </w:pPr>
            <w:r w:rsidRPr="0031253E">
              <w:t>First recipients have a child.</w:t>
            </w:r>
          </w:p>
          <w:p w14:paraId="0ACD27F6" w14:textId="77777777" w:rsidR="0075201E" w:rsidRPr="0031253E" w:rsidRDefault="0075201E" w:rsidP="00F3273B">
            <w:pPr>
              <w:pStyle w:val="TableText"/>
            </w:pPr>
            <w:r w:rsidRPr="0031253E">
              <w:rPr>
                <w:highlight w:val="green"/>
              </w:rPr>
              <w:t>Consent</w:t>
            </w:r>
          </w:p>
        </w:tc>
        <w:tc>
          <w:tcPr>
            <w:tcW w:w="2056" w:type="dxa"/>
          </w:tcPr>
          <w:p w14:paraId="0ACD27F7" w14:textId="77777777" w:rsidR="0075201E" w:rsidRPr="0031253E" w:rsidRDefault="0075201E" w:rsidP="00F3273B">
            <w:pPr>
              <w:pStyle w:val="TableText"/>
            </w:pPr>
            <w:r w:rsidRPr="0031253E">
              <w:t>First recipients do not have a child.</w:t>
            </w:r>
          </w:p>
        </w:tc>
      </w:tr>
      <w:tr w:rsidR="0075201E" w:rsidRPr="00C11E22" w14:paraId="0ACD27FD" w14:textId="77777777" w:rsidTr="00F3273B">
        <w:trPr>
          <w:cantSplit/>
        </w:trPr>
        <w:tc>
          <w:tcPr>
            <w:tcW w:w="2055" w:type="dxa"/>
            <w:shd w:val="clear" w:color="auto" w:fill="auto"/>
          </w:tcPr>
          <w:p w14:paraId="0ACD27F9" w14:textId="77777777" w:rsidR="0075201E" w:rsidRPr="0031253E" w:rsidRDefault="0075201E" w:rsidP="00F3273B">
            <w:pPr>
              <w:pStyle w:val="TableText"/>
            </w:pPr>
            <w:r w:rsidRPr="0031253E">
              <w:rPr>
                <w:color w:val="FF0000"/>
              </w:rPr>
              <w:t>Subsequent recipient not allowed.</w:t>
            </w:r>
          </w:p>
        </w:tc>
        <w:tc>
          <w:tcPr>
            <w:tcW w:w="2056" w:type="dxa"/>
          </w:tcPr>
          <w:p w14:paraId="0ACD27FA" w14:textId="77777777" w:rsidR="0075201E" w:rsidRPr="0031253E" w:rsidRDefault="0075201E" w:rsidP="00F3273B">
            <w:pPr>
              <w:pStyle w:val="TableText"/>
            </w:pPr>
            <w:r w:rsidRPr="0031253E">
              <w:t>Subsequent recipient allowed.</w:t>
            </w:r>
          </w:p>
        </w:tc>
        <w:tc>
          <w:tcPr>
            <w:tcW w:w="2055" w:type="dxa"/>
          </w:tcPr>
          <w:p w14:paraId="0ACD27FB" w14:textId="77777777" w:rsidR="0075201E" w:rsidRPr="0031253E" w:rsidRDefault="0075201E" w:rsidP="00F3273B">
            <w:pPr>
              <w:pStyle w:val="TableText"/>
            </w:pPr>
            <w:r w:rsidRPr="0031253E">
              <w:t>Subsequent recipient allowed.</w:t>
            </w:r>
          </w:p>
        </w:tc>
        <w:tc>
          <w:tcPr>
            <w:tcW w:w="2056" w:type="dxa"/>
          </w:tcPr>
          <w:p w14:paraId="0ACD27FC" w14:textId="77777777" w:rsidR="0075201E" w:rsidRPr="0031253E" w:rsidRDefault="0075201E" w:rsidP="00F3273B">
            <w:pPr>
              <w:pStyle w:val="TableText"/>
            </w:pPr>
            <w:r w:rsidRPr="0031253E">
              <w:t>Subsequent recipient allowed.</w:t>
            </w:r>
          </w:p>
        </w:tc>
      </w:tr>
    </w:tbl>
    <w:p w14:paraId="0ACD27FE" w14:textId="77777777" w:rsidR="00F3273B" w:rsidRDefault="00F3273B" w:rsidP="00F3273B"/>
    <w:p w14:paraId="0ACD27FF" w14:textId="77777777" w:rsidR="0075201E" w:rsidRPr="0066154E" w:rsidRDefault="0075201E" w:rsidP="00F3273B">
      <w:pPr>
        <w:pStyle w:val="Bullet"/>
      </w:pPr>
      <w:r w:rsidRPr="006C13F2">
        <w:t xml:space="preserve">In scenario 3, </w:t>
      </w:r>
      <w:r w:rsidRPr="006C13F2">
        <w:rPr>
          <w:b/>
        </w:rPr>
        <w:t>both</w:t>
      </w:r>
      <w:r w:rsidRPr="006C13F2">
        <w:t xml:space="preserve"> the original IPs and the recipients who have had a child using the embryos must consent to any subsequent donation. This is because the original IPs have a (partial) genetic interest, and had the embryos created for themselves, and the recipient family will have a full genetic sibling if the embryo is donated and results in a living child.</w:t>
      </w:r>
    </w:p>
    <w:p w14:paraId="0ACD2800" w14:textId="77777777" w:rsidR="0075201E" w:rsidRPr="006C13F2" w:rsidRDefault="0075201E" w:rsidP="0066154E"/>
    <w:p w14:paraId="0ACD2801" w14:textId="77777777" w:rsidR="0075201E" w:rsidRPr="00EE1DBB" w:rsidRDefault="00615A56" w:rsidP="00F3273B">
      <w:pPr>
        <w:pStyle w:val="Heading1"/>
        <w:spacing w:before="480"/>
        <w:ind w:left="567" w:hanging="567"/>
      </w:pPr>
      <w:r>
        <w:lastRenderedPageBreak/>
        <w:t>C</w:t>
      </w:r>
      <w:r>
        <w:tab/>
      </w:r>
      <w:r w:rsidR="0075201E">
        <w:t xml:space="preserve">The original intending parents use </w:t>
      </w:r>
      <w:r w:rsidR="0075201E" w:rsidRPr="00A720D3">
        <w:rPr>
          <w:i/>
        </w:rPr>
        <w:t>two donated gametes</w:t>
      </w:r>
    </w:p>
    <w:tbl>
      <w:tblPr>
        <w:tblStyle w:val="TableGrid"/>
        <w:tblW w:w="0" w:type="auto"/>
        <w:tblInd w:w="675" w:type="dxa"/>
        <w:tblLayout w:type="fixed"/>
        <w:tblLook w:val="04A0" w:firstRow="1" w:lastRow="0" w:firstColumn="1" w:lastColumn="0" w:noHBand="0" w:noVBand="1"/>
      </w:tblPr>
      <w:tblGrid>
        <w:gridCol w:w="2055"/>
        <w:gridCol w:w="2056"/>
        <w:gridCol w:w="2055"/>
        <w:gridCol w:w="2056"/>
      </w:tblGrid>
      <w:tr w:rsidR="0075201E" w:rsidRPr="00F3273B" w14:paraId="0ACD2806" w14:textId="77777777" w:rsidTr="00F3273B">
        <w:trPr>
          <w:cantSplit/>
        </w:trPr>
        <w:tc>
          <w:tcPr>
            <w:tcW w:w="2055" w:type="dxa"/>
            <w:shd w:val="clear" w:color="auto" w:fill="D9D9D9" w:themeFill="background1" w:themeFillShade="D9"/>
          </w:tcPr>
          <w:p w14:paraId="0ACD2802" w14:textId="77777777" w:rsidR="0075201E" w:rsidRPr="00F3273B" w:rsidRDefault="0075201E" w:rsidP="00F3273B">
            <w:pPr>
              <w:pStyle w:val="TableText"/>
              <w:rPr>
                <w:b/>
              </w:rPr>
            </w:pPr>
            <w:r w:rsidRPr="00F3273B">
              <w:rPr>
                <w:b/>
              </w:rPr>
              <w:t>Scenario 1</w:t>
            </w:r>
          </w:p>
        </w:tc>
        <w:tc>
          <w:tcPr>
            <w:tcW w:w="2056" w:type="dxa"/>
            <w:shd w:val="clear" w:color="auto" w:fill="D9D9D9" w:themeFill="background1" w:themeFillShade="D9"/>
          </w:tcPr>
          <w:p w14:paraId="0ACD2803" w14:textId="77777777" w:rsidR="0075201E" w:rsidRPr="00F3273B" w:rsidRDefault="0075201E" w:rsidP="00F3273B">
            <w:pPr>
              <w:pStyle w:val="TableText"/>
              <w:rPr>
                <w:b/>
              </w:rPr>
            </w:pPr>
            <w:r w:rsidRPr="00F3273B">
              <w:rPr>
                <w:b/>
              </w:rPr>
              <w:t>Scenario 2</w:t>
            </w:r>
          </w:p>
        </w:tc>
        <w:tc>
          <w:tcPr>
            <w:tcW w:w="2055" w:type="dxa"/>
            <w:shd w:val="clear" w:color="auto" w:fill="D9D9D9" w:themeFill="background1" w:themeFillShade="D9"/>
          </w:tcPr>
          <w:p w14:paraId="0ACD2804" w14:textId="77777777" w:rsidR="0075201E" w:rsidRPr="00F3273B" w:rsidRDefault="0075201E" w:rsidP="00F3273B">
            <w:pPr>
              <w:pStyle w:val="TableText"/>
              <w:rPr>
                <w:b/>
              </w:rPr>
            </w:pPr>
            <w:r w:rsidRPr="00F3273B">
              <w:rPr>
                <w:b/>
              </w:rPr>
              <w:t>Scenario 3</w:t>
            </w:r>
          </w:p>
        </w:tc>
        <w:tc>
          <w:tcPr>
            <w:tcW w:w="2056" w:type="dxa"/>
            <w:shd w:val="clear" w:color="auto" w:fill="D9D9D9" w:themeFill="background1" w:themeFillShade="D9"/>
          </w:tcPr>
          <w:p w14:paraId="0ACD2805" w14:textId="77777777" w:rsidR="0075201E" w:rsidRPr="00F3273B" w:rsidRDefault="0075201E" w:rsidP="00F3273B">
            <w:pPr>
              <w:pStyle w:val="TableText"/>
              <w:rPr>
                <w:b/>
              </w:rPr>
            </w:pPr>
            <w:r w:rsidRPr="00F3273B">
              <w:rPr>
                <w:b/>
              </w:rPr>
              <w:t>Scenario 4</w:t>
            </w:r>
          </w:p>
        </w:tc>
      </w:tr>
      <w:tr w:rsidR="0075201E" w:rsidRPr="00C11E22" w14:paraId="0ACD280D" w14:textId="77777777" w:rsidTr="00F3273B">
        <w:trPr>
          <w:cantSplit/>
        </w:trPr>
        <w:tc>
          <w:tcPr>
            <w:tcW w:w="2055" w:type="dxa"/>
          </w:tcPr>
          <w:p w14:paraId="0ACD2807" w14:textId="77777777" w:rsidR="0075201E" w:rsidRPr="0031253E" w:rsidRDefault="0075201E" w:rsidP="00F3273B">
            <w:pPr>
              <w:pStyle w:val="TableText"/>
            </w:pPr>
            <w:r w:rsidRPr="0031253E">
              <w:t>Original IP(s) have a child.</w:t>
            </w:r>
          </w:p>
        </w:tc>
        <w:tc>
          <w:tcPr>
            <w:tcW w:w="2056" w:type="dxa"/>
          </w:tcPr>
          <w:p w14:paraId="0ACD2808" w14:textId="77777777" w:rsidR="0075201E" w:rsidRPr="0031253E" w:rsidRDefault="0075201E" w:rsidP="00F3273B">
            <w:pPr>
              <w:pStyle w:val="TableText"/>
            </w:pPr>
            <w:r w:rsidRPr="0031253E">
              <w:t>Original IPs have a child.</w:t>
            </w:r>
          </w:p>
          <w:p w14:paraId="0ACD2809" w14:textId="77777777" w:rsidR="0075201E" w:rsidRPr="0031253E" w:rsidRDefault="0075201E" w:rsidP="00F3273B">
            <w:pPr>
              <w:pStyle w:val="TableText"/>
            </w:pPr>
            <w:r w:rsidRPr="0031253E">
              <w:rPr>
                <w:highlight w:val="green"/>
              </w:rPr>
              <w:t>Consent</w:t>
            </w:r>
          </w:p>
        </w:tc>
        <w:tc>
          <w:tcPr>
            <w:tcW w:w="2055" w:type="dxa"/>
          </w:tcPr>
          <w:p w14:paraId="0ACD280A" w14:textId="77777777" w:rsidR="0075201E" w:rsidRPr="0031253E" w:rsidRDefault="0075201E" w:rsidP="00F3273B">
            <w:pPr>
              <w:pStyle w:val="TableText"/>
            </w:pPr>
            <w:r w:rsidRPr="0031253E">
              <w:t>Original IPs do not have a child.</w:t>
            </w:r>
          </w:p>
        </w:tc>
        <w:tc>
          <w:tcPr>
            <w:tcW w:w="2056" w:type="dxa"/>
          </w:tcPr>
          <w:p w14:paraId="0ACD280B" w14:textId="77777777" w:rsidR="0075201E" w:rsidRPr="0031253E" w:rsidRDefault="0075201E" w:rsidP="00F3273B">
            <w:pPr>
              <w:pStyle w:val="TableText"/>
            </w:pPr>
            <w:r w:rsidRPr="0031253E">
              <w:t>Original IPs do not have a child.</w:t>
            </w:r>
          </w:p>
          <w:p w14:paraId="0ACD280C" w14:textId="77777777" w:rsidR="0075201E" w:rsidRPr="0031253E" w:rsidRDefault="0075201E" w:rsidP="00F3273B">
            <w:pPr>
              <w:pStyle w:val="TableText"/>
            </w:pPr>
            <w:r w:rsidRPr="0031253E">
              <w:rPr>
                <w:highlight w:val="green"/>
              </w:rPr>
              <w:t>Consent</w:t>
            </w:r>
          </w:p>
        </w:tc>
      </w:tr>
      <w:tr w:rsidR="0075201E" w:rsidRPr="00C11E22" w14:paraId="0ACD2814" w14:textId="77777777" w:rsidTr="00F3273B">
        <w:trPr>
          <w:cantSplit/>
        </w:trPr>
        <w:tc>
          <w:tcPr>
            <w:tcW w:w="2055" w:type="dxa"/>
          </w:tcPr>
          <w:p w14:paraId="0ACD280E" w14:textId="77777777" w:rsidR="0075201E" w:rsidRPr="0031253E" w:rsidRDefault="0075201E" w:rsidP="00F3273B">
            <w:pPr>
              <w:pStyle w:val="TableText"/>
            </w:pPr>
            <w:r w:rsidRPr="0031253E">
              <w:t>First recipient(s) have a child.</w:t>
            </w:r>
          </w:p>
        </w:tc>
        <w:tc>
          <w:tcPr>
            <w:tcW w:w="2056" w:type="dxa"/>
          </w:tcPr>
          <w:p w14:paraId="0ACD280F" w14:textId="77777777" w:rsidR="0075201E" w:rsidRPr="0031253E" w:rsidRDefault="0075201E" w:rsidP="00F3273B">
            <w:pPr>
              <w:pStyle w:val="TableText"/>
            </w:pPr>
            <w:r w:rsidRPr="0031253E">
              <w:t>First recipients do not have a child.</w:t>
            </w:r>
          </w:p>
        </w:tc>
        <w:tc>
          <w:tcPr>
            <w:tcW w:w="2055" w:type="dxa"/>
          </w:tcPr>
          <w:p w14:paraId="0ACD2810" w14:textId="77777777" w:rsidR="0075201E" w:rsidRPr="0031253E" w:rsidRDefault="0075201E" w:rsidP="00F3273B">
            <w:pPr>
              <w:pStyle w:val="TableText"/>
            </w:pPr>
            <w:r w:rsidRPr="0031253E">
              <w:t>First recipients have a child.</w:t>
            </w:r>
          </w:p>
          <w:p w14:paraId="0ACD2811" w14:textId="77777777" w:rsidR="0075201E" w:rsidRPr="0031253E" w:rsidRDefault="0075201E" w:rsidP="00F3273B">
            <w:pPr>
              <w:pStyle w:val="TableText"/>
            </w:pPr>
            <w:r w:rsidRPr="0031253E">
              <w:rPr>
                <w:highlight w:val="green"/>
              </w:rPr>
              <w:t>Consent</w:t>
            </w:r>
          </w:p>
          <w:p w14:paraId="0ACD2812" w14:textId="77777777" w:rsidR="0075201E" w:rsidRPr="0031253E" w:rsidRDefault="0075201E" w:rsidP="00F3273B">
            <w:pPr>
              <w:pStyle w:val="TableText"/>
              <w:rPr>
                <w:i/>
              </w:rPr>
            </w:pPr>
            <w:r w:rsidRPr="0031253E">
              <w:rPr>
                <w:i/>
              </w:rPr>
              <w:t>This is the “on-donation”</w:t>
            </w:r>
          </w:p>
        </w:tc>
        <w:tc>
          <w:tcPr>
            <w:tcW w:w="2056" w:type="dxa"/>
          </w:tcPr>
          <w:p w14:paraId="0ACD2813" w14:textId="77777777" w:rsidR="0075201E" w:rsidRPr="0031253E" w:rsidRDefault="0075201E" w:rsidP="00F3273B">
            <w:pPr>
              <w:pStyle w:val="TableText"/>
            </w:pPr>
            <w:r w:rsidRPr="0031253E">
              <w:t>First recipients do not have a child.</w:t>
            </w:r>
          </w:p>
        </w:tc>
      </w:tr>
      <w:tr w:rsidR="0075201E" w:rsidRPr="00C11E22" w14:paraId="0ACD2819" w14:textId="77777777" w:rsidTr="00F3273B">
        <w:trPr>
          <w:cantSplit/>
        </w:trPr>
        <w:tc>
          <w:tcPr>
            <w:tcW w:w="2055" w:type="dxa"/>
            <w:shd w:val="clear" w:color="auto" w:fill="auto"/>
          </w:tcPr>
          <w:p w14:paraId="0ACD2815" w14:textId="77777777" w:rsidR="0075201E" w:rsidRPr="0031253E" w:rsidRDefault="0075201E" w:rsidP="00F3273B">
            <w:pPr>
              <w:pStyle w:val="TableText"/>
            </w:pPr>
            <w:r w:rsidRPr="0031253E">
              <w:rPr>
                <w:color w:val="FF0000"/>
              </w:rPr>
              <w:t>Subsequent recipient not allowed.</w:t>
            </w:r>
          </w:p>
        </w:tc>
        <w:tc>
          <w:tcPr>
            <w:tcW w:w="2056" w:type="dxa"/>
          </w:tcPr>
          <w:p w14:paraId="0ACD2816" w14:textId="77777777" w:rsidR="0075201E" w:rsidRPr="0031253E" w:rsidRDefault="0075201E" w:rsidP="00F3273B">
            <w:pPr>
              <w:pStyle w:val="TableText"/>
            </w:pPr>
            <w:r w:rsidRPr="0031253E">
              <w:t>Subsequent recipient allowed.</w:t>
            </w:r>
          </w:p>
        </w:tc>
        <w:tc>
          <w:tcPr>
            <w:tcW w:w="2055" w:type="dxa"/>
          </w:tcPr>
          <w:p w14:paraId="0ACD2817" w14:textId="77777777" w:rsidR="0075201E" w:rsidRPr="0031253E" w:rsidRDefault="0075201E" w:rsidP="00F3273B">
            <w:pPr>
              <w:pStyle w:val="TableText"/>
            </w:pPr>
            <w:r w:rsidRPr="0031253E">
              <w:t>Subsequent recipient allowed.</w:t>
            </w:r>
          </w:p>
        </w:tc>
        <w:tc>
          <w:tcPr>
            <w:tcW w:w="2056" w:type="dxa"/>
          </w:tcPr>
          <w:p w14:paraId="0ACD2818" w14:textId="77777777" w:rsidR="0075201E" w:rsidRPr="0031253E" w:rsidRDefault="0075201E" w:rsidP="00F3273B">
            <w:pPr>
              <w:pStyle w:val="TableText"/>
            </w:pPr>
            <w:r w:rsidRPr="0031253E">
              <w:t>Subsequent recipient allowed.</w:t>
            </w:r>
          </w:p>
        </w:tc>
      </w:tr>
    </w:tbl>
    <w:p w14:paraId="0ACD281A" w14:textId="77777777" w:rsidR="0075201E" w:rsidRDefault="0075201E" w:rsidP="00F3273B"/>
    <w:p w14:paraId="0ACD281B" w14:textId="77777777" w:rsidR="0075201E" w:rsidRDefault="0075201E" w:rsidP="00F3273B">
      <w:pPr>
        <w:pStyle w:val="Bullet"/>
      </w:pPr>
      <w:r w:rsidRPr="00FA54AE">
        <w:t>In scenario 3</w:t>
      </w:r>
      <w:r>
        <w:t>,</w:t>
      </w:r>
      <w:r w:rsidRPr="00FA54AE">
        <w:t xml:space="preserve"> the recipients can </w:t>
      </w:r>
      <w:r w:rsidRPr="00FA54AE">
        <w:rPr>
          <w:b/>
        </w:rPr>
        <w:t>on</w:t>
      </w:r>
      <w:r w:rsidRPr="00FA54AE">
        <w:t xml:space="preserve">-donate surplus embryos because they have had a child that would be born from the embryos that are to be donated and because the original intending parents </w:t>
      </w:r>
      <w:r>
        <w:t xml:space="preserve">did not have a child, nor do the original intending parents have gametes in the embryos. This means the original intending parents are considered to </w:t>
      </w:r>
      <w:r w:rsidRPr="00FA54AE">
        <w:t>have less of a</w:t>
      </w:r>
      <w:r>
        <w:t xml:space="preserve"> connection</w:t>
      </w:r>
      <w:r w:rsidRPr="00FA54AE">
        <w:t xml:space="preserve"> </w:t>
      </w:r>
      <w:r>
        <w:t>to</w:t>
      </w:r>
      <w:r w:rsidRPr="00FA54AE">
        <w:t xml:space="preserve"> the embryos</w:t>
      </w:r>
      <w:r>
        <w:t xml:space="preserve">. Since the </w:t>
      </w:r>
      <w:r w:rsidDel="00663D51">
        <w:t xml:space="preserve">original intending parents </w:t>
      </w:r>
      <w:r w:rsidRPr="00FA54AE" w:rsidDel="00663D51">
        <w:t>have not had a child using the embryos</w:t>
      </w:r>
      <w:r>
        <w:t>, there is no full-genetic sibling connection either</w:t>
      </w:r>
      <w:r w:rsidRPr="00FA54AE" w:rsidDel="00663D51">
        <w:t>.</w:t>
      </w:r>
    </w:p>
    <w:p w14:paraId="0ACD281C" w14:textId="77777777" w:rsidR="0075201E" w:rsidRPr="00FA54AE" w:rsidRDefault="0075201E" w:rsidP="00F3273B">
      <w:pPr>
        <w:pStyle w:val="Bullet"/>
      </w:pPr>
      <w:r>
        <w:t>These provisions for consent do not prevent original intending parents from placing conditions on their original embryo donation. For example, if they wish they may consent to embryo donation subject to them not being on-donated.</w:t>
      </w:r>
    </w:p>
    <w:p w14:paraId="0ACD281D" w14:textId="77777777" w:rsidR="008D1D75" w:rsidRPr="009C039F" w:rsidRDefault="008D1D75" w:rsidP="0066154E"/>
    <w:sectPr w:rsidR="008D1D75" w:rsidRPr="009C039F" w:rsidSect="00554D66">
      <w:footerReference w:type="even" r:id="rId9"/>
      <w:footerReference w:type="default" r:id="rId10"/>
      <w:headerReference w:type="first" r:id="rId11"/>
      <w:footerReference w:type="first" r:id="rId12"/>
      <w:pgSz w:w="11907" w:h="16834" w:code="9"/>
      <w:pgMar w:top="1701" w:right="1418" w:bottom="1701" w:left="1701" w:header="425"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2A257" w14:textId="77777777" w:rsidR="00C90DCC" w:rsidRDefault="00C90DCC">
      <w:r>
        <w:separator/>
      </w:r>
    </w:p>
  </w:endnote>
  <w:endnote w:type="continuationSeparator" w:id="0">
    <w:p w14:paraId="1C835F3C" w14:textId="77777777" w:rsidR="00C90DCC" w:rsidRDefault="00C9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3E0E7D" w14:paraId="0ACD2824" w14:textId="77777777" w:rsidTr="004C1EB9">
      <w:trPr>
        <w:cantSplit/>
      </w:trPr>
      <w:tc>
        <w:tcPr>
          <w:tcW w:w="709" w:type="dxa"/>
        </w:tcPr>
        <w:p w14:paraId="0ACD2822" w14:textId="77777777" w:rsidR="003E0E7D" w:rsidRDefault="003E0E7D" w:rsidP="004C1EB9">
          <w:r>
            <w:rPr>
              <w:noProof/>
              <w:lang w:eastAsia="en-NZ"/>
            </w:rPr>
            <w:drawing>
              <wp:anchor distT="0" distB="0" distL="114300" distR="114300" simplePos="0" relativeHeight="251856896" behindDoc="1" locked="0" layoutInCell="1" allowOverlap="1" wp14:anchorId="0ACD2832" wp14:editId="0ACD2833">
                <wp:simplePos x="0" y="0"/>
                <wp:positionH relativeFrom="column">
                  <wp:posOffset>-423545</wp:posOffset>
                </wp:positionH>
                <wp:positionV relativeFrom="paragraph">
                  <wp:posOffset>-904933</wp:posOffset>
                </wp:positionV>
                <wp:extent cx="1449705" cy="1449070"/>
                <wp:effectExtent l="0" t="0" r="0" b="0"/>
                <wp:wrapNone/>
                <wp:docPr id="41" name="Picture 4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501A57">
            <w:rPr>
              <w:rStyle w:val="PageNumber"/>
              <w:noProof/>
            </w:rPr>
            <w:t>10</w:t>
          </w:r>
          <w:r>
            <w:rPr>
              <w:rStyle w:val="PageNumber"/>
            </w:rPr>
            <w:fldChar w:fldCharType="end"/>
          </w:r>
        </w:p>
      </w:tc>
      <w:tc>
        <w:tcPr>
          <w:tcW w:w="8789" w:type="dxa"/>
          <w:tcBorders>
            <w:top w:val="single" w:sz="4" w:space="0" w:color="auto"/>
          </w:tcBorders>
        </w:tcPr>
        <w:p w14:paraId="0ACD2823" w14:textId="77777777" w:rsidR="003E0E7D" w:rsidRDefault="00615A56" w:rsidP="004C1EB9">
          <w:pPr>
            <w:pStyle w:val="RectoFooter"/>
            <w:jc w:val="left"/>
          </w:pPr>
          <w:r>
            <w:rPr>
              <w:noProof/>
              <w:lang w:eastAsia="en-NZ"/>
            </w:rPr>
            <w:t>Supplementary Information to the Donation and Surrogacy Guidelines</w:t>
          </w:r>
        </w:p>
      </w:tc>
    </w:tr>
  </w:tbl>
  <w:p w14:paraId="0ACD2825" w14:textId="77777777" w:rsidR="003E0E7D" w:rsidRPr="003E0E7D" w:rsidRDefault="003E0E7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15A56" w14:paraId="0ACD2828" w14:textId="77777777" w:rsidTr="00A74DDF">
      <w:trPr>
        <w:cantSplit/>
      </w:trPr>
      <w:tc>
        <w:tcPr>
          <w:tcW w:w="8789" w:type="dxa"/>
          <w:tcBorders>
            <w:bottom w:val="nil"/>
          </w:tcBorders>
          <w:vAlign w:val="center"/>
        </w:tcPr>
        <w:p w14:paraId="0ACD2826" w14:textId="77777777" w:rsidR="00615A56" w:rsidRDefault="00615A56" w:rsidP="00A74DDF">
          <w:pPr>
            <w:pStyle w:val="RectoFooter"/>
            <w:jc w:val="right"/>
          </w:pPr>
          <w:r>
            <w:rPr>
              <w:noProof/>
              <w:lang w:eastAsia="en-NZ"/>
            </w:rPr>
            <w:drawing>
              <wp:anchor distT="0" distB="0" distL="114300" distR="114300" simplePos="0" relativeHeight="251858944" behindDoc="1" locked="0" layoutInCell="1" allowOverlap="1" wp14:anchorId="0ACD2834" wp14:editId="0ACD2835">
                <wp:simplePos x="0" y="0"/>
                <wp:positionH relativeFrom="column">
                  <wp:posOffset>5006975</wp:posOffset>
                </wp:positionH>
                <wp:positionV relativeFrom="paragraph">
                  <wp:posOffset>-914400</wp:posOffset>
                </wp:positionV>
                <wp:extent cx="1449705" cy="1449070"/>
                <wp:effectExtent l="0" t="0" r="0" b="0"/>
                <wp:wrapNone/>
                <wp:docPr id="2" name="Picture 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t>Supplementary Information to the Donation and Surrogacy Guidelines</w:t>
          </w:r>
        </w:p>
      </w:tc>
      <w:tc>
        <w:tcPr>
          <w:tcW w:w="709" w:type="dxa"/>
          <w:tcBorders>
            <w:top w:val="nil"/>
            <w:bottom w:val="nil"/>
          </w:tcBorders>
        </w:tcPr>
        <w:p w14:paraId="0ACD2827" w14:textId="77777777" w:rsidR="00615A56" w:rsidRDefault="00615A56" w:rsidP="00A74DDF">
          <w:pPr>
            <w:jc w:val="right"/>
          </w:pPr>
          <w:r>
            <w:rPr>
              <w:rStyle w:val="PageNumber"/>
            </w:rPr>
            <w:fldChar w:fldCharType="begin"/>
          </w:r>
          <w:r>
            <w:rPr>
              <w:rStyle w:val="PageNumber"/>
            </w:rPr>
            <w:instrText xml:space="preserve"> PAGE </w:instrText>
          </w:r>
          <w:r>
            <w:rPr>
              <w:rStyle w:val="PageNumber"/>
            </w:rPr>
            <w:fldChar w:fldCharType="separate"/>
          </w:r>
          <w:r w:rsidR="00501A57">
            <w:rPr>
              <w:rStyle w:val="PageNumber"/>
              <w:noProof/>
            </w:rPr>
            <w:t>9</w:t>
          </w:r>
          <w:r>
            <w:rPr>
              <w:rStyle w:val="PageNumber"/>
            </w:rPr>
            <w:fldChar w:fldCharType="end"/>
          </w:r>
        </w:p>
      </w:tc>
    </w:tr>
  </w:tbl>
  <w:p w14:paraId="0ACD2829" w14:textId="77777777" w:rsidR="003E0E7D" w:rsidRPr="003E0E7D" w:rsidRDefault="003E0E7D">
    <w:pPr>
      <w:pStyle w:val="Footer"/>
      <w:rPr>
        <w:sz w:val="2"/>
        <w:szCs w:val="2"/>
      </w:rPr>
    </w:pPr>
    <w:r>
      <w:rPr>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3E0E7D" w14:paraId="0ACD2830" w14:textId="77777777" w:rsidTr="004C1EB9">
      <w:trPr>
        <w:cantSplit/>
      </w:trPr>
      <w:tc>
        <w:tcPr>
          <w:tcW w:w="8789" w:type="dxa"/>
          <w:tcBorders>
            <w:bottom w:val="nil"/>
          </w:tcBorders>
          <w:vAlign w:val="center"/>
        </w:tcPr>
        <w:p w14:paraId="0ACD282E" w14:textId="77777777" w:rsidR="003E0E7D" w:rsidRDefault="003E0E7D" w:rsidP="0075201E">
          <w:pPr>
            <w:pStyle w:val="RectoFooter"/>
            <w:jc w:val="right"/>
          </w:pPr>
          <w:r>
            <w:rPr>
              <w:noProof/>
              <w:lang w:eastAsia="en-NZ"/>
            </w:rPr>
            <w:drawing>
              <wp:anchor distT="0" distB="0" distL="114300" distR="114300" simplePos="0" relativeHeight="251854848" behindDoc="1" locked="0" layoutInCell="1" allowOverlap="1" wp14:anchorId="0ACD2838" wp14:editId="0ACD2839">
                <wp:simplePos x="0" y="0"/>
                <wp:positionH relativeFrom="column">
                  <wp:posOffset>5006975</wp:posOffset>
                </wp:positionH>
                <wp:positionV relativeFrom="paragraph">
                  <wp:posOffset>-914400</wp:posOffset>
                </wp:positionV>
                <wp:extent cx="1449705" cy="1449070"/>
                <wp:effectExtent l="0" t="0" r="0" b="0"/>
                <wp:wrapNone/>
                <wp:docPr id="28" name="Picture 2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01E">
            <w:rPr>
              <w:noProof/>
              <w:lang w:eastAsia="en-NZ"/>
            </w:rPr>
            <w:t>Supplementary Information to the Donation and Surrogacy Guidelines</w:t>
          </w:r>
        </w:p>
      </w:tc>
      <w:tc>
        <w:tcPr>
          <w:tcW w:w="709" w:type="dxa"/>
          <w:tcBorders>
            <w:top w:val="nil"/>
            <w:bottom w:val="nil"/>
          </w:tcBorders>
        </w:tcPr>
        <w:p w14:paraId="0ACD282F" w14:textId="77777777" w:rsidR="003E0E7D" w:rsidRDefault="003E0E7D" w:rsidP="004C1EB9">
          <w:pPr>
            <w:jc w:val="right"/>
          </w:pPr>
          <w:r>
            <w:rPr>
              <w:rStyle w:val="PageNumber"/>
            </w:rPr>
            <w:fldChar w:fldCharType="begin"/>
          </w:r>
          <w:r>
            <w:rPr>
              <w:rStyle w:val="PageNumber"/>
            </w:rPr>
            <w:instrText xml:space="preserve"> PAGE </w:instrText>
          </w:r>
          <w:r>
            <w:rPr>
              <w:rStyle w:val="PageNumber"/>
            </w:rPr>
            <w:fldChar w:fldCharType="separate"/>
          </w:r>
          <w:r w:rsidR="00501A57">
            <w:rPr>
              <w:rStyle w:val="PageNumber"/>
              <w:noProof/>
            </w:rPr>
            <w:t>1</w:t>
          </w:r>
          <w:r>
            <w:rPr>
              <w:rStyle w:val="PageNumber"/>
            </w:rPr>
            <w:fldChar w:fldCharType="end"/>
          </w:r>
        </w:p>
      </w:tc>
    </w:tr>
  </w:tbl>
  <w:p w14:paraId="0ACD2831" w14:textId="77777777" w:rsidR="00F96760" w:rsidRPr="004D655D" w:rsidRDefault="00F9676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B23C8" w14:textId="77777777" w:rsidR="00C90DCC" w:rsidRPr="00A266FF" w:rsidRDefault="00C90DCC">
      <w:pPr>
        <w:rPr>
          <w:sz w:val="18"/>
          <w:szCs w:val="18"/>
        </w:rPr>
      </w:pPr>
      <w:r w:rsidRPr="00A266FF">
        <w:rPr>
          <w:sz w:val="18"/>
          <w:szCs w:val="18"/>
        </w:rPr>
        <w:separator/>
      </w:r>
    </w:p>
  </w:footnote>
  <w:footnote w:type="continuationSeparator" w:id="0">
    <w:p w14:paraId="4F70512D" w14:textId="77777777" w:rsidR="00C90DCC" w:rsidRDefault="00C90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2"/>
      <w:gridCol w:w="4287"/>
    </w:tblGrid>
    <w:tr w:rsidR="0075201E" w14:paraId="0ACD282C" w14:textId="77777777" w:rsidTr="0075201E">
      <w:tc>
        <w:tcPr>
          <w:tcW w:w="4502" w:type="dxa"/>
          <w:vAlign w:val="center"/>
        </w:tcPr>
        <w:p w14:paraId="0ACD282A" w14:textId="77777777" w:rsidR="0075201E" w:rsidRDefault="0075201E" w:rsidP="0075201E">
          <w:pPr>
            <w:pStyle w:val="Header"/>
            <w:jc w:val="left"/>
          </w:pPr>
          <w:r>
            <w:t>June 2021</w:t>
          </w:r>
        </w:p>
      </w:tc>
      <w:tc>
        <w:tcPr>
          <w:tcW w:w="4287" w:type="dxa"/>
        </w:tcPr>
        <w:p w14:paraId="0ACD282B" w14:textId="77777777" w:rsidR="0075201E" w:rsidRDefault="0075201E" w:rsidP="0075201E">
          <w:pPr>
            <w:pStyle w:val="Header"/>
            <w:jc w:val="right"/>
          </w:pPr>
          <w:r w:rsidRPr="00155578">
            <w:rPr>
              <w:noProof/>
              <w:lang w:eastAsia="en-NZ"/>
            </w:rPr>
            <w:drawing>
              <wp:inline distT="0" distB="0" distL="0" distR="0" wp14:anchorId="0ACD2836" wp14:editId="32E94E30">
                <wp:extent cx="1955800" cy="556895"/>
                <wp:effectExtent l="0" t="0" r="6350" b="0"/>
                <wp:docPr id="1" name="Picture 1" descr="AC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mkennedy\Documents\2. ACART\acart icon.png"/>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tc>
    </w:tr>
  </w:tbl>
  <w:p w14:paraId="0ACD282D" w14:textId="77777777" w:rsidR="00554D66" w:rsidRDefault="00554D66" w:rsidP="0075201E">
    <w:pPr>
      <w:pStyle w:val="Header"/>
      <w:spacing w:after="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D38EC3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647C779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DA2A8E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937BBA"/>
    <w:multiLevelType w:val="hybridMultilevel"/>
    <w:tmpl w:val="010A2C64"/>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14B17975"/>
    <w:multiLevelType w:val="hybridMultilevel"/>
    <w:tmpl w:val="A852C02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 w15:restartNumberingAfterBreak="0">
    <w:nsid w:val="18204320"/>
    <w:multiLevelType w:val="hybridMultilevel"/>
    <w:tmpl w:val="8DAA260A"/>
    <w:lvl w:ilvl="0" w:tplc="95D0CA86">
      <w:start w:val="1"/>
      <w:numFmt w:val="upperLetter"/>
      <w:lvlText w:val="%1."/>
      <w:lvlJc w:val="left"/>
      <w:pPr>
        <w:ind w:left="360" w:hanging="360"/>
      </w:pPr>
      <w:rPr>
        <w:rFonts w:eastAsia="Calibri"/>
        <w:b w:val="0"/>
        <w:color w:val="0A6AB4"/>
        <w:sz w:val="32"/>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7" w15:restartNumberingAfterBreak="0">
    <w:nsid w:val="20B0410A"/>
    <w:multiLevelType w:val="hybridMultilevel"/>
    <w:tmpl w:val="6692587C"/>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3DC7796"/>
    <w:multiLevelType w:val="multilevel"/>
    <w:tmpl w:val="B8D2E37E"/>
    <w:lvl w:ilvl="0">
      <w:start w:val="1"/>
      <w:numFmt w:val="decimal"/>
      <w:lvlText w:val="%1."/>
      <w:lvlJc w:val="left"/>
      <w:pPr>
        <w:ind w:left="567" w:hanging="567"/>
      </w:pPr>
    </w:lvl>
    <w:lvl w:ilvl="1">
      <w:start w:val="1"/>
      <w:numFmt w:val="lowerLetter"/>
      <w:lvlText w:val="(%2)"/>
      <w:lvlJc w:val="left"/>
      <w:pPr>
        <w:ind w:left="1275"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074A60"/>
    <w:multiLevelType w:val="multilevel"/>
    <w:tmpl w:val="ECE6BCE0"/>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894290"/>
    <w:multiLevelType w:val="hybridMultilevel"/>
    <w:tmpl w:val="22D4955A"/>
    <w:lvl w:ilvl="0" w:tplc="738A002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EA65523"/>
    <w:multiLevelType w:val="hybridMultilevel"/>
    <w:tmpl w:val="B948B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07B0C54"/>
    <w:multiLevelType w:val="hybridMultilevel"/>
    <w:tmpl w:val="74E270A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20777A1"/>
    <w:multiLevelType w:val="hybridMultilevel"/>
    <w:tmpl w:val="DEBC5D2A"/>
    <w:lvl w:ilvl="0" w:tplc="AB5C9218">
      <w:start w:val="1"/>
      <w:numFmt w:val="decimal"/>
      <w:lvlText w:val="%1."/>
      <w:lvlJc w:val="left"/>
      <w:pPr>
        <w:ind w:left="720" w:hanging="36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BE44903"/>
    <w:multiLevelType w:val="hybridMultilevel"/>
    <w:tmpl w:val="51D263DA"/>
    <w:lvl w:ilvl="0" w:tplc="1409000F">
      <w:start w:val="1"/>
      <w:numFmt w:val="decimal"/>
      <w:lvlText w:val="%1."/>
      <w:lvlJc w:val="left"/>
      <w:pPr>
        <w:ind w:left="360" w:hanging="360"/>
      </w:pPr>
    </w:lvl>
    <w:lvl w:ilvl="1" w:tplc="F9D27932">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CA36DE6"/>
    <w:multiLevelType w:val="multilevel"/>
    <w:tmpl w:val="B74C7B4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0405A9"/>
    <w:multiLevelType w:val="multilevel"/>
    <w:tmpl w:val="88A21CFC"/>
    <w:lvl w:ilvl="0">
      <w:start w:val="1"/>
      <w:numFmt w:val="upperLetter"/>
      <w:lvlText w:val="%1"/>
      <w:lvlJc w:val="left"/>
      <w:pPr>
        <w:ind w:left="851" w:hanging="851"/>
      </w:pPr>
      <w:rPr>
        <w:rFonts w:hint="default"/>
      </w:rPr>
    </w:lvl>
    <w:lvl w:ilvl="1">
      <w:start w:val="1"/>
      <w:numFmt w:val="none"/>
      <w:pStyle w:val="Heading2"/>
      <w:suff w:val="nothing"/>
      <w:lvlText w:val="%2"/>
      <w:lvlJc w:val="left"/>
      <w:pPr>
        <w:ind w:left="0" w:firstLine="0"/>
      </w:pPr>
      <w:rPr>
        <w:rFonts w:hint="default"/>
      </w:rPr>
    </w:lvl>
    <w:lvl w:ilvl="2">
      <w:start w:val="1"/>
      <w:numFmt w:val="decimal"/>
      <w:lvlRestart w:val="0"/>
      <w:pStyle w:val="Number"/>
      <w:lvlText w:val="%3."/>
      <w:lvlJc w:val="left"/>
      <w:pPr>
        <w:ind w:left="567" w:hanging="567"/>
      </w:pPr>
      <w:rPr>
        <w:rFonts w:hint="default"/>
      </w:rPr>
    </w:lvl>
    <w:lvl w:ilvl="3">
      <w:start w:val="1"/>
      <w:numFmt w:val="lowerLetter"/>
      <w:pStyle w:val="Letter"/>
      <w:lvlText w:val="%4)"/>
      <w:lvlJc w:val="left"/>
      <w:pPr>
        <w:ind w:left="1134"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C4BFE"/>
    <w:multiLevelType w:val="hybridMultilevel"/>
    <w:tmpl w:val="3B3E0944"/>
    <w:lvl w:ilvl="0" w:tplc="14090019">
      <w:start w:val="1"/>
      <w:numFmt w:val="lowerLetter"/>
      <w:lvlText w:val="%1."/>
      <w:lvlJc w:val="left"/>
      <w:pPr>
        <w:ind w:left="1004" w:hanging="360"/>
      </w:pPr>
      <w:rPr>
        <w:rFonts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0" w15:restartNumberingAfterBreak="0">
    <w:nsid w:val="53036493"/>
    <w:multiLevelType w:val="hybridMultilevel"/>
    <w:tmpl w:val="D49608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38F4BB4"/>
    <w:multiLevelType w:val="hybridMultilevel"/>
    <w:tmpl w:val="F4E82C38"/>
    <w:lvl w:ilvl="0" w:tplc="A1A82DD4">
      <w:start w:val="1"/>
      <w:numFmt w:val="bullet"/>
      <w:pStyle w:val="TableDash"/>
      <w:lvlText w:val="–"/>
      <w:lvlJc w:val="left"/>
      <w:pPr>
        <w:ind w:left="1004" w:hanging="360"/>
      </w:pPr>
      <w:rPr>
        <w:rFonts w:ascii="Arial" w:hAnsi="Arial"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2" w15:restartNumberingAfterBreak="0">
    <w:nsid w:val="55CA7F02"/>
    <w:multiLevelType w:val="hybridMultilevel"/>
    <w:tmpl w:val="FB301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01B31CE"/>
    <w:multiLevelType w:val="hybridMultilevel"/>
    <w:tmpl w:val="C258504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35D2231"/>
    <w:multiLevelType w:val="hybridMultilevel"/>
    <w:tmpl w:val="EDB4B6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5164430"/>
    <w:multiLevelType w:val="hybridMultilevel"/>
    <w:tmpl w:val="2E409FD6"/>
    <w:lvl w:ilvl="0" w:tplc="F9D27932">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15:restartNumberingAfterBreak="0">
    <w:nsid w:val="66F45A60"/>
    <w:multiLevelType w:val="multilevel"/>
    <w:tmpl w:val="0D888CB8"/>
    <w:lvl w:ilvl="0">
      <w:start w:val="1"/>
      <w:numFmt w:val="decimal"/>
      <w:lvlText w:val="%1"/>
      <w:lvlJc w:val="left"/>
      <w:pPr>
        <w:tabs>
          <w:tab w:val="num" w:pos="851"/>
        </w:tabs>
        <w:ind w:left="851" w:hanging="851"/>
      </w:pPr>
      <w:rPr>
        <w:rFonts w:hint="default"/>
        <w:b/>
        <w:i w:val="0"/>
        <w:sz w:val="48"/>
        <w:szCs w:val="52"/>
      </w:rPr>
    </w:lvl>
    <w:lvl w:ilvl="1">
      <w:start w:val="1"/>
      <w:numFmt w:val="decimal"/>
      <w:lvlText w:val="%1.%2"/>
      <w:lvlJc w:val="left"/>
      <w:pPr>
        <w:ind w:left="851" w:hanging="851"/>
      </w:pPr>
      <w:rPr>
        <w:rFonts w:hint="default"/>
        <w:b w:val="0"/>
        <w:i w:val="0"/>
        <w:sz w:val="32"/>
        <w:szCs w:val="32"/>
      </w:rPr>
    </w:lvl>
    <w:lvl w:ilvl="2">
      <w:start w:val="1"/>
      <w:numFmt w:val="decimal"/>
      <w:lvlText w:val="%1.%2.%3"/>
      <w:lvlJc w:val="left"/>
      <w:pPr>
        <w:ind w:left="851" w:hanging="851"/>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z w:val="22"/>
        <w:szCs w:val="24"/>
      </w:rPr>
    </w:lvl>
    <w:lvl w:ilvl="4">
      <w:start w:val="1"/>
      <w:numFmt w:val="lowerLetter"/>
      <w:lvlText w:val="%5)"/>
      <w:lvlJc w:val="left"/>
      <w:pPr>
        <w:ind w:left="1134" w:hanging="567"/>
      </w:pPr>
      <w:rPr>
        <w:rFonts w:ascii="Arial" w:hAnsi="Arial" w:hint="default"/>
        <w:b w:val="0"/>
        <w:i w:val="0"/>
        <w:sz w:val="22"/>
        <w:szCs w:val="22"/>
      </w:rPr>
    </w:lvl>
    <w:lvl w:ilvl="5">
      <w:start w:val="1"/>
      <w:numFmt w:val="decimal"/>
      <w:lvlRestart w:val="0"/>
      <w:pStyle w:val="TableLetter"/>
      <w:lvlText w:val="%6."/>
      <w:lvlJc w:val="left"/>
      <w:pPr>
        <w:ind w:left="425" w:hanging="425"/>
      </w:pPr>
      <w:rPr>
        <w:rFonts w:hint="default"/>
      </w:rPr>
    </w:lvl>
    <w:lvl w:ilvl="6">
      <w:start w:val="1"/>
      <w:numFmt w:val="lowerLetter"/>
      <w:pStyle w:val="Table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27" w15:restartNumberingAfterBreak="0">
    <w:nsid w:val="6810018A"/>
    <w:multiLevelType w:val="hybridMultilevel"/>
    <w:tmpl w:val="7124E7D0"/>
    <w:lvl w:ilvl="0" w:tplc="14090015">
      <w:start w:val="7"/>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82B01D2"/>
    <w:multiLevelType w:val="hybridMultilevel"/>
    <w:tmpl w:val="F5C08006"/>
    <w:lvl w:ilvl="0" w:tplc="1409000F">
      <w:start w:val="1"/>
      <w:numFmt w:val="decimal"/>
      <w:lvlText w:val="%1."/>
      <w:lvlJc w:val="left"/>
      <w:pPr>
        <w:ind w:left="360" w:hanging="360"/>
      </w:p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9" w15:restartNumberingAfterBreak="0">
    <w:nsid w:val="69BF1EAB"/>
    <w:multiLevelType w:val="multilevel"/>
    <w:tmpl w:val="45B484EE"/>
    <w:lvl w:ilvl="0">
      <w:start w:val="1"/>
      <w:numFmt w:val="none"/>
      <w:suff w:val="nothing"/>
      <w:lvlText w:val="%1"/>
      <w:lvlJc w:val="left"/>
      <w:pPr>
        <w:ind w:left="0" w:firstLine="0"/>
      </w:pPr>
      <w:rPr>
        <w:rFonts w:hint="default"/>
        <w:b/>
        <w:i w:val="0"/>
        <w:sz w:val="48"/>
        <w:szCs w:val="52"/>
      </w:rPr>
    </w:lvl>
    <w:lvl w:ilvl="1">
      <w:start w:val="1"/>
      <w:numFmt w:val="none"/>
      <w:lvlRestart w:val="0"/>
      <w:suff w:val="nothing"/>
      <w:lvlText w:val=""/>
      <w:lvlJc w:val="left"/>
      <w:pPr>
        <w:ind w:left="0" w:firstLine="0"/>
      </w:pPr>
      <w:rPr>
        <w:rFonts w:hint="default"/>
        <w:b w:val="0"/>
        <w:i w:val="0"/>
        <w:sz w:val="32"/>
        <w:szCs w:val="32"/>
      </w:rPr>
    </w:lvl>
    <w:lvl w:ilvl="2">
      <w:start w:val="1"/>
      <w:numFmt w:val="none"/>
      <w:lvlRestart w:val="0"/>
      <w:suff w:val="nothing"/>
      <w:lvlText w:val="%1"/>
      <w:lvlJc w:val="left"/>
      <w:pPr>
        <w:ind w:left="0" w:firstLine="0"/>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trike w:val="0"/>
        <w:color w:val="auto"/>
        <w:sz w:val="22"/>
        <w:szCs w:val="24"/>
      </w:rPr>
    </w:lvl>
    <w:lvl w:ilvl="4">
      <w:start w:val="1"/>
      <w:numFmt w:val="lowerRoman"/>
      <w:lvlText w:val="%5."/>
      <w:lvlJc w:val="right"/>
      <w:pPr>
        <w:tabs>
          <w:tab w:val="num" w:pos="992"/>
        </w:tabs>
        <w:ind w:left="992" w:hanging="992"/>
      </w:pPr>
      <w:rPr>
        <w:rFonts w:hint="default"/>
        <w:b w:val="0"/>
        <w:i w:val="0"/>
        <w:sz w:val="22"/>
        <w:szCs w:val="22"/>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30" w15:restartNumberingAfterBreak="0">
    <w:nsid w:val="722A7AC0"/>
    <w:multiLevelType w:val="multilevel"/>
    <w:tmpl w:val="37760CBA"/>
    <w:lvl w:ilvl="0">
      <w:start w:val="1"/>
      <w:numFmt w:val="decimal"/>
      <w:lvlText w:val="%1"/>
      <w:lvlJc w:val="left"/>
      <w:pPr>
        <w:tabs>
          <w:tab w:val="num" w:pos="851"/>
        </w:tabs>
        <w:ind w:left="851" w:hanging="851"/>
      </w:pPr>
      <w:rPr>
        <w:rFonts w:hint="default"/>
        <w:b/>
        <w:i w:val="0"/>
        <w:sz w:val="48"/>
        <w:szCs w:val="52"/>
      </w:rPr>
    </w:lvl>
    <w:lvl w:ilvl="1">
      <w:start w:val="1"/>
      <w:numFmt w:val="decimal"/>
      <w:lvlText w:val="%1.%2"/>
      <w:lvlJc w:val="left"/>
      <w:pPr>
        <w:ind w:left="851" w:hanging="851"/>
      </w:pPr>
      <w:rPr>
        <w:rFonts w:hint="default"/>
        <w:b w:val="0"/>
        <w:i w:val="0"/>
        <w:sz w:val="32"/>
        <w:szCs w:val="32"/>
      </w:rPr>
    </w:lvl>
    <w:lvl w:ilvl="2">
      <w:start w:val="1"/>
      <w:numFmt w:val="decimal"/>
      <w:lvlText w:val="%1.%2.%3"/>
      <w:lvlJc w:val="left"/>
      <w:pPr>
        <w:ind w:left="851" w:hanging="851"/>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z w:val="22"/>
        <w:szCs w:val="24"/>
      </w:rPr>
    </w:lvl>
    <w:lvl w:ilvl="4">
      <w:start w:val="1"/>
      <w:numFmt w:val="lowerLetter"/>
      <w:lvlText w:val="%5)"/>
      <w:lvlJc w:val="left"/>
      <w:pPr>
        <w:ind w:left="1134" w:hanging="567"/>
      </w:pPr>
      <w:rPr>
        <w:rFonts w:ascii="Arial" w:hAnsi="Arial" w:hint="default"/>
        <w:b w:val="0"/>
        <w:i w:val="0"/>
        <w:sz w:val="22"/>
        <w:szCs w:val="22"/>
      </w:rPr>
    </w:lvl>
    <w:lvl w:ilvl="5">
      <w:start w:val="1"/>
      <w:numFmt w:val="decimal"/>
      <w:lvlRestart w:val="0"/>
      <w:lvlText w:val="%6."/>
      <w:lvlJc w:val="left"/>
      <w:pPr>
        <w:ind w:left="425" w:hanging="425"/>
      </w:pPr>
      <w:rPr>
        <w:rFonts w:hint="default"/>
      </w:rPr>
    </w:lvl>
    <w:lvl w:ilvl="6">
      <w:start w:val="1"/>
      <w:numFmt w:val="lower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31" w15:restartNumberingAfterBreak="0">
    <w:nsid w:val="777F0941"/>
    <w:multiLevelType w:val="hybridMultilevel"/>
    <w:tmpl w:val="9EFCCDB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2" w15:restartNumberingAfterBreak="0">
    <w:nsid w:val="79A759B3"/>
    <w:multiLevelType w:val="hybridMultilevel"/>
    <w:tmpl w:val="9A541A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3" w15:restartNumberingAfterBreak="0">
    <w:nsid w:val="7A8D362B"/>
    <w:multiLevelType w:val="hybridMultilevel"/>
    <w:tmpl w:val="B4A6DA94"/>
    <w:lvl w:ilvl="0" w:tplc="DDE064E4">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B5D6DCC"/>
    <w:multiLevelType w:val="multilevel"/>
    <w:tmpl w:val="B1B4E0AC"/>
    <w:lvl w:ilvl="0">
      <w:start w:val="1"/>
      <w:numFmt w:val="upperLetter"/>
      <w:lvlText w:val="%1."/>
      <w:lvlJc w:val="left"/>
      <w:pPr>
        <w:ind w:left="851" w:hanging="851"/>
      </w:pPr>
      <w:rPr>
        <w:rFonts w:hint="default"/>
      </w:rPr>
    </w:lvl>
    <w:lvl w:ilvl="1">
      <w:start w:val="1"/>
      <w:numFmt w:val="none"/>
      <w:suff w:val="nothing"/>
      <w:lvlText w:val=""/>
      <w:lvlJc w:val="left"/>
      <w:pPr>
        <w:ind w:left="0" w:firstLine="0"/>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abstractNum w:abstractNumId="36" w15:restartNumberingAfterBreak="0">
    <w:nsid w:val="7DA279BC"/>
    <w:multiLevelType w:val="hybridMultilevel"/>
    <w:tmpl w:val="F77CF51A"/>
    <w:lvl w:ilvl="0" w:tplc="F9D2793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35"/>
  </w:num>
  <w:num w:numId="2">
    <w:abstractNumId w:val="16"/>
  </w:num>
  <w:num w:numId="3">
    <w:abstractNumId w:val="4"/>
  </w:num>
  <w:num w:numId="4">
    <w:abstractNumId w:val="18"/>
  </w:num>
  <w:num w:numId="5">
    <w:abstractNumId w:val="15"/>
  </w:num>
  <w:num w:numId="6">
    <w:abstractNumId w:val="21"/>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6"/>
  </w:num>
  <w:num w:numId="11">
    <w:abstractNumId w:val="26"/>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3"/>
  </w:num>
  <w:num w:numId="23">
    <w:abstractNumId w:val="3"/>
  </w:num>
  <w:num w:numId="24">
    <w:abstractNumId w:val="2"/>
  </w:num>
  <w:num w:numId="25">
    <w:abstractNumId w:val="1"/>
  </w:num>
  <w:num w:numId="26">
    <w:abstractNumId w:val="13"/>
  </w:num>
  <w:num w:numId="27">
    <w:abstractNumId w:val="0"/>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7"/>
  </w:num>
  <w:num w:numId="35">
    <w:abstractNumId w:val="2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9"/>
  </w:num>
  <w:num w:numId="39">
    <w:abstractNumId w:val="32"/>
  </w:num>
  <w:num w:numId="40">
    <w:abstractNumId w:val="11"/>
  </w:num>
  <w:num w:numId="41">
    <w:abstractNumId w:val="17"/>
  </w:num>
  <w:num w:numId="42">
    <w:abstractNumId w:val="9"/>
  </w:num>
  <w:num w:numId="43">
    <w:abstractNumId w:val="34"/>
  </w:num>
  <w:num w:numId="44">
    <w:abstractNumId w:val="10"/>
  </w:num>
  <w:num w:numId="45">
    <w:abstractNumId w:val="22"/>
  </w:num>
  <w:num w:numId="46">
    <w:abstractNumId w:val="14"/>
  </w:num>
  <w:num w:numId="47">
    <w:abstractNumId w:val="12"/>
  </w:num>
  <w:num w:numId="48">
    <w:abstractNumId w:val="7"/>
  </w:num>
  <w:num w:numId="49">
    <w:abstractNumId w:val="36"/>
  </w:num>
  <w:num w:numId="5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1173"/>
    <w:rsid w:val="00002EFF"/>
    <w:rsid w:val="000040F9"/>
    <w:rsid w:val="0000594E"/>
    <w:rsid w:val="000101B3"/>
    <w:rsid w:val="00010D91"/>
    <w:rsid w:val="00011851"/>
    <w:rsid w:val="00012B13"/>
    <w:rsid w:val="00017245"/>
    <w:rsid w:val="00023255"/>
    <w:rsid w:val="00025B72"/>
    <w:rsid w:val="0002708D"/>
    <w:rsid w:val="00031042"/>
    <w:rsid w:val="00031920"/>
    <w:rsid w:val="00032CC4"/>
    <w:rsid w:val="0003390C"/>
    <w:rsid w:val="000346B0"/>
    <w:rsid w:val="00034B60"/>
    <w:rsid w:val="0003739D"/>
    <w:rsid w:val="00040714"/>
    <w:rsid w:val="000407A2"/>
    <w:rsid w:val="0004207E"/>
    <w:rsid w:val="00045FA5"/>
    <w:rsid w:val="00047B4C"/>
    <w:rsid w:val="00047BE8"/>
    <w:rsid w:val="0005083B"/>
    <w:rsid w:val="00050E9D"/>
    <w:rsid w:val="00055553"/>
    <w:rsid w:val="00055AB6"/>
    <w:rsid w:val="0005671C"/>
    <w:rsid w:val="00056838"/>
    <w:rsid w:val="00056B2F"/>
    <w:rsid w:val="00057E12"/>
    <w:rsid w:val="0006009D"/>
    <w:rsid w:val="000602E4"/>
    <w:rsid w:val="00060BB1"/>
    <w:rsid w:val="000628F8"/>
    <w:rsid w:val="00062F25"/>
    <w:rsid w:val="00065329"/>
    <w:rsid w:val="00065ECE"/>
    <w:rsid w:val="000722F1"/>
    <w:rsid w:val="00072302"/>
    <w:rsid w:val="00074C3A"/>
    <w:rsid w:val="000758CA"/>
    <w:rsid w:val="00075B78"/>
    <w:rsid w:val="00077CC2"/>
    <w:rsid w:val="00080987"/>
    <w:rsid w:val="00080C81"/>
    <w:rsid w:val="0008144A"/>
    <w:rsid w:val="00081971"/>
    <w:rsid w:val="000819CE"/>
    <w:rsid w:val="00082B89"/>
    <w:rsid w:val="00083C84"/>
    <w:rsid w:val="000840AB"/>
    <w:rsid w:val="000844F5"/>
    <w:rsid w:val="00092FAC"/>
    <w:rsid w:val="00093A1E"/>
    <w:rsid w:val="00096F82"/>
    <w:rsid w:val="000971EC"/>
    <w:rsid w:val="000A0B49"/>
    <w:rsid w:val="000A23E4"/>
    <w:rsid w:val="000A3F18"/>
    <w:rsid w:val="000A3F7E"/>
    <w:rsid w:val="000A4F92"/>
    <w:rsid w:val="000B1E32"/>
    <w:rsid w:val="000B3D09"/>
    <w:rsid w:val="000B4EBA"/>
    <w:rsid w:val="000B58FC"/>
    <w:rsid w:val="000B7A81"/>
    <w:rsid w:val="000B7ECC"/>
    <w:rsid w:val="000C082B"/>
    <w:rsid w:val="000C25E4"/>
    <w:rsid w:val="000C2851"/>
    <w:rsid w:val="000C2882"/>
    <w:rsid w:val="000C3BCE"/>
    <w:rsid w:val="000C3CF0"/>
    <w:rsid w:val="000C3F81"/>
    <w:rsid w:val="000C60CC"/>
    <w:rsid w:val="000C6246"/>
    <w:rsid w:val="000C6299"/>
    <w:rsid w:val="000C7E48"/>
    <w:rsid w:val="000D16AF"/>
    <w:rsid w:val="000D3172"/>
    <w:rsid w:val="000D6D52"/>
    <w:rsid w:val="000D77F8"/>
    <w:rsid w:val="000E1B87"/>
    <w:rsid w:val="000E47E9"/>
    <w:rsid w:val="000E4B7E"/>
    <w:rsid w:val="000E5491"/>
    <w:rsid w:val="000E692E"/>
    <w:rsid w:val="000E6B72"/>
    <w:rsid w:val="000F0FD7"/>
    <w:rsid w:val="000F14F0"/>
    <w:rsid w:val="000F17CD"/>
    <w:rsid w:val="000F3152"/>
    <w:rsid w:val="000F32F3"/>
    <w:rsid w:val="000F4EB6"/>
    <w:rsid w:val="000F504A"/>
    <w:rsid w:val="000F7B2A"/>
    <w:rsid w:val="001009AC"/>
    <w:rsid w:val="00102063"/>
    <w:rsid w:val="0010541C"/>
    <w:rsid w:val="00105E83"/>
    <w:rsid w:val="0010602B"/>
    <w:rsid w:val="00111DFD"/>
    <w:rsid w:val="00113B8E"/>
    <w:rsid w:val="00113BC7"/>
    <w:rsid w:val="00117B16"/>
    <w:rsid w:val="00122226"/>
    <w:rsid w:val="001227C4"/>
    <w:rsid w:val="0012505A"/>
    <w:rsid w:val="00126308"/>
    <w:rsid w:val="001305F0"/>
    <w:rsid w:val="00130BF3"/>
    <w:rsid w:val="00133156"/>
    <w:rsid w:val="001365E1"/>
    <w:rsid w:val="001404F3"/>
    <w:rsid w:val="0014267C"/>
    <w:rsid w:val="00143834"/>
    <w:rsid w:val="0014426F"/>
    <w:rsid w:val="00145DB9"/>
    <w:rsid w:val="00147F71"/>
    <w:rsid w:val="00151357"/>
    <w:rsid w:val="001534F9"/>
    <w:rsid w:val="00154C8E"/>
    <w:rsid w:val="00155578"/>
    <w:rsid w:val="00155B2C"/>
    <w:rsid w:val="001572D2"/>
    <w:rsid w:val="001635AE"/>
    <w:rsid w:val="00164FD0"/>
    <w:rsid w:val="00172E64"/>
    <w:rsid w:val="0017408E"/>
    <w:rsid w:val="001740EC"/>
    <w:rsid w:val="00174B39"/>
    <w:rsid w:val="00175A83"/>
    <w:rsid w:val="00180061"/>
    <w:rsid w:val="001808BF"/>
    <w:rsid w:val="00181299"/>
    <w:rsid w:val="00182093"/>
    <w:rsid w:val="001823EB"/>
    <w:rsid w:val="0018588F"/>
    <w:rsid w:val="001870EA"/>
    <w:rsid w:val="00187F59"/>
    <w:rsid w:val="0019134F"/>
    <w:rsid w:val="00191CB7"/>
    <w:rsid w:val="001943C6"/>
    <w:rsid w:val="001965FB"/>
    <w:rsid w:val="00196C4E"/>
    <w:rsid w:val="00197B7B"/>
    <w:rsid w:val="00197CE0"/>
    <w:rsid w:val="001A15FF"/>
    <w:rsid w:val="001A1F2E"/>
    <w:rsid w:val="001A1FEF"/>
    <w:rsid w:val="001A2817"/>
    <w:rsid w:val="001A3632"/>
    <w:rsid w:val="001A3E43"/>
    <w:rsid w:val="001A458F"/>
    <w:rsid w:val="001A55F0"/>
    <w:rsid w:val="001A69FE"/>
    <w:rsid w:val="001A6A57"/>
    <w:rsid w:val="001B19B3"/>
    <w:rsid w:val="001B1C78"/>
    <w:rsid w:val="001B2086"/>
    <w:rsid w:val="001B2B5A"/>
    <w:rsid w:val="001B3AA5"/>
    <w:rsid w:val="001B3CBA"/>
    <w:rsid w:val="001B4D6F"/>
    <w:rsid w:val="001B5CE2"/>
    <w:rsid w:val="001B5EAD"/>
    <w:rsid w:val="001B7E95"/>
    <w:rsid w:val="001C07E3"/>
    <w:rsid w:val="001C39E6"/>
    <w:rsid w:val="001D0E1C"/>
    <w:rsid w:val="001D0E28"/>
    <w:rsid w:val="001D0EAE"/>
    <w:rsid w:val="001D6C04"/>
    <w:rsid w:val="001D6D23"/>
    <w:rsid w:val="001E1598"/>
    <w:rsid w:val="001E2A59"/>
    <w:rsid w:val="001E2CA3"/>
    <w:rsid w:val="001E42F7"/>
    <w:rsid w:val="001E4A64"/>
    <w:rsid w:val="001E5389"/>
    <w:rsid w:val="001E5A8D"/>
    <w:rsid w:val="001F4994"/>
    <w:rsid w:val="001F525F"/>
    <w:rsid w:val="0020007A"/>
    <w:rsid w:val="002002C9"/>
    <w:rsid w:val="002012EA"/>
    <w:rsid w:val="00201AC4"/>
    <w:rsid w:val="00206894"/>
    <w:rsid w:val="00206B6E"/>
    <w:rsid w:val="002105B7"/>
    <w:rsid w:val="002117B9"/>
    <w:rsid w:val="00214201"/>
    <w:rsid w:val="00216457"/>
    <w:rsid w:val="00216CA0"/>
    <w:rsid w:val="00217625"/>
    <w:rsid w:val="00217786"/>
    <w:rsid w:val="00217BBA"/>
    <w:rsid w:val="00221234"/>
    <w:rsid w:val="00221250"/>
    <w:rsid w:val="00221A27"/>
    <w:rsid w:val="002220BF"/>
    <w:rsid w:val="00222A5E"/>
    <w:rsid w:val="00223CEC"/>
    <w:rsid w:val="002240CF"/>
    <w:rsid w:val="00225943"/>
    <w:rsid w:val="002261D2"/>
    <w:rsid w:val="00226410"/>
    <w:rsid w:val="00227244"/>
    <w:rsid w:val="002273FE"/>
    <w:rsid w:val="002277D9"/>
    <w:rsid w:val="0023012B"/>
    <w:rsid w:val="002305F5"/>
    <w:rsid w:val="00231FE6"/>
    <w:rsid w:val="00232244"/>
    <w:rsid w:val="00232746"/>
    <w:rsid w:val="002327C4"/>
    <w:rsid w:val="00233E76"/>
    <w:rsid w:val="002348C6"/>
    <w:rsid w:val="00234D92"/>
    <w:rsid w:val="00237E7A"/>
    <w:rsid w:val="002410B3"/>
    <w:rsid w:val="002425C2"/>
    <w:rsid w:val="00243D41"/>
    <w:rsid w:val="00244374"/>
    <w:rsid w:val="00245E07"/>
    <w:rsid w:val="002520DB"/>
    <w:rsid w:val="002528C0"/>
    <w:rsid w:val="0025362A"/>
    <w:rsid w:val="002536C9"/>
    <w:rsid w:val="00254B5C"/>
    <w:rsid w:val="00254F97"/>
    <w:rsid w:val="00255D38"/>
    <w:rsid w:val="002567C0"/>
    <w:rsid w:val="00257FF5"/>
    <w:rsid w:val="002616DF"/>
    <w:rsid w:val="0026318C"/>
    <w:rsid w:val="002633AB"/>
    <w:rsid w:val="00263A7F"/>
    <w:rsid w:val="0026423A"/>
    <w:rsid w:val="002646BE"/>
    <w:rsid w:val="0026492E"/>
    <w:rsid w:val="00265B97"/>
    <w:rsid w:val="00267578"/>
    <w:rsid w:val="002728C7"/>
    <w:rsid w:val="00274100"/>
    <w:rsid w:val="002764CE"/>
    <w:rsid w:val="00277932"/>
    <w:rsid w:val="002806F9"/>
    <w:rsid w:val="00281220"/>
    <w:rsid w:val="00281744"/>
    <w:rsid w:val="002826DD"/>
    <w:rsid w:val="00282A22"/>
    <w:rsid w:val="00287E68"/>
    <w:rsid w:val="00293827"/>
    <w:rsid w:val="002938F3"/>
    <w:rsid w:val="00293F5E"/>
    <w:rsid w:val="00294185"/>
    <w:rsid w:val="00294862"/>
    <w:rsid w:val="00295407"/>
    <w:rsid w:val="00295848"/>
    <w:rsid w:val="002965A2"/>
    <w:rsid w:val="00297A0A"/>
    <w:rsid w:val="002A0290"/>
    <w:rsid w:val="002A3909"/>
    <w:rsid w:val="002A43BF"/>
    <w:rsid w:val="002A4D7A"/>
    <w:rsid w:val="002A5592"/>
    <w:rsid w:val="002A6EA4"/>
    <w:rsid w:val="002B0FFB"/>
    <w:rsid w:val="002B2978"/>
    <w:rsid w:val="002B3078"/>
    <w:rsid w:val="002B5637"/>
    <w:rsid w:val="002C0CED"/>
    <w:rsid w:val="002C2C93"/>
    <w:rsid w:val="002C2DD3"/>
    <w:rsid w:val="002C3107"/>
    <w:rsid w:val="002C351E"/>
    <w:rsid w:val="002C3964"/>
    <w:rsid w:val="002C4256"/>
    <w:rsid w:val="002C4B4F"/>
    <w:rsid w:val="002C5153"/>
    <w:rsid w:val="002C53DC"/>
    <w:rsid w:val="002D18EE"/>
    <w:rsid w:val="002D20EC"/>
    <w:rsid w:val="002D2692"/>
    <w:rsid w:val="002D2C0B"/>
    <w:rsid w:val="002D2DA0"/>
    <w:rsid w:val="002D50B5"/>
    <w:rsid w:val="002D5F68"/>
    <w:rsid w:val="002D661E"/>
    <w:rsid w:val="002D6FC1"/>
    <w:rsid w:val="002D7C75"/>
    <w:rsid w:val="002E192B"/>
    <w:rsid w:val="002E2723"/>
    <w:rsid w:val="002E354E"/>
    <w:rsid w:val="002E3C31"/>
    <w:rsid w:val="002E4A55"/>
    <w:rsid w:val="002E4C11"/>
    <w:rsid w:val="002E53E0"/>
    <w:rsid w:val="002E7298"/>
    <w:rsid w:val="002E7817"/>
    <w:rsid w:val="002E7A2B"/>
    <w:rsid w:val="002F1793"/>
    <w:rsid w:val="002F1899"/>
    <w:rsid w:val="002F1D11"/>
    <w:rsid w:val="002F3B29"/>
    <w:rsid w:val="002F3E83"/>
    <w:rsid w:val="002F6CDE"/>
    <w:rsid w:val="002F7D23"/>
    <w:rsid w:val="00301088"/>
    <w:rsid w:val="00301293"/>
    <w:rsid w:val="003025E3"/>
    <w:rsid w:val="00304C1A"/>
    <w:rsid w:val="0030530B"/>
    <w:rsid w:val="0030567E"/>
    <w:rsid w:val="00306095"/>
    <w:rsid w:val="003064D5"/>
    <w:rsid w:val="003071A7"/>
    <w:rsid w:val="0031000E"/>
    <w:rsid w:val="003105A7"/>
    <w:rsid w:val="0031168F"/>
    <w:rsid w:val="0031228A"/>
    <w:rsid w:val="00312802"/>
    <w:rsid w:val="003131EA"/>
    <w:rsid w:val="00315E7C"/>
    <w:rsid w:val="00316708"/>
    <w:rsid w:val="003167E6"/>
    <w:rsid w:val="0032125F"/>
    <w:rsid w:val="00322C73"/>
    <w:rsid w:val="00323C38"/>
    <w:rsid w:val="003245ED"/>
    <w:rsid w:val="00326E38"/>
    <w:rsid w:val="00330324"/>
    <w:rsid w:val="0033055A"/>
    <w:rsid w:val="00331920"/>
    <w:rsid w:val="0033360A"/>
    <w:rsid w:val="00335532"/>
    <w:rsid w:val="00340BD3"/>
    <w:rsid w:val="00341393"/>
    <w:rsid w:val="00344836"/>
    <w:rsid w:val="00344C30"/>
    <w:rsid w:val="00346DCC"/>
    <w:rsid w:val="00347884"/>
    <w:rsid w:val="003500EC"/>
    <w:rsid w:val="00354104"/>
    <w:rsid w:val="00354772"/>
    <w:rsid w:val="00355D32"/>
    <w:rsid w:val="00356B10"/>
    <w:rsid w:val="00360A11"/>
    <w:rsid w:val="00361DAB"/>
    <w:rsid w:val="00362A31"/>
    <w:rsid w:val="0036595B"/>
    <w:rsid w:val="003734FE"/>
    <w:rsid w:val="00373BA3"/>
    <w:rsid w:val="00373C3E"/>
    <w:rsid w:val="00374C17"/>
    <w:rsid w:val="003757D5"/>
    <w:rsid w:val="00376711"/>
    <w:rsid w:val="00376A68"/>
    <w:rsid w:val="003772FC"/>
    <w:rsid w:val="00380488"/>
    <w:rsid w:val="0038186F"/>
    <w:rsid w:val="00385E47"/>
    <w:rsid w:val="003861C6"/>
    <w:rsid w:val="00386E8E"/>
    <w:rsid w:val="00387394"/>
    <w:rsid w:val="00391808"/>
    <w:rsid w:val="003954EA"/>
    <w:rsid w:val="0039567B"/>
    <w:rsid w:val="00395E44"/>
    <w:rsid w:val="00397508"/>
    <w:rsid w:val="003A05B6"/>
    <w:rsid w:val="003A3152"/>
    <w:rsid w:val="003A4267"/>
    <w:rsid w:val="003A534C"/>
    <w:rsid w:val="003A5FEA"/>
    <w:rsid w:val="003A67F6"/>
    <w:rsid w:val="003A6C30"/>
    <w:rsid w:val="003A7A1F"/>
    <w:rsid w:val="003B0392"/>
    <w:rsid w:val="003B03D5"/>
    <w:rsid w:val="003B0C7C"/>
    <w:rsid w:val="003B4F35"/>
    <w:rsid w:val="003C321F"/>
    <w:rsid w:val="003C3BB9"/>
    <w:rsid w:val="003C55A4"/>
    <w:rsid w:val="003C6D2F"/>
    <w:rsid w:val="003C6FE7"/>
    <w:rsid w:val="003D0BC1"/>
    <w:rsid w:val="003D2981"/>
    <w:rsid w:val="003D3DA0"/>
    <w:rsid w:val="003D52C2"/>
    <w:rsid w:val="003D59CF"/>
    <w:rsid w:val="003D59D4"/>
    <w:rsid w:val="003E0D7E"/>
    <w:rsid w:val="003E0E7D"/>
    <w:rsid w:val="003E1478"/>
    <w:rsid w:val="003E1553"/>
    <w:rsid w:val="003E17EB"/>
    <w:rsid w:val="003E2B3F"/>
    <w:rsid w:val="003E4074"/>
    <w:rsid w:val="003E538D"/>
    <w:rsid w:val="003E68A1"/>
    <w:rsid w:val="003F1542"/>
    <w:rsid w:val="003F27BC"/>
    <w:rsid w:val="003F29A9"/>
    <w:rsid w:val="003F3F16"/>
    <w:rsid w:val="003F4E26"/>
    <w:rsid w:val="00400A52"/>
    <w:rsid w:val="00400E4D"/>
    <w:rsid w:val="00400E7E"/>
    <w:rsid w:val="00400EA3"/>
    <w:rsid w:val="0040122D"/>
    <w:rsid w:val="00401AAA"/>
    <w:rsid w:val="004030BE"/>
    <w:rsid w:val="004126E3"/>
    <w:rsid w:val="00415CA1"/>
    <w:rsid w:val="00417481"/>
    <w:rsid w:val="00420164"/>
    <w:rsid w:val="004201C9"/>
    <w:rsid w:val="0042143B"/>
    <w:rsid w:val="0042156C"/>
    <w:rsid w:val="00424289"/>
    <w:rsid w:val="00424C9F"/>
    <w:rsid w:val="004250B5"/>
    <w:rsid w:val="00425FAB"/>
    <w:rsid w:val="00427C0F"/>
    <w:rsid w:val="00432622"/>
    <w:rsid w:val="00432ECB"/>
    <w:rsid w:val="004335FC"/>
    <w:rsid w:val="00433A87"/>
    <w:rsid w:val="00435A6E"/>
    <w:rsid w:val="0043769E"/>
    <w:rsid w:val="00437A2F"/>
    <w:rsid w:val="00437A90"/>
    <w:rsid w:val="00437DF3"/>
    <w:rsid w:val="00440DC2"/>
    <w:rsid w:val="00441431"/>
    <w:rsid w:val="004427B2"/>
    <w:rsid w:val="004430A9"/>
    <w:rsid w:val="004432F3"/>
    <w:rsid w:val="00444B0F"/>
    <w:rsid w:val="0044646C"/>
    <w:rsid w:val="00447961"/>
    <w:rsid w:val="00451076"/>
    <w:rsid w:val="00451597"/>
    <w:rsid w:val="00451D4F"/>
    <w:rsid w:val="004531A4"/>
    <w:rsid w:val="0045422A"/>
    <w:rsid w:val="004545E6"/>
    <w:rsid w:val="00460536"/>
    <w:rsid w:val="00460C0B"/>
    <w:rsid w:val="0046157B"/>
    <w:rsid w:val="00461C31"/>
    <w:rsid w:val="00462244"/>
    <w:rsid w:val="00462EA3"/>
    <w:rsid w:val="00464D34"/>
    <w:rsid w:val="00465A2F"/>
    <w:rsid w:val="00466488"/>
    <w:rsid w:val="0046701B"/>
    <w:rsid w:val="0046721E"/>
    <w:rsid w:val="00470ED2"/>
    <w:rsid w:val="00472A20"/>
    <w:rsid w:val="00481955"/>
    <w:rsid w:val="00482865"/>
    <w:rsid w:val="00485B1E"/>
    <w:rsid w:val="00487A54"/>
    <w:rsid w:val="00487E0F"/>
    <w:rsid w:val="00492664"/>
    <w:rsid w:val="0049339C"/>
    <w:rsid w:val="004A0CDC"/>
    <w:rsid w:val="004A368A"/>
    <w:rsid w:val="004A4346"/>
    <w:rsid w:val="004A4DB5"/>
    <w:rsid w:val="004A6559"/>
    <w:rsid w:val="004A744F"/>
    <w:rsid w:val="004B3905"/>
    <w:rsid w:val="004B547A"/>
    <w:rsid w:val="004B5C83"/>
    <w:rsid w:val="004B6F05"/>
    <w:rsid w:val="004B77F8"/>
    <w:rsid w:val="004B7BC9"/>
    <w:rsid w:val="004B7E6A"/>
    <w:rsid w:val="004B7F5D"/>
    <w:rsid w:val="004C2620"/>
    <w:rsid w:val="004C2CF4"/>
    <w:rsid w:val="004C489E"/>
    <w:rsid w:val="004C5EC9"/>
    <w:rsid w:val="004C65A0"/>
    <w:rsid w:val="004D1D9B"/>
    <w:rsid w:val="004D6255"/>
    <w:rsid w:val="004D655D"/>
    <w:rsid w:val="004E12E1"/>
    <w:rsid w:val="004E1356"/>
    <w:rsid w:val="004E1B4E"/>
    <w:rsid w:val="004E3B58"/>
    <w:rsid w:val="004E7AC8"/>
    <w:rsid w:val="004F113E"/>
    <w:rsid w:val="004F1741"/>
    <w:rsid w:val="004F6013"/>
    <w:rsid w:val="00501820"/>
    <w:rsid w:val="00501A57"/>
    <w:rsid w:val="00501DAD"/>
    <w:rsid w:val="0050204D"/>
    <w:rsid w:val="005022D2"/>
    <w:rsid w:val="0050635B"/>
    <w:rsid w:val="00507904"/>
    <w:rsid w:val="0051117B"/>
    <w:rsid w:val="00511503"/>
    <w:rsid w:val="005149CD"/>
    <w:rsid w:val="005150CA"/>
    <w:rsid w:val="005204B1"/>
    <w:rsid w:val="00520756"/>
    <w:rsid w:val="00520C79"/>
    <w:rsid w:val="00521CF5"/>
    <w:rsid w:val="005234B3"/>
    <w:rsid w:val="0052370B"/>
    <w:rsid w:val="00527190"/>
    <w:rsid w:val="00531F49"/>
    <w:rsid w:val="00533AE3"/>
    <w:rsid w:val="005356F8"/>
    <w:rsid w:val="0053577C"/>
    <w:rsid w:val="00540048"/>
    <w:rsid w:val="005421A6"/>
    <w:rsid w:val="005432CB"/>
    <w:rsid w:val="005432E9"/>
    <w:rsid w:val="00543813"/>
    <w:rsid w:val="00543A52"/>
    <w:rsid w:val="00547D02"/>
    <w:rsid w:val="005504AD"/>
    <w:rsid w:val="005517F5"/>
    <w:rsid w:val="00553FE0"/>
    <w:rsid w:val="0055423F"/>
    <w:rsid w:val="005548AF"/>
    <w:rsid w:val="00554D66"/>
    <w:rsid w:val="005552E1"/>
    <w:rsid w:val="005567F3"/>
    <w:rsid w:val="00556947"/>
    <w:rsid w:val="0056609F"/>
    <w:rsid w:val="00571BD3"/>
    <w:rsid w:val="00572B6C"/>
    <w:rsid w:val="00577808"/>
    <w:rsid w:val="00577BC4"/>
    <w:rsid w:val="005823EB"/>
    <w:rsid w:val="00585D4F"/>
    <w:rsid w:val="00586B2E"/>
    <w:rsid w:val="00586E5C"/>
    <w:rsid w:val="00590862"/>
    <w:rsid w:val="005908B5"/>
    <w:rsid w:val="005910F3"/>
    <w:rsid w:val="00592151"/>
    <w:rsid w:val="0059304E"/>
    <w:rsid w:val="00593803"/>
    <w:rsid w:val="00595C90"/>
    <w:rsid w:val="00595FE7"/>
    <w:rsid w:val="005961D0"/>
    <w:rsid w:val="00597821"/>
    <w:rsid w:val="00597D9E"/>
    <w:rsid w:val="005A39C2"/>
    <w:rsid w:val="005A4E01"/>
    <w:rsid w:val="005A5EF2"/>
    <w:rsid w:val="005A5F18"/>
    <w:rsid w:val="005A6244"/>
    <w:rsid w:val="005B040D"/>
    <w:rsid w:val="005B44B3"/>
    <w:rsid w:val="005B4BE9"/>
    <w:rsid w:val="005C4EE6"/>
    <w:rsid w:val="005C51D6"/>
    <w:rsid w:val="005C59C1"/>
    <w:rsid w:val="005C61B9"/>
    <w:rsid w:val="005C6BC4"/>
    <w:rsid w:val="005C762F"/>
    <w:rsid w:val="005D271C"/>
    <w:rsid w:val="005D51E3"/>
    <w:rsid w:val="005D78E4"/>
    <w:rsid w:val="005D79FF"/>
    <w:rsid w:val="005E3B54"/>
    <w:rsid w:val="005E47B7"/>
    <w:rsid w:val="005F382B"/>
    <w:rsid w:val="005F47FD"/>
    <w:rsid w:val="006028B6"/>
    <w:rsid w:val="00606768"/>
    <w:rsid w:val="00607C6F"/>
    <w:rsid w:val="00610BAA"/>
    <w:rsid w:val="00613F26"/>
    <w:rsid w:val="00615A56"/>
    <w:rsid w:val="006178E7"/>
    <w:rsid w:val="00617F1D"/>
    <w:rsid w:val="0062080D"/>
    <w:rsid w:val="00620B61"/>
    <w:rsid w:val="006211D9"/>
    <w:rsid w:val="00623B85"/>
    <w:rsid w:val="006251FF"/>
    <w:rsid w:val="00625539"/>
    <w:rsid w:val="00625E48"/>
    <w:rsid w:val="006309F1"/>
    <w:rsid w:val="00633034"/>
    <w:rsid w:val="00633DBC"/>
    <w:rsid w:val="006350D3"/>
    <w:rsid w:val="00635445"/>
    <w:rsid w:val="00640042"/>
    <w:rsid w:val="0064071C"/>
    <w:rsid w:val="006407D5"/>
    <w:rsid w:val="00643683"/>
    <w:rsid w:val="00643A6C"/>
    <w:rsid w:val="00646500"/>
    <w:rsid w:val="00646518"/>
    <w:rsid w:val="0064687E"/>
    <w:rsid w:val="00647012"/>
    <w:rsid w:val="00647223"/>
    <w:rsid w:val="00647DB6"/>
    <w:rsid w:val="00647EA9"/>
    <w:rsid w:val="00652193"/>
    <w:rsid w:val="00653A55"/>
    <w:rsid w:val="006550E5"/>
    <w:rsid w:val="006579E6"/>
    <w:rsid w:val="00660AC4"/>
    <w:rsid w:val="0066154E"/>
    <w:rsid w:val="00662692"/>
    <w:rsid w:val="00664592"/>
    <w:rsid w:val="00674121"/>
    <w:rsid w:val="00674549"/>
    <w:rsid w:val="00674A36"/>
    <w:rsid w:val="006773C9"/>
    <w:rsid w:val="00683A8B"/>
    <w:rsid w:val="00684219"/>
    <w:rsid w:val="00684AB7"/>
    <w:rsid w:val="006917CA"/>
    <w:rsid w:val="00694895"/>
    <w:rsid w:val="006A0FF8"/>
    <w:rsid w:val="006A1069"/>
    <w:rsid w:val="006A2C16"/>
    <w:rsid w:val="006A4E6D"/>
    <w:rsid w:val="006B0834"/>
    <w:rsid w:val="006B26BB"/>
    <w:rsid w:val="006B43B0"/>
    <w:rsid w:val="006B4509"/>
    <w:rsid w:val="006B45CA"/>
    <w:rsid w:val="006B4DE9"/>
    <w:rsid w:val="006B570A"/>
    <w:rsid w:val="006B696B"/>
    <w:rsid w:val="006B7C09"/>
    <w:rsid w:val="006C148C"/>
    <w:rsid w:val="006C30E0"/>
    <w:rsid w:val="006C3B5A"/>
    <w:rsid w:val="006C4D31"/>
    <w:rsid w:val="006C5577"/>
    <w:rsid w:val="006C59A9"/>
    <w:rsid w:val="006C6753"/>
    <w:rsid w:val="006C6C24"/>
    <w:rsid w:val="006C7428"/>
    <w:rsid w:val="006C78EB"/>
    <w:rsid w:val="006D0663"/>
    <w:rsid w:val="006D1660"/>
    <w:rsid w:val="006D2758"/>
    <w:rsid w:val="006D4A87"/>
    <w:rsid w:val="006E2BBA"/>
    <w:rsid w:val="006E3328"/>
    <w:rsid w:val="006E75E7"/>
    <w:rsid w:val="006E75ED"/>
    <w:rsid w:val="006F0CC6"/>
    <w:rsid w:val="006F4AF7"/>
    <w:rsid w:val="006F4EF4"/>
    <w:rsid w:val="006F511B"/>
    <w:rsid w:val="006F5130"/>
    <w:rsid w:val="006F6FF8"/>
    <w:rsid w:val="006F7144"/>
    <w:rsid w:val="006F7172"/>
    <w:rsid w:val="0070080E"/>
    <w:rsid w:val="007009FD"/>
    <w:rsid w:val="00701E59"/>
    <w:rsid w:val="00702229"/>
    <w:rsid w:val="00702854"/>
    <w:rsid w:val="00704C18"/>
    <w:rsid w:val="00707E57"/>
    <w:rsid w:val="00710B30"/>
    <w:rsid w:val="0071173B"/>
    <w:rsid w:val="00711C29"/>
    <w:rsid w:val="00714513"/>
    <w:rsid w:val="00717B44"/>
    <w:rsid w:val="00720C67"/>
    <w:rsid w:val="00722ACA"/>
    <w:rsid w:val="00723321"/>
    <w:rsid w:val="00724708"/>
    <w:rsid w:val="0072790C"/>
    <w:rsid w:val="00740899"/>
    <w:rsid w:val="007458CC"/>
    <w:rsid w:val="00746D63"/>
    <w:rsid w:val="007519EC"/>
    <w:rsid w:val="0075201E"/>
    <w:rsid w:val="00752552"/>
    <w:rsid w:val="00753471"/>
    <w:rsid w:val="00755896"/>
    <w:rsid w:val="00755925"/>
    <w:rsid w:val="00756BD5"/>
    <w:rsid w:val="00756EFC"/>
    <w:rsid w:val="00757EA3"/>
    <w:rsid w:val="007616C8"/>
    <w:rsid w:val="00762781"/>
    <w:rsid w:val="00762F00"/>
    <w:rsid w:val="00763BEB"/>
    <w:rsid w:val="00764428"/>
    <w:rsid w:val="00765BD4"/>
    <w:rsid w:val="00770A76"/>
    <w:rsid w:val="00773EAB"/>
    <w:rsid w:val="007744C2"/>
    <w:rsid w:val="00775329"/>
    <w:rsid w:val="00775D85"/>
    <w:rsid w:val="0078113D"/>
    <w:rsid w:val="007821E2"/>
    <w:rsid w:val="00782C45"/>
    <w:rsid w:val="007834D8"/>
    <w:rsid w:val="007861E5"/>
    <w:rsid w:val="00786D85"/>
    <w:rsid w:val="0078796A"/>
    <w:rsid w:val="00790A9D"/>
    <w:rsid w:val="00791756"/>
    <w:rsid w:val="007920E1"/>
    <w:rsid w:val="00795B34"/>
    <w:rsid w:val="00795D7A"/>
    <w:rsid w:val="00796AE8"/>
    <w:rsid w:val="007A07A0"/>
    <w:rsid w:val="007A1A9D"/>
    <w:rsid w:val="007A2381"/>
    <w:rsid w:val="007A2585"/>
    <w:rsid w:val="007A40DC"/>
    <w:rsid w:val="007A5DEA"/>
    <w:rsid w:val="007A6777"/>
    <w:rsid w:val="007A69BE"/>
    <w:rsid w:val="007A6C36"/>
    <w:rsid w:val="007A79E5"/>
    <w:rsid w:val="007B0666"/>
    <w:rsid w:val="007B2A30"/>
    <w:rsid w:val="007B2F5E"/>
    <w:rsid w:val="007B33FA"/>
    <w:rsid w:val="007B4A70"/>
    <w:rsid w:val="007B58D0"/>
    <w:rsid w:val="007B79D3"/>
    <w:rsid w:val="007C1102"/>
    <w:rsid w:val="007C61D7"/>
    <w:rsid w:val="007C7428"/>
    <w:rsid w:val="007D0056"/>
    <w:rsid w:val="007D2AA0"/>
    <w:rsid w:val="007D3A25"/>
    <w:rsid w:val="007D70FF"/>
    <w:rsid w:val="007E3766"/>
    <w:rsid w:val="007E3FA9"/>
    <w:rsid w:val="007E404D"/>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1F82"/>
    <w:rsid w:val="00805C68"/>
    <w:rsid w:val="008068C5"/>
    <w:rsid w:val="00806D9C"/>
    <w:rsid w:val="008070BA"/>
    <w:rsid w:val="0081279B"/>
    <w:rsid w:val="00813AE0"/>
    <w:rsid w:val="00814540"/>
    <w:rsid w:val="00814728"/>
    <w:rsid w:val="00816742"/>
    <w:rsid w:val="008167F3"/>
    <w:rsid w:val="00816F7F"/>
    <w:rsid w:val="00817DFB"/>
    <w:rsid w:val="0082122B"/>
    <w:rsid w:val="00821519"/>
    <w:rsid w:val="00823CE2"/>
    <w:rsid w:val="00826A02"/>
    <w:rsid w:val="008274A3"/>
    <w:rsid w:val="00827DFA"/>
    <w:rsid w:val="008305E8"/>
    <w:rsid w:val="008308E5"/>
    <w:rsid w:val="00830B4F"/>
    <w:rsid w:val="00830C3B"/>
    <w:rsid w:val="00832951"/>
    <w:rsid w:val="00836151"/>
    <w:rsid w:val="008373A0"/>
    <w:rsid w:val="00837D46"/>
    <w:rsid w:val="00843B54"/>
    <w:rsid w:val="0084579F"/>
    <w:rsid w:val="00846795"/>
    <w:rsid w:val="00851030"/>
    <w:rsid w:val="008527FC"/>
    <w:rsid w:val="0086035A"/>
    <w:rsid w:val="008608FD"/>
    <w:rsid w:val="008609E1"/>
    <w:rsid w:val="00862FCA"/>
    <w:rsid w:val="008633F6"/>
    <w:rsid w:val="00863CEB"/>
    <w:rsid w:val="00863FD2"/>
    <w:rsid w:val="0086484C"/>
    <w:rsid w:val="008662BF"/>
    <w:rsid w:val="0086661B"/>
    <w:rsid w:val="008706B9"/>
    <w:rsid w:val="0087141F"/>
    <w:rsid w:val="00871581"/>
    <w:rsid w:val="00872104"/>
    <w:rsid w:val="00872F0B"/>
    <w:rsid w:val="00873AB0"/>
    <w:rsid w:val="00877213"/>
    <w:rsid w:val="00886D8F"/>
    <w:rsid w:val="0088717F"/>
    <w:rsid w:val="00890B52"/>
    <w:rsid w:val="0089168B"/>
    <w:rsid w:val="00891BBA"/>
    <w:rsid w:val="00893012"/>
    <w:rsid w:val="0089347A"/>
    <w:rsid w:val="008955F8"/>
    <w:rsid w:val="008A2E43"/>
    <w:rsid w:val="008A3380"/>
    <w:rsid w:val="008A36BF"/>
    <w:rsid w:val="008A3E15"/>
    <w:rsid w:val="008A4448"/>
    <w:rsid w:val="008A5898"/>
    <w:rsid w:val="008A6911"/>
    <w:rsid w:val="008A6C45"/>
    <w:rsid w:val="008A7162"/>
    <w:rsid w:val="008B0FF2"/>
    <w:rsid w:val="008B11DA"/>
    <w:rsid w:val="008B1280"/>
    <w:rsid w:val="008B1719"/>
    <w:rsid w:val="008B2344"/>
    <w:rsid w:val="008B2A51"/>
    <w:rsid w:val="008B7427"/>
    <w:rsid w:val="008C34D8"/>
    <w:rsid w:val="008C4842"/>
    <w:rsid w:val="008C4A48"/>
    <w:rsid w:val="008C4E3E"/>
    <w:rsid w:val="008C51EC"/>
    <w:rsid w:val="008C6534"/>
    <w:rsid w:val="008C7574"/>
    <w:rsid w:val="008C76B1"/>
    <w:rsid w:val="008C77F7"/>
    <w:rsid w:val="008D1D75"/>
    <w:rsid w:val="008D23CE"/>
    <w:rsid w:val="008D4A59"/>
    <w:rsid w:val="008D50C5"/>
    <w:rsid w:val="008D6A05"/>
    <w:rsid w:val="008E007C"/>
    <w:rsid w:val="008E1E58"/>
    <w:rsid w:val="008E3453"/>
    <w:rsid w:val="008E72FD"/>
    <w:rsid w:val="008F0EE4"/>
    <w:rsid w:val="008F2609"/>
    <w:rsid w:val="008F35E3"/>
    <w:rsid w:val="008F4564"/>
    <w:rsid w:val="008F6525"/>
    <w:rsid w:val="008F6B2F"/>
    <w:rsid w:val="008F72AA"/>
    <w:rsid w:val="009002B9"/>
    <w:rsid w:val="0090069B"/>
    <w:rsid w:val="00900FD1"/>
    <w:rsid w:val="00901C70"/>
    <w:rsid w:val="009023F7"/>
    <w:rsid w:val="00902F55"/>
    <w:rsid w:val="009049BD"/>
    <w:rsid w:val="00905D0A"/>
    <w:rsid w:val="00910F0D"/>
    <w:rsid w:val="009150A3"/>
    <w:rsid w:val="0091536D"/>
    <w:rsid w:val="00921037"/>
    <w:rsid w:val="00921D69"/>
    <w:rsid w:val="00922AD1"/>
    <w:rsid w:val="00923968"/>
    <w:rsid w:val="00923B03"/>
    <w:rsid w:val="00924BB9"/>
    <w:rsid w:val="009254DB"/>
    <w:rsid w:val="009255EA"/>
    <w:rsid w:val="00926451"/>
    <w:rsid w:val="0092691A"/>
    <w:rsid w:val="00931004"/>
    <w:rsid w:val="00931B6A"/>
    <w:rsid w:val="00932D69"/>
    <w:rsid w:val="00933377"/>
    <w:rsid w:val="009339C1"/>
    <w:rsid w:val="00933EE6"/>
    <w:rsid w:val="009348DB"/>
    <w:rsid w:val="00934DC2"/>
    <w:rsid w:val="00937F36"/>
    <w:rsid w:val="00941EE6"/>
    <w:rsid w:val="00942AD9"/>
    <w:rsid w:val="00942B4C"/>
    <w:rsid w:val="00943B53"/>
    <w:rsid w:val="009467E6"/>
    <w:rsid w:val="00947765"/>
    <w:rsid w:val="00950E7A"/>
    <w:rsid w:val="009531C4"/>
    <w:rsid w:val="0095451D"/>
    <w:rsid w:val="00955858"/>
    <w:rsid w:val="009558AF"/>
    <w:rsid w:val="009568A3"/>
    <w:rsid w:val="009573D0"/>
    <w:rsid w:val="009578CB"/>
    <w:rsid w:val="00957FA7"/>
    <w:rsid w:val="00961E13"/>
    <w:rsid w:val="0096438A"/>
    <w:rsid w:val="00964826"/>
    <w:rsid w:val="00966146"/>
    <w:rsid w:val="00967274"/>
    <w:rsid w:val="009674A2"/>
    <w:rsid w:val="00970803"/>
    <w:rsid w:val="0097275F"/>
    <w:rsid w:val="009727BB"/>
    <w:rsid w:val="00974AF8"/>
    <w:rsid w:val="00975BF0"/>
    <w:rsid w:val="00980E88"/>
    <w:rsid w:val="00981514"/>
    <w:rsid w:val="009826D1"/>
    <w:rsid w:val="009845AD"/>
    <w:rsid w:val="009867B1"/>
    <w:rsid w:val="009907AF"/>
    <w:rsid w:val="0099189C"/>
    <w:rsid w:val="00991FE9"/>
    <w:rsid w:val="00992F43"/>
    <w:rsid w:val="0099413A"/>
    <w:rsid w:val="009975E9"/>
    <w:rsid w:val="00997D4D"/>
    <w:rsid w:val="009A32D5"/>
    <w:rsid w:val="009A3D74"/>
    <w:rsid w:val="009A62B2"/>
    <w:rsid w:val="009A62E3"/>
    <w:rsid w:val="009A691E"/>
    <w:rsid w:val="009A694F"/>
    <w:rsid w:val="009A738F"/>
    <w:rsid w:val="009B4DFE"/>
    <w:rsid w:val="009B4E13"/>
    <w:rsid w:val="009B7963"/>
    <w:rsid w:val="009C039F"/>
    <w:rsid w:val="009C0ABC"/>
    <w:rsid w:val="009C2CC7"/>
    <w:rsid w:val="009C2E91"/>
    <w:rsid w:val="009C43BA"/>
    <w:rsid w:val="009C5B87"/>
    <w:rsid w:val="009C66A0"/>
    <w:rsid w:val="009C6DE9"/>
    <w:rsid w:val="009D06F3"/>
    <w:rsid w:val="009D094B"/>
    <w:rsid w:val="009D3062"/>
    <w:rsid w:val="009D3D29"/>
    <w:rsid w:val="009D60B8"/>
    <w:rsid w:val="009D7813"/>
    <w:rsid w:val="009E057C"/>
    <w:rsid w:val="009E6B6B"/>
    <w:rsid w:val="009E735C"/>
    <w:rsid w:val="009F14FB"/>
    <w:rsid w:val="009F2685"/>
    <w:rsid w:val="009F4ECD"/>
    <w:rsid w:val="009F6CA4"/>
    <w:rsid w:val="00A00B5B"/>
    <w:rsid w:val="00A015C7"/>
    <w:rsid w:val="00A0344C"/>
    <w:rsid w:val="00A04D6C"/>
    <w:rsid w:val="00A07428"/>
    <w:rsid w:val="00A07478"/>
    <w:rsid w:val="00A07844"/>
    <w:rsid w:val="00A07DC9"/>
    <w:rsid w:val="00A11C12"/>
    <w:rsid w:val="00A13CA3"/>
    <w:rsid w:val="00A140F5"/>
    <w:rsid w:val="00A1469E"/>
    <w:rsid w:val="00A14700"/>
    <w:rsid w:val="00A153CF"/>
    <w:rsid w:val="00A160F8"/>
    <w:rsid w:val="00A17300"/>
    <w:rsid w:val="00A213CF"/>
    <w:rsid w:val="00A24E20"/>
    <w:rsid w:val="00A25340"/>
    <w:rsid w:val="00A25596"/>
    <w:rsid w:val="00A25893"/>
    <w:rsid w:val="00A266FF"/>
    <w:rsid w:val="00A27145"/>
    <w:rsid w:val="00A27BC9"/>
    <w:rsid w:val="00A30AB9"/>
    <w:rsid w:val="00A31585"/>
    <w:rsid w:val="00A3196E"/>
    <w:rsid w:val="00A32300"/>
    <w:rsid w:val="00A32ED5"/>
    <w:rsid w:val="00A33CFB"/>
    <w:rsid w:val="00A361AD"/>
    <w:rsid w:val="00A368B8"/>
    <w:rsid w:val="00A36CF6"/>
    <w:rsid w:val="00A413B3"/>
    <w:rsid w:val="00A42407"/>
    <w:rsid w:val="00A43C4F"/>
    <w:rsid w:val="00A43DA4"/>
    <w:rsid w:val="00A43E96"/>
    <w:rsid w:val="00A441FE"/>
    <w:rsid w:val="00A4547A"/>
    <w:rsid w:val="00A46F45"/>
    <w:rsid w:val="00A4711C"/>
    <w:rsid w:val="00A4789A"/>
    <w:rsid w:val="00A47BD1"/>
    <w:rsid w:val="00A47DC7"/>
    <w:rsid w:val="00A528EF"/>
    <w:rsid w:val="00A5495A"/>
    <w:rsid w:val="00A553CE"/>
    <w:rsid w:val="00A55A10"/>
    <w:rsid w:val="00A601F7"/>
    <w:rsid w:val="00A60B25"/>
    <w:rsid w:val="00A61BD8"/>
    <w:rsid w:val="00A62EF2"/>
    <w:rsid w:val="00A644DC"/>
    <w:rsid w:val="00A66034"/>
    <w:rsid w:val="00A66F56"/>
    <w:rsid w:val="00A673D2"/>
    <w:rsid w:val="00A67D74"/>
    <w:rsid w:val="00A72839"/>
    <w:rsid w:val="00A74021"/>
    <w:rsid w:val="00A749B9"/>
    <w:rsid w:val="00A77345"/>
    <w:rsid w:val="00A77A99"/>
    <w:rsid w:val="00A812BF"/>
    <w:rsid w:val="00A81BDA"/>
    <w:rsid w:val="00A828C1"/>
    <w:rsid w:val="00A829FE"/>
    <w:rsid w:val="00A8454D"/>
    <w:rsid w:val="00A85006"/>
    <w:rsid w:val="00A853C3"/>
    <w:rsid w:val="00A85ACF"/>
    <w:rsid w:val="00A86805"/>
    <w:rsid w:val="00A923E6"/>
    <w:rsid w:val="00A92579"/>
    <w:rsid w:val="00A92676"/>
    <w:rsid w:val="00A92EEF"/>
    <w:rsid w:val="00A93AEE"/>
    <w:rsid w:val="00A94E71"/>
    <w:rsid w:val="00A953EB"/>
    <w:rsid w:val="00A95949"/>
    <w:rsid w:val="00A96F18"/>
    <w:rsid w:val="00AA0D2C"/>
    <w:rsid w:val="00AA1C9C"/>
    <w:rsid w:val="00AA3856"/>
    <w:rsid w:val="00AA4A1D"/>
    <w:rsid w:val="00AB2C51"/>
    <w:rsid w:val="00AB34FD"/>
    <w:rsid w:val="00AB59BA"/>
    <w:rsid w:val="00AB5E9E"/>
    <w:rsid w:val="00AB73A4"/>
    <w:rsid w:val="00AB768C"/>
    <w:rsid w:val="00AB7833"/>
    <w:rsid w:val="00AC0095"/>
    <w:rsid w:val="00AC4CDB"/>
    <w:rsid w:val="00AC6D7D"/>
    <w:rsid w:val="00AC739A"/>
    <w:rsid w:val="00AC78DA"/>
    <w:rsid w:val="00AD1229"/>
    <w:rsid w:val="00AD14A4"/>
    <w:rsid w:val="00AD18C2"/>
    <w:rsid w:val="00AD1EDC"/>
    <w:rsid w:val="00AD1F44"/>
    <w:rsid w:val="00AD25AB"/>
    <w:rsid w:val="00AD31DB"/>
    <w:rsid w:val="00AD3518"/>
    <w:rsid w:val="00AD40FF"/>
    <w:rsid w:val="00AD419F"/>
    <w:rsid w:val="00AD7355"/>
    <w:rsid w:val="00AE274F"/>
    <w:rsid w:val="00AE55FB"/>
    <w:rsid w:val="00AF17F7"/>
    <w:rsid w:val="00AF1C52"/>
    <w:rsid w:val="00AF61B2"/>
    <w:rsid w:val="00B004E1"/>
    <w:rsid w:val="00B01B20"/>
    <w:rsid w:val="00B022AA"/>
    <w:rsid w:val="00B02521"/>
    <w:rsid w:val="00B027D0"/>
    <w:rsid w:val="00B07033"/>
    <w:rsid w:val="00B12013"/>
    <w:rsid w:val="00B13534"/>
    <w:rsid w:val="00B13D1F"/>
    <w:rsid w:val="00B14DAF"/>
    <w:rsid w:val="00B150A9"/>
    <w:rsid w:val="00B154BD"/>
    <w:rsid w:val="00B204A1"/>
    <w:rsid w:val="00B230E6"/>
    <w:rsid w:val="00B234DD"/>
    <w:rsid w:val="00B23CE8"/>
    <w:rsid w:val="00B24973"/>
    <w:rsid w:val="00B25428"/>
    <w:rsid w:val="00B25BDB"/>
    <w:rsid w:val="00B27691"/>
    <w:rsid w:val="00B307FA"/>
    <w:rsid w:val="00B324AA"/>
    <w:rsid w:val="00B32760"/>
    <w:rsid w:val="00B3488A"/>
    <w:rsid w:val="00B3711F"/>
    <w:rsid w:val="00B40ABB"/>
    <w:rsid w:val="00B40BC7"/>
    <w:rsid w:val="00B40D89"/>
    <w:rsid w:val="00B42383"/>
    <w:rsid w:val="00B43306"/>
    <w:rsid w:val="00B43CD9"/>
    <w:rsid w:val="00B455E9"/>
    <w:rsid w:val="00B4646F"/>
    <w:rsid w:val="00B474BD"/>
    <w:rsid w:val="00B475B6"/>
    <w:rsid w:val="00B47AB7"/>
    <w:rsid w:val="00B50FA1"/>
    <w:rsid w:val="00B513A8"/>
    <w:rsid w:val="00B5227D"/>
    <w:rsid w:val="00B52846"/>
    <w:rsid w:val="00B5311F"/>
    <w:rsid w:val="00B53F3E"/>
    <w:rsid w:val="00B5451F"/>
    <w:rsid w:val="00B55BD4"/>
    <w:rsid w:val="00B56371"/>
    <w:rsid w:val="00B60558"/>
    <w:rsid w:val="00B61609"/>
    <w:rsid w:val="00B625D3"/>
    <w:rsid w:val="00B67049"/>
    <w:rsid w:val="00B704F3"/>
    <w:rsid w:val="00B71557"/>
    <w:rsid w:val="00B7187A"/>
    <w:rsid w:val="00B722DA"/>
    <w:rsid w:val="00B73632"/>
    <w:rsid w:val="00B74C71"/>
    <w:rsid w:val="00B74FBA"/>
    <w:rsid w:val="00B7551A"/>
    <w:rsid w:val="00B75756"/>
    <w:rsid w:val="00B7577C"/>
    <w:rsid w:val="00B75C2C"/>
    <w:rsid w:val="00B75F2D"/>
    <w:rsid w:val="00B82946"/>
    <w:rsid w:val="00B83DF5"/>
    <w:rsid w:val="00B86478"/>
    <w:rsid w:val="00B86BCA"/>
    <w:rsid w:val="00B86D38"/>
    <w:rsid w:val="00B86E69"/>
    <w:rsid w:val="00B87460"/>
    <w:rsid w:val="00B90A0F"/>
    <w:rsid w:val="00B92F20"/>
    <w:rsid w:val="00B940B5"/>
    <w:rsid w:val="00B947DB"/>
    <w:rsid w:val="00B96EA4"/>
    <w:rsid w:val="00B96F53"/>
    <w:rsid w:val="00B97B7B"/>
    <w:rsid w:val="00B97D92"/>
    <w:rsid w:val="00BA230D"/>
    <w:rsid w:val="00BA4DCD"/>
    <w:rsid w:val="00BA5785"/>
    <w:rsid w:val="00BA5D89"/>
    <w:rsid w:val="00BB009C"/>
    <w:rsid w:val="00BB0ACF"/>
    <w:rsid w:val="00BB27A2"/>
    <w:rsid w:val="00BB3299"/>
    <w:rsid w:val="00BB5F3D"/>
    <w:rsid w:val="00BB5F89"/>
    <w:rsid w:val="00BC2683"/>
    <w:rsid w:val="00BC43F9"/>
    <w:rsid w:val="00BC4BBF"/>
    <w:rsid w:val="00BC5ADA"/>
    <w:rsid w:val="00BD3EF0"/>
    <w:rsid w:val="00BD6DE2"/>
    <w:rsid w:val="00BD781A"/>
    <w:rsid w:val="00BE08DC"/>
    <w:rsid w:val="00BE09B4"/>
    <w:rsid w:val="00BE1DB9"/>
    <w:rsid w:val="00BE34D5"/>
    <w:rsid w:val="00BE3BEA"/>
    <w:rsid w:val="00BE5013"/>
    <w:rsid w:val="00BE50AA"/>
    <w:rsid w:val="00BE53B3"/>
    <w:rsid w:val="00BF09ED"/>
    <w:rsid w:val="00BF241B"/>
    <w:rsid w:val="00BF41C9"/>
    <w:rsid w:val="00BF6068"/>
    <w:rsid w:val="00BF6414"/>
    <w:rsid w:val="00C01607"/>
    <w:rsid w:val="00C02DF7"/>
    <w:rsid w:val="00C03766"/>
    <w:rsid w:val="00C03797"/>
    <w:rsid w:val="00C04801"/>
    <w:rsid w:val="00C05B4A"/>
    <w:rsid w:val="00C1173B"/>
    <w:rsid w:val="00C12275"/>
    <w:rsid w:val="00C177BA"/>
    <w:rsid w:val="00C17D3E"/>
    <w:rsid w:val="00C20CC0"/>
    <w:rsid w:val="00C21E1E"/>
    <w:rsid w:val="00C22E9E"/>
    <w:rsid w:val="00C25247"/>
    <w:rsid w:val="00C25F66"/>
    <w:rsid w:val="00C26FE9"/>
    <w:rsid w:val="00C303B7"/>
    <w:rsid w:val="00C328EE"/>
    <w:rsid w:val="00C32F5F"/>
    <w:rsid w:val="00C367FC"/>
    <w:rsid w:val="00C372F7"/>
    <w:rsid w:val="00C37C3C"/>
    <w:rsid w:val="00C40C4C"/>
    <w:rsid w:val="00C41821"/>
    <w:rsid w:val="00C41C32"/>
    <w:rsid w:val="00C42A4C"/>
    <w:rsid w:val="00C45A33"/>
    <w:rsid w:val="00C51606"/>
    <w:rsid w:val="00C535CC"/>
    <w:rsid w:val="00C53FDC"/>
    <w:rsid w:val="00C55EA5"/>
    <w:rsid w:val="00C56FEF"/>
    <w:rsid w:val="00C6126B"/>
    <w:rsid w:val="00C619F6"/>
    <w:rsid w:val="00C63424"/>
    <w:rsid w:val="00C663D2"/>
    <w:rsid w:val="00C67AE8"/>
    <w:rsid w:val="00C70EA8"/>
    <w:rsid w:val="00C7149F"/>
    <w:rsid w:val="00C71B9C"/>
    <w:rsid w:val="00C73967"/>
    <w:rsid w:val="00C75C6E"/>
    <w:rsid w:val="00C7675E"/>
    <w:rsid w:val="00C77557"/>
    <w:rsid w:val="00C809E7"/>
    <w:rsid w:val="00C819DC"/>
    <w:rsid w:val="00C821C8"/>
    <w:rsid w:val="00C86248"/>
    <w:rsid w:val="00C875FF"/>
    <w:rsid w:val="00C87B9E"/>
    <w:rsid w:val="00C90DCC"/>
    <w:rsid w:val="00C9113C"/>
    <w:rsid w:val="00C9125E"/>
    <w:rsid w:val="00C9174E"/>
    <w:rsid w:val="00C91BDE"/>
    <w:rsid w:val="00C945D3"/>
    <w:rsid w:val="00C95E25"/>
    <w:rsid w:val="00CA3136"/>
    <w:rsid w:val="00CA3E0A"/>
    <w:rsid w:val="00CA4CE1"/>
    <w:rsid w:val="00CA513D"/>
    <w:rsid w:val="00CA7A48"/>
    <w:rsid w:val="00CB5399"/>
    <w:rsid w:val="00CB65E5"/>
    <w:rsid w:val="00CC00AF"/>
    <w:rsid w:val="00CC0215"/>
    <w:rsid w:val="00CC0690"/>
    <w:rsid w:val="00CC1288"/>
    <w:rsid w:val="00CC14CA"/>
    <w:rsid w:val="00CC2057"/>
    <w:rsid w:val="00CC2C95"/>
    <w:rsid w:val="00CC39E1"/>
    <w:rsid w:val="00CC7343"/>
    <w:rsid w:val="00CD0A20"/>
    <w:rsid w:val="00CD0AEB"/>
    <w:rsid w:val="00CD1E86"/>
    <w:rsid w:val="00CD2398"/>
    <w:rsid w:val="00CD3EC5"/>
    <w:rsid w:val="00CD4344"/>
    <w:rsid w:val="00CE0802"/>
    <w:rsid w:val="00CE227E"/>
    <w:rsid w:val="00CE2649"/>
    <w:rsid w:val="00CE36D0"/>
    <w:rsid w:val="00CE4317"/>
    <w:rsid w:val="00CE59E1"/>
    <w:rsid w:val="00CE72DE"/>
    <w:rsid w:val="00CE7862"/>
    <w:rsid w:val="00CF12FA"/>
    <w:rsid w:val="00CF158F"/>
    <w:rsid w:val="00CF1747"/>
    <w:rsid w:val="00CF3F73"/>
    <w:rsid w:val="00CF6D31"/>
    <w:rsid w:val="00CF7685"/>
    <w:rsid w:val="00D001FB"/>
    <w:rsid w:val="00D0225B"/>
    <w:rsid w:val="00D0266D"/>
    <w:rsid w:val="00D0600F"/>
    <w:rsid w:val="00D07A8A"/>
    <w:rsid w:val="00D1001C"/>
    <w:rsid w:val="00D11774"/>
    <w:rsid w:val="00D11E97"/>
    <w:rsid w:val="00D122E0"/>
    <w:rsid w:val="00D1462A"/>
    <w:rsid w:val="00D1635E"/>
    <w:rsid w:val="00D2037C"/>
    <w:rsid w:val="00D2107D"/>
    <w:rsid w:val="00D23631"/>
    <w:rsid w:val="00D265D8"/>
    <w:rsid w:val="00D27387"/>
    <w:rsid w:val="00D3083A"/>
    <w:rsid w:val="00D315F1"/>
    <w:rsid w:val="00D340F3"/>
    <w:rsid w:val="00D35437"/>
    <w:rsid w:val="00D355B1"/>
    <w:rsid w:val="00D36ECF"/>
    <w:rsid w:val="00D37EC0"/>
    <w:rsid w:val="00D401F3"/>
    <w:rsid w:val="00D40292"/>
    <w:rsid w:val="00D41ACA"/>
    <w:rsid w:val="00D42E31"/>
    <w:rsid w:val="00D43BAE"/>
    <w:rsid w:val="00D44AB6"/>
    <w:rsid w:val="00D45B28"/>
    <w:rsid w:val="00D46883"/>
    <w:rsid w:val="00D51035"/>
    <w:rsid w:val="00D51210"/>
    <w:rsid w:val="00D5257E"/>
    <w:rsid w:val="00D54D35"/>
    <w:rsid w:val="00D54D79"/>
    <w:rsid w:val="00D55393"/>
    <w:rsid w:val="00D55647"/>
    <w:rsid w:val="00D61A8F"/>
    <w:rsid w:val="00D61F63"/>
    <w:rsid w:val="00D62699"/>
    <w:rsid w:val="00D62EA8"/>
    <w:rsid w:val="00D637B4"/>
    <w:rsid w:val="00D6611F"/>
    <w:rsid w:val="00D661EC"/>
    <w:rsid w:val="00D66E63"/>
    <w:rsid w:val="00D70276"/>
    <w:rsid w:val="00D702EC"/>
    <w:rsid w:val="00D73FA3"/>
    <w:rsid w:val="00D75DB1"/>
    <w:rsid w:val="00D762E0"/>
    <w:rsid w:val="00D80968"/>
    <w:rsid w:val="00D81634"/>
    <w:rsid w:val="00D82B1C"/>
    <w:rsid w:val="00D82CDF"/>
    <w:rsid w:val="00D85925"/>
    <w:rsid w:val="00D8651D"/>
    <w:rsid w:val="00D86623"/>
    <w:rsid w:val="00D91012"/>
    <w:rsid w:val="00D9405F"/>
    <w:rsid w:val="00D9614F"/>
    <w:rsid w:val="00D975E0"/>
    <w:rsid w:val="00DA2027"/>
    <w:rsid w:val="00DA580F"/>
    <w:rsid w:val="00DA5D50"/>
    <w:rsid w:val="00DA6180"/>
    <w:rsid w:val="00DB2C7D"/>
    <w:rsid w:val="00DB4269"/>
    <w:rsid w:val="00DB4624"/>
    <w:rsid w:val="00DB6C21"/>
    <w:rsid w:val="00DB7B00"/>
    <w:rsid w:val="00DC08F3"/>
    <w:rsid w:val="00DC2F82"/>
    <w:rsid w:val="00DC312C"/>
    <w:rsid w:val="00DC484A"/>
    <w:rsid w:val="00DC5F45"/>
    <w:rsid w:val="00DC7E0F"/>
    <w:rsid w:val="00DD0EDD"/>
    <w:rsid w:val="00DD13AC"/>
    <w:rsid w:val="00DD2260"/>
    <w:rsid w:val="00DD2537"/>
    <w:rsid w:val="00DD69BA"/>
    <w:rsid w:val="00DD6EBC"/>
    <w:rsid w:val="00DD7130"/>
    <w:rsid w:val="00DD7BD6"/>
    <w:rsid w:val="00DE293C"/>
    <w:rsid w:val="00DE3616"/>
    <w:rsid w:val="00DE3D2F"/>
    <w:rsid w:val="00DE58CE"/>
    <w:rsid w:val="00DE66F6"/>
    <w:rsid w:val="00DE6772"/>
    <w:rsid w:val="00DF0444"/>
    <w:rsid w:val="00DF0E31"/>
    <w:rsid w:val="00DF1959"/>
    <w:rsid w:val="00DF196D"/>
    <w:rsid w:val="00DF5A6E"/>
    <w:rsid w:val="00DF5AE9"/>
    <w:rsid w:val="00DF614E"/>
    <w:rsid w:val="00DF6555"/>
    <w:rsid w:val="00DF6EE0"/>
    <w:rsid w:val="00DF7344"/>
    <w:rsid w:val="00DF7DC5"/>
    <w:rsid w:val="00E001C4"/>
    <w:rsid w:val="00E00850"/>
    <w:rsid w:val="00E02E5B"/>
    <w:rsid w:val="00E05187"/>
    <w:rsid w:val="00E11D3C"/>
    <w:rsid w:val="00E1634F"/>
    <w:rsid w:val="00E16F5B"/>
    <w:rsid w:val="00E17DC4"/>
    <w:rsid w:val="00E20636"/>
    <w:rsid w:val="00E2119F"/>
    <w:rsid w:val="00E21F4E"/>
    <w:rsid w:val="00E234AC"/>
    <w:rsid w:val="00E23B5A"/>
    <w:rsid w:val="00E27ED2"/>
    <w:rsid w:val="00E326FD"/>
    <w:rsid w:val="00E3287F"/>
    <w:rsid w:val="00E33EB5"/>
    <w:rsid w:val="00E348A2"/>
    <w:rsid w:val="00E35226"/>
    <w:rsid w:val="00E37C78"/>
    <w:rsid w:val="00E43BF2"/>
    <w:rsid w:val="00E45AB0"/>
    <w:rsid w:val="00E46920"/>
    <w:rsid w:val="00E4747D"/>
    <w:rsid w:val="00E47632"/>
    <w:rsid w:val="00E47972"/>
    <w:rsid w:val="00E506FB"/>
    <w:rsid w:val="00E52A86"/>
    <w:rsid w:val="00E52C94"/>
    <w:rsid w:val="00E52CAF"/>
    <w:rsid w:val="00E53D26"/>
    <w:rsid w:val="00E53E3D"/>
    <w:rsid w:val="00E55D5E"/>
    <w:rsid w:val="00E56550"/>
    <w:rsid w:val="00E579F0"/>
    <w:rsid w:val="00E62037"/>
    <w:rsid w:val="00E62175"/>
    <w:rsid w:val="00E62A5F"/>
    <w:rsid w:val="00E65F42"/>
    <w:rsid w:val="00E668F2"/>
    <w:rsid w:val="00E66D48"/>
    <w:rsid w:val="00E6731A"/>
    <w:rsid w:val="00E7079C"/>
    <w:rsid w:val="00E708E1"/>
    <w:rsid w:val="00E7250E"/>
    <w:rsid w:val="00E74979"/>
    <w:rsid w:val="00E77EA8"/>
    <w:rsid w:val="00E861A1"/>
    <w:rsid w:val="00E9056D"/>
    <w:rsid w:val="00E926D8"/>
    <w:rsid w:val="00E92764"/>
    <w:rsid w:val="00E94DD7"/>
    <w:rsid w:val="00E96A7C"/>
    <w:rsid w:val="00E97699"/>
    <w:rsid w:val="00EA05BC"/>
    <w:rsid w:val="00EA22CA"/>
    <w:rsid w:val="00EA27E6"/>
    <w:rsid w:val="00EA55BA"/>
    <w:rsid w:val="00EA578D"/>
    <w:rsid w:val="00EA5E11"/>
    <w:rsid w:val="00EB060C"/>
    <w:rsid w:val="00EB1856"/>
    <w:rsid w:val="00EB29F7"/>
    <w:rsid w:val="00EB4709"/>
    <w:rsid w:val="00EB6198"/>
    <w:rsid w:val="00EB68EA"/>
    <w:rsid w:val="00EB6BDF"/>
    <w:rsid w:val="00EB7713"/>
    <w:rsid w:val="00EC0F7C"/>
    <w:rsid w:val="00EC1897"/>
    <w:rsid w:val="00EC258D"/>
    <w:rsid w:val="00EC50CE"/>
    <w:rsid w:val="00EC5B34"/>
    <w:rsid w:val="00ED2212"/>
    <w:rsid w:val="00ED334E"/>
    <w:rsid w:val="00ED4500"/>
    <w:rsid w:val="00ED4FE4"/>
    <w:rsid w:val="00ED604C"/>
    <w:rsid w:val="00ED790D"/>
    <w:rsid w:val="00EE1894"/>
    <w:rsid w:val="00EE189E"/>
    <w:rsid w:val="00EE42B0"/>
    <w:rsid w:val="00EE5216"/>
    <w:rsid w:val="00EE6432"/>
    <w:rsid w:val="00EE7481"/>
    <w:rsid w:val="00EE74CD"/>
    <w:rsid w:val="00EE7615"/>
    <w:rsid w:val="00EE7E90"/>
    <w:rsid w:val="00EF0AF6"/>
    <w:rsid w:val="00EF17E4"/>
    <w:rsid w:val="00EF4088"/>
    <w:rsid w:val="00EF4EB7"/>
    <w:rsid w:val="00F01BDD"/>
    <w:rsid w:val="00F02748"/>
    <w:rsid w:val="00F0545B"/>
    <w:rsid w:val="00F0708B"/>
    <w:rsid w:val="00F125A0"/>
    <w:rsid w:val="00F14363"/>
    <w:rsid w:val="00F14909"/>
    <w:rsid w:val="00F150DA"/>
    <w:rsid w:val="00F152F5"/>
    <w:rsid w:val="00F20DA6"/>
    <w:rsid w:val="00F224C7"/>
    <w:rsid w:val="00F22974"/>
    <w:rsid w:val="00F23CF7"/>
    <w:rsid w:val="00F254C2"/>
    <w:rsid w:val="00F264D7"/>
    <w:rsid w:val="00F26912"/>
    <w:rsid w:val="00F27632"/>
    <w:rsid w:val="00F31BD2"/>
    <w:rsid w:val="00F31DC0"/>
    <w:rsid w:val="00F3273B"/>
    <w:rsid w:val="00F338E9"/>
    <w:rsid w:val="00F362FE"/>
    <w:rsid w:val="00F36F2D"/>
    <w:rsid w:val="00F40E95"/>
    <w:rsid w:val="00F424C6"/>
    <w:rsid w:val="00F42743"/>
    <w:rsid w:val="00F43F25"/>
    <w:rsid w:val="00F44D8D"/>
    <w:rsid w:val="00F47108"/>
    <w:rsid w:val="00F50C60"/>
    <w:rsid w:val="00F517E1"/>
    <w:rsid w:val="00F5282D"/>
    <w:rsid w:val="00F557EF"/>
    <w:rsid w:val="00F55DAD"/>
    <w:rsid w:val="00F55EA8"/>
    <w:rsid w:val="00F57732"/>
    <w:rsid w:val="00F60D8E"/>
    <w:rsid w:val="00F61523"/>
    <w:rsid w:val="00F61ECF"/>
    <w:rsid w:val="00F65D6F"/>
    <w:rsid w:val="00F704B5"/>
    <w:rsid w:val="00F71058"/>
    <w:rsid w:val="00F7189B"/>
    <w:rsid w:val="00F73509"/>
    <w:rsid w:val="00F7365E"/>
    <w:rsid w:val="00F74B5D"/>
    <w:rsid w:val="00F74EA4"/>
    <w:rsid w:val="00F80039"/>
    <w:rsid w:val="00F845A7"/>
    <w:rsid w:val="00F84B21"/>
    <w:rsid w:val="00F84CA7"/>
    <w:rsid w:val="00F8594F"/>
    <w:rsid w:val="00F86B72"/>
    <w:rsid w:val="00F932D2"/>
    <w:rsid w:val="00F94169"/>
    <w:rsid w:val="00F96760"/>
    <w:rsid w:val="00FA0910"/>
    <w:rsid w:val="00FA1F33"/>
    <w:rsid w:val="00FA2964"/>
    <w:rsid w:val="00FA5794"/>
    <w:rsid w:val="00FB1DBB"/>
    <w:rsid w:val="00FB2F52"/>
    <w:rsid w:val="00FB3856"/>
    <w:rsid w:val="00FB4E4D"/>
    <w:rsid w:val="00FB5386"/>
    <w:rsid w:val="00FB5614"/>
    <w:rsid w:val="00FB76BF"/>
    <w:rsid w:val="00FC3137"/>
    <w:rsid w:val="00FC3FE2"/>
    <w:rsid w:val="00FC4C29"/>
    <w:rsid w:val="00FC5496"/>
    <w:rsid w:val="00FC596A"/>
    <w:rsid w:val="00FC5D25"/>
    <w:rsid w:val="00FD1B29"/>
    <w:rsid w:val="00FD1BD1"/>
    <w:rsid w:val="00FD3A6A"/>
    <w:rsid w:val="00FD3D2B"/>
    <w:rsid w:val="00FD70B8"/>
    <w:rsid w:val="00FE064C"/>
    <w:rsid w:val="00FE1268"/>
    <w:rsid w:val="00FE1BB4"/>
    <w:rsid w:val="00FE25D6"/>
    <w:rsid w:val="00FE312C"/>
    <w:rsid w:val="00FE3162"/>
    <w:rsid w:val="00FE3586"/>
    <w:rsid w:val="00FE3B92"/>
    <w:rsid w:val="00FE3DB6"/>
    <w:rsid w:val="00FE6238"/>
    <w:rsid w:val="00FE643E"/>
    <w:rsid w:val="00FE747D"/>
    <w:rsid w:val="00FF2098"/>
    <w:rsid w:val="00FF50FB"/>
    <w:rsid w:val="00FF6216"/>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D276D"/>
  <w15:docId w15:val="{6D9E3859-59CF-46F7-9C8C-4785E908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98"/>
    <w:pPr>
      <w:spacing w:line="264" w:lineRule="auto"/>
      <w:jc w:val="both"/>
    </w:pPr>
    <w:rPr>
      <w:rFonts w:ascii="Arial" w:hAnsi="Arial"/>
      <w:sz w:val="22"/>
      <w:lang w:eastAsia="en-GB"/>
    </w:rPr>
  </w:style>
  <w:style w:type="paragraph" w:styleId="Heading1">
    <w:name w:val="heading 1"/>
    <w:basedOn w:val="Normal"/>
    <w:next w:val="Normal"/>
    <w:link w:val="Heading1Char"/>
    <w:uiPriority w:val="9"/>
    <w:qFormat/>
    <w:rsid w:val="0075201E"/>
    <w:pPr>
      <w:keepNext/>
      <w:spacing w:before="600" w:after="240"/>
      <w:jc w:val="left"/>
      <w:outlineLvl w:val="0"/>
    </w:pPr>
    <w:rPr>
      <w:b/>
      <w:sz w:val="36"/>
    </w:rPr>
  </w:style>
  <w:style w:type="paragraph" w:styleId="Heading2">
    <w:name w:val="heading 2"/>
    <w:basedOn w:val="Normal"/>
    <w:next w:val="Normal"/>
    <w:link w:val="Heading2Char"/>
    <w:uiPriority w:val="9"/>
    <w:qFormat/>
    <w:rsid w:val="000E1B87"/>
    <w:pPr>
      <w:keepNext/>
      <w:numPr>
        <w:ilvl w:val="1"/>
        <w:numId w:val="41"/>
      </w:numPr>
      <w:spacing w:before="480" w:after="120"/>
      <w:jc w:val="left"/>
      <w:outlineLvl w:val="1"/>
    </w:pPr>
    <w:rPr>
      <w:sz w:val="28"/>
    </w:rPr>
  </w:style>
  <w:style w:type="paragraph" w:styleId="Heading3">
    <w:name w:val="heading 3"/>
    <w:basedOn w:val="Normal"/>
    <w:next w:val="Normal"/>
    <w:link w:val="Heading3Char"/>
    <w:uiPriority w:val="9"/>
    <w:qFormat/>
    <w:rsid w:val="00265B97"/>
    <w:pPr>
      <w:keepNext/>
      <w:spacing w:before="360" w:after="240" w:line="276" w:lineRule="auto"/>
      <w:jc w:val="left"/>
      <w:outlineLvl w:val="2"/>
    </w:pPr>
    <w:rPr>
      <w:i/>
      <w:sz w:val="26"/>
    </w:rPr>
  </w:style>
  <w:style w:type="paragraph" w:styleId="Heading4">
    <w:name w:val="heading 4"/>
    <w:basedOn w:val="Normal"/>
    <w:next w:val="Normal"/>
    <w:link w:val="Heading4Char"/>
    <w:uiPriority w:val="9"/>
    <w:qFormat/>
    <w:rsid w:val="00376A68"/>
    <w:pPr>
      <w:keepNext/>
      <w:spacing w:before="300" w:after="120"/>
      <w:jc w:val="left"/>
      <w:outlineLvl w:val="3"/>
    </w:pPr>
    <w:rPr>
      <w:b/>
      <w:sz w:val="24"/>
    </w:rPr>
  </w:style>
  <w:style w:type="paragraph" w:styleId="Heading5">
    <w:name w:val="heading 5"/>
    <w:basedOn w:val="Normal"/>
    <w:next w:val="Normal"/>
    <w:link w:val="Heading5Char"/>
    <w:uiPriority w:val="9"/>
    <w:qFormat/>
    <w:rsid w:val="00905D0A"/>
    <w:pPr>
      <w:keepNext/>
      <w:spacing w:before="120"/>
      <w:jc w:val="left"/>
      <w:outlineLvl w:val="4"/>
    </w:pPr>
    <w:rPr>
      <w:i/>
    </w:rPr>
  </w:style>
  <w:style w:type="paragraph" w:styleId="Heading6">
    <w:name w:val="heading 6"/>
    <w:basedOn w:val="Normal"/>
    <w:next w:val="Normal"/>
    <w:link w:val="Heading6Char"/>
    <w:uiPriority w:val="9"/>
    <w:qFormat/>
    <w:rsid w:val="0084579F"/>
    <w:pPr>
      <w:keepNext/>
      <w:outlineLvl w:val="5"/>
    </w:pPr>
    <w:rPr>
      <w:i/>
      <w:iCs/>
      <w:szCs w:val="24"/>
      <w:lang w:val="en-US"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201E"/>
    <w:rPr>
      <w:rFonts w:ascii="Arial" w:hAnsi="Arial"/>
      <w:b/>
      <w:sz w:val="36"/>
      <w:lang w:eastAsia="en-GB"/>
    </w:rPr>
  </w:style>
  <w:style w:type="character" w:customStyle="1" w:styleId="Heading2Char">
    <w:name w:val="Heading 2 Char"/>
    <w:link w:val="Heading2"/>
    <w:uiPriority w:val="9"/>
    <w:rsid w:val="000E1B87"/>
    <w:rPr>
      <w:rFonts w:ascii="Arial" w:hAnsi="Arial"/>
      <w:sz w:val="28"/>
      <w:lang w:eastAsia="en-GB"/>
    </w:rPr>
  </w:style>
  <w:style w:type="character" w:customStyle="1" w:styleId="Heading3Char">
    <w:name w:val="Heading 3 Char"/>
    <w:link w:val="Heading3"/>
    <w:uiPriority w:val="9"/>
    <w:rsid w:val="00265B97"/>
    <w:rPr>
      <w:rFonts w:ascii="Arial" w:hAnsi="Arial"/>
      <w:i/>
      <w:sz w:val="26"/>
      <w:lang w:eastAsia="en-GB"/>
    </w:rPr>
  </w:style>
  <w:style w:type="character" w:customStyle="1" w:styleId="Heading4Char">
    <w:name w:val="Heading 4 Char"/>
    <w:link w:val="Heading4"/>
    <w:uiPriority w:val="9"/>
    <w:rsid w:val="00376A68"/>
    <w:rPr>
      <w:rFonts w:ascii="Arial" w:hAnsi="Arial"/>
      <w:b/>
      <w:sz w:val="24"/>
      <w:lang w:eastAsia="en-GB"/>
    </w:rPr>
  </w:style>
  <w:style w:type="character" w:customStyle="1" w:styleId="Heading5Char">
    <w:name w:val="Heading 5 Char"/>
    <w:link w:val="Heading5"/>
    <w:uiPriority w:val="9"/>
    <w:rsid w:val="00905D0A"/>
    <w:rPr>
      <w:rFonts w:ascii="Arial" w:hAnsi="Arial"/>
      <w:i/>
      <w:sz w:val="22"/>
      <w:lang w:eastAsia="en-GB"/>
    </w:rPr>
  </w:style>
  <w:style w:type="character" w:customStyle="1" w:styleId="Heading6Char">
    <w:name w:val="Heading 6 Char"/>
    <w:link w:val="Heading6"/>
    <w:uiPriority w:val="9"/>
    <w:rsid w:val="008C7574"/>
    <w:rPr>
      <w:rFonts w:ascii="Arial" w:hAnsi="Arial"/>
      <w:i/>
      <w:iCs/>
      <w:sz w:val="22"/>
      <w:szCs w:val="24"/>
      <w:lang w:val="en-US"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1A3E43"/>
    <w:pPr>
      <w:tabs>
        <w:tab w:val="right" w:leader="dot" w:pos="8789"/>
      </w:tabs>
      <w:spacing w:before="240"/>
      <w:ind w:left="567" w:right="567" w:hanging="567"/>
      <w:jc w:val="left"/>
    </w:pPr>
    <w:rPr>
      <w:b/>
    </w:rPr>
  </w:style>
  <w:style w:type="paragraph" w:styleId="TOC2">
    <w:name w:val="toc 2"/>
    <w:basedOn w:val="Normal"/>
    <w:next w:val="Normal"/>
    <w:uiPriority w:val="39"/>
    <w:rsid w:val="00376711"/>
    <w:pPr>
      <w:tabs>
        <w:tab w:val="right" w:leader="dot" w:pos="8789"/>
      </w:tabs>
      <w:spacing w:before="60"/>
      <w:ind w:left="1134" w:right="567" w:hanging="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C535CC"/>
    <w:pPr>
      <w:numPr>
        <w:numId w:val="1"/>
      </w:numPr>
      <w:tabs>
        <w:tab w:val="clear" w:pos="851"/>
        <w:tab w:val="left" w:pos="284"/>
      </w:tabs>
      <w:spacing w:before="90"/>
    </w:pPr>
  </w:style>
  <w:style w:type="character" w:customStyle="1" w:styleId="BulletChar">
    <w:name w:val="Bullet Char"/>
    <w:link w:val="Bullet"/>
    <w:rsid w:val="00C535CC"/>
    <w:rPr>
      <w:rFonts w:ascii="Arial" w:hAnsi="Arial"/>
      <w:sz w:val="22"/>
      <w:lang w:eastAsia="en-GB"/>
    </w:rPr>
  </w:style>
  <w:style w:type="paragraph" w:styleId="Quote">
    <w:name w:val="Quote"/>
    <w:basedOn w:val="Box"/>
    <w:next w:val="Normal"/>
    <w:link w:val="QuoteChar"/>
    <w:uiPriority w:val="29"/>
    <w:qFormat/>
    <w:rsid w:val="006251FF"/>
    <w:pPr>
      <w:ind w:left="851"/>
    </w:pPr>
    <w:rPr>
      <w:i/>
      <w:sz w:val="21"/>
    </w:rPr>
  </w:style>
  <w:style w:type="paragraph" w:customStyle="1" w:styleId="Box">
    <w:name w:val="Box"/>
    <w:basedOn w:val="Normal"/>
    <w:rsid w:val="00F362FE"/>
    <w:pPr>
      <w:pBdr>
        <w:top w:val="single" w:sz="4" w:space="12" w:color="auto"/>
        <w:left w:val="single" w:sz="4" w:space="12" w:color="auto"/>
        <w:bottom w:val="single" w:sz="4" w:space="12" w:color="auto"/>
        <w:right w:val="single" w:sz="4" w:space="12" w:color="auto"/>
      </w:pBdr>
      <w:shd w:val="clear" w:color="auto" w:fill="F2F2F2" w:themeFill="background1" w:themeFillShade="F2"/>
      <w:spacing w:before="120"/>
      <w:ind w:left="284" w:right="284"/>
      <w:jc w:val="left"/>
    </w:pPr>
  </w:style>
  <w:style w:type="character" w:customStyle="1" w:styleId="QuoteChar">
    <w:name w:val="Quote Char"/>
    <w:link w:val="Quote"/>
    <w:uiPriority w:val="29"/>
    <w:rsid w:val="006251FF"/>
    <w:rPr>
      <w:rFonts w:ascii="Arial" w:hAnsi="Arial"/>
      <w:i/>
      <w:sz w:val="21"/>
      <w:shd w:val="clear" w:color="auto" w:fill="F2F2F2" w:themeFill="background1" w:themeFillShade="F2"/>
      <w:lang w:eastAsia="en-GB"/>
    </w:rPr>
  </w:style>
  <w:style w:type="paragraph" w:styleId="Title">
    <w:name w:val="Title"/>
    <w:basedOn w:val="Normal"/>
    <w:next w:val="Normal"/>
    <w:link w:val="TitleChar"/>
    <w:uiPriority w:val="10"/>
    <w:qFormat/>
    <w:rsid w:val="006B696B"/>
    <w:pPr>
      <w:spacing w:after="960"/>
      <w:jc w:val="center"/>
    </w:pPr>
    <w:rPr>
      <w:b/>
      <w:sz w:val="48"/>
    </w:rPr>
  </w:style>
  <w:style w:type="character" w:customStyle="1" w:styleId="TitleChar">
    <w:name w:val="Title Char"/>
    <w:link w:val="Title"/>
    <w:uiPriority w:val="10"/>
    <w:rsid w:val="006B696B"/>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rsid w:val="002117B9"/>
    <w:pPr>
      <w:keepNext/>
      <w:spacing w:before="120" w:after="120"/>
    </w:pPr>
    <w:rPr>
      <w:b/>
    </w:rPr>
  </w:style>
  <w:style w:type="character" w:styleId="FootnoteReference">
    <w:name w:val="footnote reference"/>
    <w:uiPriority w:val="99"/>
    <w:rPr>
      <w:vertAlign w:val="superscript"/>
    </w:rPr>
  </w:style>
  <w:style w:type="paragraph" w:customStyle="1" w:styleId="Table">
    <w:name w:val="Table"/>
    <w:basedOn w:val="Figure"/>
    <w:rsid w:val="001A15FF"/>
    <w:pPr>
      <w:spacing w:before="360"/>
    </w:pPr>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C26FE9"/>
    <w:pPr>
      <w:spacing w:before="60" w:after="60" w:line="240" w:lineRule="auto"/>
      <w:jc w:val="left"/>
    </w:pPr>
    <w:rPr>
      <w:sz w:val="18"/>
    </w:rPr>
  </w:style>
  <w:style w:type="paragraph" w:customStyle="1" w:styleId="TableBullet">
    <w:name w:val="TableBullet"/>
    <w:basedOn w:val="TableText"/>
    <w:rsid w:val="000B3D09"/>
    <w:pPr>
      <w:numPr>
        <w:numId w:val="3"/>
      </w:numPr>
      <w:spacing w:before="0"/>
      <w:ind w:left="709"/>
    </w:pPr>
  </w:style>
  <w:style w:type="paragraph" w:customStyle="1" w:styleId="BoxHeading">
    <w:name w:val="BoxHeading"/>
    <w:basedOn w:val="Box"/>
    <w:rsid w:val="001635AE"/>
    <w:pPr>
      <w:keepNext/>
    </w:pPr>
    <w:rPr>
      <w:b/>
    </w:rPr>
  </w:style>
  <w:style w:type="paragraph" w:customStyle="1" w:styleId="BoxBullet">
    <w:name w:val="BoxBullet"/>
    <w:basedOn w:val="Box"/>
    <w:rsid w:val="00F362FE"/>
    <w:pPr>
      <w:numPr>
        <w:numId w:val="4"/>
      </w:numPr>
      <w:spacing w:before="90"/>
      <w:ind w:left="568" w:hanging="284"/>
    </w:pPr>
  </w:style>
  <w:style w:type="paragraph" w:customStyle="1" w:styleId="IntroHead">
    <w:name w:val="IntroHead"/>
    <w:basedOn w:val="Heading1"/>
    <w:next w:val="Normal"/>
    <w:rsid w:val="006A1069"/>
    <w:pPr>
      <w:spacing w:before="960"/>
      <w:outlineLvl w:val="9"/>
    </w:pPr>
  </w:style>
  <w:style w:type="paragraph" w:customStyle="1" w:styleId="Source">
    <w:name w:val="Source"/>
    <w:basedOn w:val="Figure"/>
    <w:next w:val="Normal"/>
    <w:pPr>
      <w:keepNext w:val="0"/>
      <w:spacing w:before="80" w:after="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sid w:val="00376A68"/>
    <w:rPr>
      <w:color w:val="595959" w:themeColor="text1" w:themeTint="A6"/>
      <w:u w:val="none"/>
    </w:rPr>
  </w:style>
  <w:style w:type="paragraph" w:customStyle="1" w:styleId="References">
    <w:name w:val="References"/>
    <w:basedOn w:val="Normal"/>
    <w:rsid w:val="00D001FB"/>
    <w:pPr>
      <w:spacing w:before="180"/>
    </w:pPr>
  </w:style>
  <w:style w:type="paragraph" w:customStyle="1" w:styleId="Note">
    <w:name w:val="Note"/>
    <w:basedOn w:val="Normal"/>
    <w:next w:val="Normal"/>
    <w:rsid w:val="006E75ED"/>
    <w:pPr>
      <w:spacing w:before="80"/>
      <w:ind w:left="851" w:hanging="284"/>
    </w:pPr>
    <w:rPr>
      <w:sz w:val="20"/>
    </w:rPr>
  </w:style>
  <w:style w:type="paragraph" w:customStyle="1" w:styleId="TableDash">
    <w:name w:val="TableDash"/>
    <w:basedOn w:val="TableText"/>
    <w:rsid w:val="00340BD3"/>
    <w:pPr>
      <w:numPr>
        <w:numId w:val="6"/>
      </w:numPr>
      <w:spacing w:before="0" w:after="40"/>
      <w:ind w:left="851" w:hanging="567"/>
    </w:pPr>
    <w:rPr>
      <w:szCs w:val="22"/>
    </w:rPr>
  </w:style>
  <w:style w:type="table" w:styleId="TableGrid">
    <w:name w:val="Table Grid"/>
    <w:basedOn w:val="TableNormal"/>
    <w:uiPriority w:val="39"/>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link w:val="Header"/>
    <w:uiPriority w:val="99"/>
    <w:rsid w:val="00164FD0"/>
    <w:rPr>
      <w:rFonts w:ascii="Arial" w:hAnsi="Arial"/>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rsid w:val="002E4C11"/>
    <w:pPr>
      <w:spacing w:before="60"/>
      <w:ind w:left="284" w:hanging="284"/>
      <w:jc w:val="left"/>
    </w:pPr>
    <w:rPr>
      <w:sz w:val="18"/>
    </w:rPr>
  </w:style>
  <w:style w:type="character" w:customStyle="1" w:styleId="FootnoteTextChar">
    <w:name w:val="Footnote Text Char"/>
    <w:link w:val="FootnoteText"/>
    <w:uiPriority w:val="99"/>
    <w:rsid w:val="002E4C11"/>
    <w:rPr>
      <w:rFonts w:ascii="Arial" w:hAnsi="Arial"/>
      <w:sz w:val="18"/>
      <w:lang w:eastAsia="en-GB"/>
    </w:rPr>
  </w:style>
  <w:style w:type="character" w:customStyle="1" w:styleId="NumberChar">
    <w:name w:val="Number Char"/>
    <w:link w:val="Number"/>
    <w:rsid w:val="00511503"/>
    <w:rPr>
      <w:rFonts w:ascii="Arial" w:hAnsi="Arial"/>
      <w:sz w:val="22"/>
      <w:lang w:eastAsia="en-GB"/>
    </w:rPr>
  </w:style>
  <w:style w:type="paragraph" w:customStyle="1" w:styleId="Number">
    <w:name w:val="Number"/>
    <w:basedOn w:val="Normal"/>
    <w:link w:val="NumberChar"/>
    <w:qFormat/>
    <w:rsid w:val="00511503"/>
    <w:pPr>
      <w:numPr>
        <w:ilvl w:val="2"/>
        <w:numId w:val="41"/>
      </w:numPr>
      <w:spacing w:before="220"/>
    </w:pPr>
  </w:style>
  <w:style w:type="paragraph" w:customStyle="1" w:styleId="Letter">
    <w:name w:val="Letter"/>
    <w:basedOn w:val="Normal"/>
    <w:qFormat/>
    <w:rsid w:val="00723321"/>
    <w:pPr>
      <w:numPr>
        <w:ilvl w:val="3"/>
        <w:numId w:val="41"/>
      </w:numPr>
      <w:spacing w:before="90"/>
    </w:pPr>
  </w:style>
  <w:style w:type="paragraph" w:customStyle="1" w:styleId="TableNumber">
    <w:name w:val="TableNumber"/>
    <w:basedOn w:val="TableText"/>
    <w:qFormat/>
    <w:rsid w:val="00B86E69"/>
    <w:pPr>
      <w:ind w:left="425" w:hanging="425"/>
    </w:pPr>
  </w:style>
  <w:style w:type="paragraph" w:customStyle="1" w:styleId="TableLetter">
    <w:name w:val="TableLetter"/>
    <w:basedOn w:val="Normal"/>
    <w:qFormat/>
    <w:rsid w:val="002D6FC1"/>
    <w:pPr>
      <w:numPr>
        <w:ilvl w:val="6"/>
        <w:numId w:val="10"/>
      </w:numPr>
      <w:spacing w:before="80" w:after="80"/>
      <w:jc w:val="left"/>
    </w:pPr>
    <w:rPr>
      <w:sz w:val="18"/>
    </w:rPr>
  </w:style>
  <w:style w:type="paragraph" w:customStyle="1" w:styleId="Roman">
    <w:name w:val="Roman"/>
    <w:basedOn w:val="Normal"/>
    <w:qFormat/>
    <w:rsid w:val="00E52CAF"/>
    <w:pPr>
      <w:spacing w:before="90" w:line="240" w:lineRule="auto"/>
      <w:ind w:left="1701" w:hanging="567"/>
      <w:jc w:val="left"/>
    </w:pPr>
    <w:rPr>
      <w:rFonts w:ascii="Segoe UI" w:hAnsi="Segoe UI"/>
      <w:sz w:val="21"/>
    </w:rPr>
  </w:style>
  <w:style w:type="paragraph" w:styleId="Caption">
    <w:name w:val="caption"/>
    <w:basedOn w:val="Normal"/>
    <w:next w:val="Normal"/>
    <w:uiPriority w:val="35"/>
    <w:unhideWhenUsed/>
    <w:qFormat/>
    <w:rsid w:val="001A15FF"/>
    <w:pPr>
      <w:spacing w:after="200" w:line="240" w:lineRule="auto"/>
    </w:pPr>
    <w:rPr>
      <w:b/>
      <w:bCs/>
      <w:color w:val="4F81BD" w:themeColor="accent1"/>
      <w:sz w:val="18"/>
      <w:szCs w:val="18"/>
    </w:rPr>
  </w:style>
  <w:style w:type="paragraph" w:customStyle="1" w:styleId="Heading2-notforToC">
    <w:name w:val="Heading 2 - not for ToC"/>
    <w:basedOn w:val="Heading2"/>
    <w:qFormat/>
    <w:rsid w:val="00724708"/>
    <w:pPr>
      <w:ind w:left="567" w:hanging="567"/>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angatamariki.govt.nz/assets/Uploads/Adoptions/Surrogacy-and-adoption/2020-Information-Fact-Sheet-International-Surroga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92C7-2139-45BC-B0DE-746BB9BF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31</TotalTime>
  <Pages>10</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Stage One Consultation: Submissions Analysis – Posthumous Reproduction: A review of the current Guidelines for the Storage, Use, and Disposal of Sperm from a Deceased Man to take into account gametes and embryos</vt:lpstr>
    </vt:vector>
  </TitlesOfParts>
  <Company>Wordprocessing Services</Company>
  <LinksUpToDate>false</LinksUpToDate>
  <CharactersWithSpaces>17779</CharactersWithSpaces>
  <SharedDoc>false</SharedDoc>
  <HLinks>
    <vt:vector size="42" baseType="variant">
      <vt:variant>
        <vt:i4>4194371</vt:i4>
      </vt:variant>
      <vt:variant>
        <vt:i4>84</vt:i4>
      </vt:variant>
      <vt:variant>
        <vt:i4>0</vt:i4>
      </vt:variant>
      <vt:variant>
        <vt:i4>5</vt:i4>
      </vt:variant>
      <vt:variant>
        <vt:lpwstr>http://www.legislation.govt.nz/act/public/2004/0092/latest/link.aspx?id=DLM209079</vt:lpwstr>
      </vt:variant>
      <vt:variant>
        <vt:lpwstr/>
      </vt:variant>
      <vt:variant>
        <vt:i4>7340144</vt:i4>
      </vt:variant>
      <vt:variant>
        <vt:i4>15</vt:i4>
      </vt:variant>
      <vt:variant>
        <vt:i4>0</vt:i4>
      </vt:variant>
      <vt:variant>
        <vt:i4>5</vt:i4>
      </vt:variant>
      <vt:variant>
        <vt:lpwstr>http://www.legislation.govt.nz/</vt:lpwstr>
      </vt:variant>
      <vt:variant>
        <vt:lpwstr/>
      </vt:variant>
      <vt:variant>
        <vt:i4>5374027</vt:i4>
      </vt:variant>
      <vt:variant>
        <vt:i4>12</vt:i4>
      </vt:variant>
      <vt:variant>
        <vt:i4>0</vt:i4>
      </vt:variant>
      <vt:variant>
        <vt:i4>5</vt:i4>
      </vt:variant>
      <vt:variant>
        <vt:lpwstr>http://www.ecart.health.govt.nz/</vt:lpwstr>
      </vt:variant>
      <vt:variant>
        <vt:lpwstr/>
      </vt:variant>
      <vt:variant>
        <vt:i4>5636171</vt:i4>
      </vt:variant>
      <vt:variant>
        <vt:i4>9</vt:i4>
      </vt:variant>
      <vt:variant>
        <vt:i4>0</vt:i4>
      </vt:variant>
      <vt:variant>
        <vt:i4>5</vt:i4>
      </vt:variant>
      <vt:variant>
        <vt:lpwstr>http://www.acart.health.govt.nz/</vt:lpwstr>
      </vt:variant>
      <vt:variant>
        <vt:lpwstr/>
      </vt:variant>
      <vt:variant>
        <vt:i4>5636171</vt:i4>
      </vt:variant>
      <vt:variant>
        <vt:i4>6</vt:i4>
      </vt:variant>
      <vt:variant>
        <vt:i4>0</vt:i4>
      </vt:variant>
      <vt:variant>
        <vt:i4>5</vt:i4>
      </vt:variant>
      <vt:variant>
        <vt:lpwstr>http://www.acart.health.govt.nz/</vt:lpwstr>
      </vt:variant>
      <vt:variant>
        <vt:lpwstr/>
      </vt:variant>
      <vt:variant>
        <vt:i4>5636143</vt:i4>
      </vt:variant>
      <vt:variant>
        <vt:i4>3</vt:i4>
      </vt:variant>
      <vt:variant>
        <vt:i4>0</vt:i4>
      </vt:variant>
      <vt:variant>
        <vt:i4>5</vt:i4>
      </vt:variant>
      <vt:variant>
        <vt:lpwstr>mailto:acart@moh.govt.nz</vt:lpwstr>
      </vt:variant>
      <vt:variant>
        <vt:lpwstr/>
      </vt:variant>
      <vt:variant>
        <vt:i4>5636114</vt:i4>
      </vt:variant>
      <vt:variant>
        <vt:i4>0</vt:i4>
      </vt:variant>
      <vt:variant>
        <vt:i4>0</vt:i4>
      </vt:variant>
      <vt:variant>
        <vt:i4>5</vt:i4>
      </vt:variant>
      <vt:variant>
        <vt:lpwstr>http://acart.health.govt.nz/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ACART Supplementary Information to the Donation and Surrogacy Guidelines</dc:title>
  <dc:creator>ACART</dc:creator>
  <cp:lastModifiedBy>Julianne Ryan</cp:lastModifiedBy>
  <cp:revision>13</cp:revision>
  <cp:lastPrinted>2021-06-13T23:43:00Z</cp:lastPrinted>
  <dcterms:created xsi:type="dcterms:W3CDTF">2021-06-13T09:10:00Z</dcterms:created>
  <dcterms:modified xsi:type="dcterms:W3CDTF">2021-06-13T23:43:00Z</dcterms:modified>
</cp:coreProperties>
</file>