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592E7" w14:textId="77777777" w:rsidR="00CE36D0" w:rsidRPr="00155578" w:rsidRDefault="009150A3" w:rsidP="00CE36D0">
      <w:pPr>
        <w:jc w:val="center"/>
        <w:rPr>
          <w:rFonts w:cs="Arial Mäori"/>
        </w:rPr>
      </w:pPr>
      <w:r w:rsidRPr="00155578">
        <w:rPr>
          <w:noProof/>
          <w:lang w:eastAsia="en-NZ"/>
        </w:rPr>
        <w:drawing>
          <wp:inline distT="0" distB="0" distL="0" distR="0" wp14:anchorId="1DFC0B60" wp14:editId="34A9EDC0">
            <wp:extent cx="1955800" cy="556895"/>
            <wp:effectExtent l="0" t="0" r="6350" b="0"/>
            <wp:docPr id="42" name="Picture 42" descr="Advisory Committee on Assisted Reproductive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27818F05" w14:textId="77777777" w:rsidR="00CE36D0" w:rsidRPr="00155578" w:rsidRDefault="00CE36D0" w:rsidP="00CE36D0">
      <w:pPr>
        <w:spacing w:before="1200"/>
        <w:jc w:val="center"/>
        <w:rPr>
          <w:b/>
          <w:bCs/>
          <w:sz w:val="40"/>
        </w:rPr>
      </w:pPr>
      <w:r w:rsidRPr="00155578">
        <w:rPr>
          <w:b/>
          <w:bCs/>
          <w:sz w:val="40"/>
        </w:rPr>
        <w:t>Advisory Committee on</w:t>
      </w:r>
      <w:r w:rsidRPr="00155578">
        <w:rPr>
          <w:b/>
          <w:bCs/>
          <w:sz w:val="40"/>
        </w:rPr>
        <w:br/>
        <w:t>Assisted Reproductive Technology</w:t>
      </w:r>
    </w:p>
    <w:p w14:paraId="30588A42" w14:textId="77777777" w:rsidR="00CE36D0" w:rsidRPr="00155578" w:rsidRDefault="00756EFC" w:rsidP="00EB060C">
      <w:pPr>
        <w:pStyle w:val="Title"/>
        <w:spacing w:before="3000" w:after="3000"/>
      </w:pPr>
      <w:r w:rsidRPr="0010602B">
        <w:t>P</w:t>
      </w:r>
      <w:r w:rsidR="0010602B">
        <w:t>roposed</w:t>
      </w:r>
      <w:r w:rsidRPr="0010602B">
        <w:t xml:space="preserve"> Guidelines for the </w:t>
      </w:r>
      <w:r w:rsidR="0010602B" w:rsidRPr="0010602B">
        <w:t xml:space="preserve">Posthumous </w:t>
      </w:r>
      <w:r w:rsidRPr="0010602B">
        <w:t>Use</w:t>
      </w:r>
      <w:r w:rsidR="0010602B" w:rsidRPr="0010602B">
        <w:t xml:space="preserve"> of G</w:t>
      </w:r>
      <w:r w:rsidRPr="0010602B">
        <w:t>ametes</w:t>
      </w:r>
      <w:r w:rsidR="0010602B" w:rsidRPr="0010602B">
        <w:t>, Reproductive Tissue</w:t>
      </w:r>
      <w:r w:rsidR="0010602B">
        <w:br/>
        <w:t>and Stored</w:t>
      </w:r>
      <w:r>
        <w:t xml:space="preserve"> </w:t>
      </w:r>
      <w:r w:rsidR="0010602B">
        <w:t>E</w:t>
      </w:r>
      <w:r>
        <w:t>mbryos</w:t>
      </w:r>
    </w:p>
    <w:p w14:paraId="4FBCDED7" w14:textId="77777777" w:rsidR="00D661EC" w:rsidRPr="00155578" w:rsidRDefault="00756EFC" w:rsidP="00D661EC">
      <w:pPr>
        <w:pStyle w:val="Box"/>
        <w:shd w:val="clear" w:color="auto" w:fill="EAEAEA"/>
        <w:jc w:val="center"/>
        <w:rPr>
          <w:b/>
          <w:sz w:val="48"/>
        </w:rPr>
      </w:pPr>
      <w:r>
        <w:rPr>
          <w:b/>
          <w:sz w:val="48"/>
        </w:rPr>
        <w:t xml:space="preserve">Stage </w:t>
      </w:r>
      <w:r w:rsidR="0010602B">
        <w:rPr>
          <w:b/>
          <w:sz w:val="48"/>
        </w:rPr>
        <w:t>Two</w:t>
      </w:r>
      <w:r>
        <w:rPr>
          <w:b/>
          <w:sz w:val="48"/>
        </w:rPr>
        <w:t xml:space="preserve"> </w:t>
      </w:r>
      <w:r w:rsidR="00D661EC" w:rsidRPr="00155578">
        <w:rPr>
          <w:b/>
          <w:sz w:val="48"/>
        </w:rPr>
        <w:t>Consultation</w:t>
      </w:r>
      <w:r>
        <w:rPr>
          <w:b/>
          <w:sz w:val="48"/>
        </w:rPr>
        <w:t>:</w:t>
      </w:r>
      <w:r>
        <w:rPr>
          <w:b/>
          <w:sz w:val="48"/>
        </w:rPr>
        <w:br/>
        <w:t>Submissions Analysis</w:t>
      </w:r>
    </w:p>
    <w:p w14:paraId="1BBDC848" w14:textId="77777777" w:rsidR="00D661EC" w:rsidRPr="00155578" w:rsidRDefault="00D661EC" w:rsidP="00D661EC"/>
    <w:p w14:paraId="5AB93464" w14:textId="77777777" w:rsidR="000407A2" w:rsidRPr="00155578" w:rsidRDefault="000407A2" w:rsidP="000407A2">
      <w:pPr>
        <w:rPr>
          <w:highlight w:val="green"/>
        </w:rPr>
        <w:sectPr w:rsidR="000407A2" w:rsidRPr="00155578" w:rsidSect="00CE36D0">
          <w:headerReference w:type="default" r:id="rId12"/>
          <w:footerReference w:type="even" r:id="rId13"/>
          <w:footerReference w:type="first" r:id="rId14"/>
          <w:pgSz w:w="11907" w:h="16834" w:code="9"/>
          <w:pgMar w:top="907" w:right="1134" w:bottom="907" w:left="1418" w:header="567" w:footer="567" w:gutter="0"/>
          <w:cols w:space="720"/>
        </w:sectPr>
      </w:pPr>
    </w:p>
    <w:p w14:paraId="0E1BD00D" w14:textId="1A6F45A6" w:rsidR="00B61609" w:rsidRPr="00155578" w:rsidRDefault="00B61609" w:rsidP="000E5491">
      <w:pPr>
        <w:pStyle w:val="Imprint"/>
        <w:rPr>
          <w:szCs w:val="22"/>
        </w:rPr>
      </w:pPr>
      <w:r w:rsidRPr="00155578">
        <w:lastRenderedPageBreak/>
        <w:t>Citation: Advisory Committee on Assisted Reproductive Technology</w:t>
      </w:r>
      <w:r w:rsidR="00191CB7" w:rsidRPr="00155578">
        <w:t>.</w:t>
      </w:r>
      <w:r w:rsidR="006C6C24" w:rsidRPr="00155578">
        <w:t xml:space="preserve"> </w:t>
      </w:r>
      <w:r w:rsidRPr="00155578">
        <w:t>20</w:t>
      </w:r>
      <w:r w:rsidR="0010602B">
        <w:t>2</w:t>
      </w:r>
      <w:r w:rsidR="00504B7C">
        <w:t>1</w:t>
      </w:r>
      <w:r w:rsidR="00191CB7" w:rsidRPr="00155578">
        <w:t>.</w:t>
      </w:r>
      <w:r w:rsidR="006C6C24" w:rsidRPr="00155578">
        <w:t xml:space="preserve"> </w:t>
      </w:r>
      <w:r w:rsidR="0010602B" w:rsidRPr="0010602B">
        <w:rPr>
          <w:i/>
        </w:rPr>
        <w:t>Proposed Guidelines for the Posthumous Use of Gametes, Reproductive Tissue</w:t>
      </w:r>
      <w:r w:rsidR="0010602B">
        <w:rPr>
          <w:i/>
        </w:rPr>
        <w:t xml:space="preserve"> </w:t>
      </w:r>
      <w:r w:rsidR="0010602B" w:rsidRPr="0010602B">
        <w:rPr>
          <w:i/>
        </w:rPr>
        <w:t>and Stored Embryos</w:t>
      </w:r>
      <w:r w:rsidR="0010602B">
        <w:rPr>
          <w:i/>
        </w:rPr>
        <w:t>. Stage Two Consultation: Submissions Analysis</w:t>
      </w:r>
      <w:r w:rsidR="00191CB7" w:rsidRPr="00155578">
        <w:rPr>
          <w:i/>
          <w:szCs w:val="22"/>
        </w:rPr>
        <w:t>.</w:t>
      </w:r>
      <w:r w:rsidR="00C55EA5" w:rsidRPr="00155578">
        <w:rPr>
          <w:szCs w:val="22"/>
        </w:rPr>
        <w:t xml:space="preserve"> </w:t>
      </w:r>
      <w:r w:rsidRPr="00155578">
        <w:rPr>
          <w:szCs w:val="22"/>
        </w:rPr>
        <w:t>Wellington: Advisory Committee on Assisted Reproductive Technology.</w:t>
      </w:r>
    </w:p>
    <w:p w14:paraId="5C092F87" w14:textId="09F87CC8" w:rsidR="00C86248" w:rsidRPr="00155578" w:rsidRDefault="00C86248" w:rsidP="000E5491">
      <w:pPr>
        <w:pStyle w:val="Imprint"/>
        <w:rPr>
          <w:szCs w:val="22"/>
        </w:rPr>
      </w:pPr>
      <w:r w:rsidRPr="00155578">
        <w:rPr>
          <w:szCs w:val="22"/>
        </w:rPr>
        <w:t xml:space="preserve">Published in </w:t>
      </w:r>
      <w:r w:rsidR="00504B7C">
        <w:rPr>
          <w:szCs w:val="22"/>
        </w:rPr>
        <w:t>March</w:t>
      </w:r>
      <w:r w:rsidR="0010602B">
        <w:rPr>
          <w:szCs w:val="22"/>
        </w:rPr>
        <w:t xml:space="preserve"> 202</w:t>
      </w:r>
      <w:r w:rsidR="00504B7C">
        <w:rPr>
          <w:szCs w:val="22"/>
        </w:rPr>
        <w:t>1</w:t>
      </w:r>
      <w:r w:rsidR="005D78E4" w:rsidRPr="00155578">
        <w:rPr>
          <w:szCs w:val="22"/>
        </w:rPr>
        <w:t xml:space="preserve"> </w:t>
      </w:r>
      <w:r w:rsidRPr="00155578">
        <w:rPr>
          <w:szCs w:val="22"/>
        </w:rPr>
        <w:t>by the</w:t>
      </w:r>
      <w:r w:rsidR="00B61609" w:rsidRPr="00155578">
        <w:rPr>
          <w:szCs w:val="22"/>
        </w:rPr>
        <w:t xml:space="preserve"> Advisory Committee on Assisted Reproductive Technology</w:t>
      </w:r>
      <w:r w:rsidR="00AB7833" w:rsidRPr="00155578">
        <w:rPr>
          <w:szCs w:val="22"/>
        </w:rPr>
        <w:t xml:space="preserve">, </w:t>
      </w:r>
      <w:r w:rsidRPr="00155578">
        <w:rPr>
          <w:szCs w:val="22"/>
        </w:rPr>
        <w:t>PO Box 5013, Wellington</w:t>
      </w:r>
      <w:r w:rsidR="000C2851" w:rsidRPr="00155578">
        <w:rPr>
          <w:szCs w:val="22"/>
        </w:rPr>
        <w:t xml:space="preserve"> 614</w:t>
      </w:r>
      <w:r w:rsidR="007744C2" w:rsidRPr="00155578">
        <w:rPr>
          <w:szCs w:val="22"/>
        </w:rPr>
        <w:t>0</w:t>
      </w:r>
      <w:r w:rsidRPr="00155578">
        <w:rPr>
          <w:szCs w:val="22"/>
        </w:rPr>
        <w:t>, New Zealand</w:t>
      </w:r>
    </w:p>
    <w:p w14:paraId="67713FB5" w14:textId="7487B85B" w:rsidR="00A47DC7" w:rsidRPr="00155578" w:rsidRDefault="000C2851" w:rsidP="006C6C24">
      <w:pPr>
        <w:pStyle w:val="Imprint"/>
        <w:rPr>
          <w:szCs w:val="22"/>
        </w:rPr>
      </w:pPr>
      <w:r w:rsidRPr="008F135E">
        <w:rPr>
          <w:szCs w:val="22"/>
        </w:rPr>
        <w:t>ISBN</w:t>
      </w:r>
      <w:r w:rsidR="00164FD0" w:rsidRPr="008F135E">
        <w:rPr>
          <w:szCs w:val="22"/>
        </w:rPr>
        <w:t xml:space="preserve"> </w:t>
      </w:r>
      <w:r w:rsidR="008F135E" w:rsidRPr="008F135E">
        <w:rPr>
          <w:szCs w:val="22"/>
        </w:rPr>
        <w:t xml:space="preserve">978-1-99-002971-4 </w:t>
      </w:r>
      <w:r w:rsidRPr="008F135E">
        <w:rPr>
          <w:szCs w:val="22"/>
        </w:rPr>
        <w:t>(online)</w:t>
      </w:r>
      <w:r w:rsidR="006C6C24" w:rsidRPr="008F135E">
        <w:rPr>
          <w:szCs w:val="22"/>
        </w:rPr>
        <w:br/>
        <w:t>HP</w:t>
      </w:r>
      <w:r w:rsidR="00164FD0" w:rsidRPr="008F135E">
        <w:rPr>
          <w:szCs w:val="22"/>
        </w:rPr>
        <w:t xml:space="preserve"> </w:t>
      </w:r>
      <w:r w:rsidR="007A7B91">
        <w:rPr>
          <w:szCs w:val="22"/>
        </w:rPr>
        <w:t>7527</w:t>
      </w:r>
    </w:p>
    <w:p w14:paraId="7EA5F1A5" w14:textId="77777777" w:rsidR="00C86248" w:rsidRPr="00155578" w:rsidRDefault="00C86248" w:rsidP="000E5491">
      <w:pPr>
        <w:pStyle w:val="Imprint"/>
        <w:rPr>
          <w:szCs w:val="22"/>
        </w:rPr>
      </w:pPr>
      <w:r w:rsidRPr="00155578">
        <w:rPr>
          <w:szCs w:val="22"/>
        </w:rPr>
        <w:t xml:space="preserve">This document is available on the </w:t>
      </w:r>
      <w:r w:rsidR="00B61609" w:rsidRPr="00155578">
        <w:rPr>
          <w:szCs w:val="22"/>
        </w:rPr>
        <w:t xml:space="preserve">ACART </w:t>
      </w:r>
      <w:r w:rsidRPr="00155578">
        <w:rPr>
          <w:szCs w:val="22"/>
        </w:rPr>
        <w:t>website:</w:t>
      </w:r>
      <w:r w:rsidRPr="00155578">
        <w:rPr>
          <w:szCs w:val="22"/>
        </w:rPr>
        <w:br/>
        <w:t>www.</w:t>
      </w:r>
      <w:r w:rsidR="00B61609" w:rsidRPr="00155578">
        <w:rPr>
          <w:szCs w:val="22"/>
        </w:rPr>
        <w:t>acart</w:t>
      </w:r>
      <w:r w:rsidRPr="00155578">
        <w:rPr>
          <w:szCs w:val="22"/>
        </w:rPr>
        <w:t>.</w:t>
      </w:r>
      <w:r w:rsidR="00B61609" w:rsidRPr="00155578">
        <w:rPr>
          <w:szCs w:val="22"/>
        </w:rPr>
        <w:t>health.</w:t>
      </w:r>
      <w:r w:rsidRPr="00155578">
        <w:rPr>
          <w:szCs w:val="22"/>
        </w:rPr>
        <w:t>govt.nz</w:t>
      </w:r>
    </w:p>
    <w:p w14:paraId="3F34408D" w14:textId="77777777" w:rsidR="00C86248" w:rsidRPr="00155578" w:rsidRDefault="009150A3" w:rsidP="00A66034">
      <w:pPr>
        <w:spacing w:before="360"/>
      </w:pPr>
      <w:r w:rsidRPr="00155578">
        <w:rPr>
          <w:noProof/>
          <w:lang w:eastAsia="en-NZ"/>
        </w:rPr>
        <w:drawing>
          <wp:inline distT="0" distB="0" distL="0" distR="0" wp14:anchorId="4D38EF5E" wp14:editId="1113FFF3">
            <wp:extent cx="1955800" cy="556895"/>
            <wp:effectExtent l="0" t="0" r="6350" b="0"/>
            <wp:docPr id="43" name="Picture 43" descr="Advisory Committee on Assisted Reproductive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govt.nz\dfs-userdata\userstate\mkennedy\Documents\2. ACART\acart icon.pn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955800" cy="556895"/>
                    </a:xfrm>
                    <a:prstGeom prst="rect">
                      <a:avLst/>
                    </a:prstGeom>
                    <a:noFill/>
                    <a:ln>
                      <a:noFill/>
                    </a:ln>
                  </pic:spPr>
                </pic:pic>
              </a:graphicData>
            </a:graphic>
          </wp:inline>
        </w:drawing>
      </w:r>
    </w:p>
    <w:p w14:paraId="529D3391" w14:textId="77777777" w:rsidR="00C86248" w:rsidRPr="00155578" w:rsidRDefault="00C86248" w:rsidP="00A66034">
      <w:pPr>
        <w:sectPr w:rsidR="00C86248" w:rsidRPr="00155578" w:rsidSect="000407A2">
          <w:pgSz w:w="11907" w:h="16834" w:code="9"/>
          <w:pgMar w:top="9923" w:right="1134" w:bottom="1134" w:left="1985" w:header="0" w:footer="0" w:gutter="0"/>
          <w:cols w:space="720"/>
        </w:sectPr>
      </w:pPr>
    </w:p>
    <w:p w14:paraId="73D0336A" w14:textId="77777777" w:rsidR="00762F00" w:rsidRPr="00155578" w:rsidRDefault="00C86248" w:rsidP="00B5227D">
      <w:pPr>
        <w:pStyle w:val="IntroHead"/>
      </w:pPr>
      <w:bookmarkStart w:id="0" w:name="_Toc405792991"/>
      <w:bookmarkStart w:id="1" w:name="_Toc405793224"/>
      <w:r w:rsidRPr="00155578">
        <w:lastRenderedPageBreak/>
        <w:t>Contents</w:t>
      </w:r>
      <w:bookmarkEnd w:id="0"/>
      <w:bookmarkEnd w:id="1"/>
    </w:p>
    <w:p w14:paraId="6E67AFB1" w14:textId="0910C03F" w:rsidR="000453F9" w:rsidRDefault="000453F9">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\h \z </w:instrText>
      </w:r>
      <w:r>
        <w:rPr>
          <w:b w:val="0"/>
        </w:rPr>
        <w:fldChar w:fldCharType="separate"/>
      </w:r>
      <w:hyperlink w:anchor="_Toc57205589" w:history="1">
        <w:r w:rsidRPr="00C91952">
          <w:rPr>
            <w:rStyle w:val="Hyperlink"/>
            <w:noProof/>
          </w:rPr>
          <w:t>Introduction</w:t>
        </w:r>
        <w:r>
          <w:rPr>
            <w:noProof/>
            <w:webHidden/>
          </w:rPr>
          <w:tab/>
        </w:r>
        <w:r>
          <w:rPr>
            <w:noProof/>
            <w:webHidden/>
          </w:rPr>
          <w:fldChar w:fldCharType="begin"/>
        </w:r>
        <w:r>
          <w:rPr>
            <w:noProof/>
            <w:webHidden/>
          </w:rPr>
          <w:instrText xml:space="preserve"> PAGEREF _Toc57205589 \h </w:instrText>
        </w:r>
        <w:r>
          <w:rPr>
            <w:noProof/>
            <w:webHidden/>
          </w:rPr>
        </w:r>
        <w:r>
          <w:rPr>
            <w:noProof/>
            <w:webHidden/>
          </w:rPr>
          <w:fldChar w:fldCharType="separate"/>
        </w:r>
        <w:r w:rsidR="00375B84">
          <w:rPr>
            <w:noProof/>
            <w:webHidden/>
          </w:rPr>
          <w:t>1</w:t>
        </w:r>
        <w:r>
          <w:rPr>
            <w:noProof/>
            <w:webHidden/>
          </w:rPr>
          <w:fldChar w:fldCharType="end"/>
        </w:r>
      </w:hyperlink>
    </w:p>
    <w:p w14:paraId="1ACC013B" w14:textId="0998D275" w:rsidR="000453F9" w:rsidRDefault="00490912">
      <w:pPr>
        <w:pStyle w:val="TOC1"/>
        <w:rPr>
          <w:rFonts w:asciiTheme="minorHAnsi" w:eastAsiaTheme="minorEastAsia" w:hAnsiTheme="minorHAnsi" w:cstheme="minorBidi"/>
          <w:b w:val="0"/>
          <w:noProof/>
          <w:szCs w:val="22"/>
          <w:lang w:eastAsia="en-NZ"/>
        </w:rPr>
      </w:pPr>
      <w:hyperlink w:anchor="_Toc57205590" w:history="1">
        <w:r w:rsidR="000453F9" w:rsidRPr="00C91952">
          <w:rPr>
            <w:rStyle w:val="Hyperlink"/>
            <w:noProof/>
          </w:rPr>
          <w:t>The consultation process</w:t>
        </w:r>
        <w:r w:rsidR="000453F9">
          <w:rPr>
            <w:noProof/>
            <w:webHidden/>
          </w:rPr>
          <w:tab/>
        </w:r>
        <w:r w:rsidR="000453F9">
          <w:rPr>
            <w:noProof/>
            <w:webHidden/>
          </w:rPr>
          <w:fldChar w:fldCharType="begin"/>
        </w:r>
        <w:r w:rsidR="000453F9">
          <w:rPr>
            <w:noProof/>
            <w:webHidden/>
          </w:rPr>
          <w:instrText xml:space="preserve"> PAGEREF _Toc57205590 \h </w:instrText>
        </w:r>
        <w:r w:rsidR="000453F9">
          <w:rPr>
            <w:noProof/>
            <w:webHidden/>
          </w:rPr>
        </w:r>
        <w:r w:rsidR="000453F9">
          <w:rPr>
            <w:noProof/>
            <w:webHidden/>
          </w:rPr>
          <w:fldChar w:fldCharType="separate"/>
        </w:r>
        <w:r w:rsidR="00375B84">
          <w:rPr>
            <w:noProof/>
            <w:webHidden/>
          </w:rPr>
          <w:t>2</w:t>
        </w:r>
        <w:r w:rsidR="000453F9">
          <w:rPr>
            <w:noProof/>
            <w:webHidden/>
          </w:rPr>
          <w:fldChar w:fldCharType="end"/>
        </w:r>
      </w:hyperlink>
    </w:p>
    <w:p w14:paraId="1F57E584" w14:textId="7B6CC60F" w:rsidR="000453F9" w:rsidRDefault="00490912">
      <w:pPr>
        <w:pStyle w:val="TOC1"/>
        <w:rPr>
          <w:rFonts w:asciiTheme="minorHAnsi" w:eastAsiaTheme="minorEastAsia" w:hAnsiTheme="minorHAnsi" w:cstheme="minorBidi"/>
          <w:b w:val="0"/>
          <w:noProof/>
          <w:szCs w:val="22"/>
          <w:lang w:eastAsia="en-NZ"/>
        </w:rPr>
      </w:pPr>
      <w:hyperlink w:anchor="_Toc57205591" w:history="1">
        <w:r w:rsidR="000453F9" w:rsidRPr="00C91952">
          <w:rPr>
            <w:rStyle w:val="Hyperlink"/>
            <w:noProof/>
          </w:rPr>
          <w:t>High-level themes</w:t>
        </w:r>
        <w:r w:rsidR="000453F9">
          <w:rPr>
            <w:noProof/>
            <w:webHidden/>
          </w:rPr>
          <w:tab/>
        </w:r>
        <w:r w:rsidR="000453F9">
          <w:rPr>
            <w:noProof/>
            <w:webHidden/>
          </w:rPr>
          <w:fldChar w:fldCharType="begin"/>
        </w:r>
        <w:r w:rsidR="000453F9">
          <w:rPr>
            <w:noProof/>
            <w:webHidden/>
          </w:rPr>
          <w:instrText xml:space="preserve"> PAGEREF _Toc57205591 \h </w:instrText>
        </w:r>
        <w:r w:rsidR="000453F9">
          <w:rPr>
            <w:noProof/>
            <w:webHidden/>
          </w:rPr>
        </w:r>
        <w:r w:rsidR="000453F9">
          <w:rPr>
            <w:noProof/>
            <w:webHidden/>
          </w:rPr>
          <w:fldChar w:fldCharType="separate"/>
        </w:r>
        <w:r w:rsidR="00375B84">
          <w:rPr>
            <w:noProof/>
            <w:webHidden/>
          </w:rPr>
          <w:t>4</w:t>
        </w:r>
        <w:r w:rsidR="000453F9">
          <w:rPr>
            <w:noProof/>
            <w:webHidden/>
          </w:rPr>
          <w:fldChar w:fldCharType="end"/>
        </w:r>
      </w:hyperlink>
    </w:p>
    <w:p w14:paraId="0A0CAB75" w14:textId="2473E7D9" w:rsidR="000453F9" w:rsidRDefault="00490912">
      <w:pPr>
        <w:pStyle w:val="TOC2"/>
        <w:rPr>
          <w:rFonts w:asciiTheme="minorHAnsi" w:eastAsiaTheme="minorEastAsia" w:hAnsiTheme="minorHAnsi" w:cstheme="minorBidi"/>
          <w:noProof/>
          <w:sz w:val="22"/>
          <w:szCs w:val="22"/>
          <w:lang w:eastAsia="en-NZ"/>
        </w:rPr>
      </w:pPr>
      <w:hyperlink w:anchor="_Toc57205592" w:history="1">
        <w:r w:rsidR="000453F9" w:rsidRPr="00C91952">
          <w:rPr>
            <w:rStyle w:val="Hyperlink"/>
            <w:noProof/>
          </w:rPr>
          <w:t>Consent is important</w:t>
        </w:r>
        <w:r w:rsidR="000453F9">
          <w:rPr>
            <w:noProof/>
            <w:webHidden/>
          </w:rPr>
          <w:tab/>
        </w:r>
        <w:r w:rsidR="000453F9">
          <w:rPr>
            <w:noProof/>
            <w:webHidden/>
          </w:rPr>
          <w:fldChar w:fldCharType="begin"/>
        </w:r>
        <w:r w:rsidR="000453F9">
          <w:rPr>
            <w:noProof/>
            <w:webHidden/>
          </w:rPr>
          <w:instrText xml:space="preserve"> PAGEREF _Toc57205592 \h </w:instrText>
        </w:r>
        <w:r w:rsidR="000453F9">
          <w:rPr>
            <w:noProof/>
            <w:webHidden/>
          </w:rPr>
        </w:r>
        <w:r w:rsidR="000453F9">
          <w:rPr>
            <w:noProof/>
            <w:webHidden/>
          </w:rPr>
          <w:fldChar w:fldCharType="separate"/>
        </w:r>
        <w:r w:rsidR="00375B84">
          <w:rPr>
            <w:noProof/>
            <w:webHidden/>
          </w:rPr>
          <w:t>4</w:t>
        </w:r>
        <w:r w:rsidR="000453F9">
          <w:rPr>
            <w:noProof/>
            <w:webHidden/>
          </w:rPr>
          <w:fldChar w:fldCharType="end"/>
        </w:r>
      </w:hyperlink>
    </w:p>
    <w:p w14:paraId="231A6B51" w14:textId="3BA630C2" w:rsidR="000453F9" w:rsidRDefault="00490912">
      <w:pPr>
        <w:pStyle w:val="TOC2"/>
        <w:rPr>
          <w:rFonts w:asciiTheme="minorHAnsi" w:eastAsiaTheme="minorEastAsia" w:hAnsiTheme="minorHAnsi" w:cstheme="minorBidi"/>
          <w:noProof/>
          <w:sz w:val="22"/>
          <w:szCs w:val="22"/>
          <w:lang w:eastAsia="en-NZ"/>
        </w:rPr>
      </w:pPr>
      <w:hyperlink w:anchor="_Toc57205593" w:history="1">
        <w:r w:rsidR="000453F9" w:rsidRPr="00C91952">
          <w:rPr>
            <w:rStyle w:val="Hyperlink"/>
            <w:noProof/>
          </w:rPr>
          <w:t>Not all cases of posthumous use need ethical approval from ECART</w:t>
        </w:r>
        <w:r w:rsidR="000453F9">
          <w:rPr>
            <w:noProof/>
            <w:webHidden/>
          </w:rPr>
          <w:tab/>
        </w:r>
        <w:r w:rsidR="000453F9">
          <w:rPr>
            <w:noProof/>
            <w:webHidden/>
          </w:rPr>
          <w:fldChar w:fldCharType="begin"/>
        </w:r>
        <w:r w:rsidR="000453F9">
          <w:rPr>
            <w:noProof/>
            <w:webHidden/>
          </w:rPr>
          <w:instrText xml:space="preserve"> PAGEREF _Toc57205593 \h </w:instrText>
        </w:r>
        <w:r w:rsidR="000453F9">
          <w:rPr>
            <w:noProof/>
            <w:webHidden/>
          </w:rPr>
        </w:r>
        <w:r w:rsidR="000453F9">
          <w:rPr>
            <w:noProof/>
            <w:webHidden/>
          </w:rPr>
          <w:fldChar w:fldCharType="separate"/>
        </w:r>
        <w:r w:rsidR="00375B84">
          <w:rPr>
            <w:noProof/>
            <w:webHidden/>
          </w:rPr>
          <w:t>4</w:t>
        </w:r>
        <w:r w:rsidR="000453F9">
          <w:rPr>
            <w:noProof/>
            <w:webHidden/>
          </w:rPr>
          <w:fldChar w:fldCharType="end"/>
        </w:r>
      </w:hyperlink>
    </w:p>
    <w:p w14:paraId="4793C4AA" w14:textId="086A0B0F" w:rsidR="000453F9" w:rsidRDefault="00490912">
      <w:pPr>
        <w:pStyle w:val="TOC2"/>
        <w:rPr>
          <w:rFonts w:asciiTheme="minorHAnsi" w:eastAsiaTheme="minorEastAsia" w:hAnsiTheme="minorHAnsi" w:cstheme="minorBidi"/>
          <w:noProof/>
          <w:sz w:val="22"/>
          <w:szCs w:val="22"/>
          <w:lang w:eastAsia="en-NZ"/>
        </w:rPr>
      </w:pPr>
      <w:hyperlink w:anchor="_Toc57205594" w:history="1">
        <w:r w:rsidR="000453F9" w:rsidRPr="00C91952">
          <w:rPr>
            <w:rStyle w:val="Hyperlink"/>
            <w:noProof/>
          </w:rPr>
          <w:t>Tikanga</w:t>
        </w:r>
        <w:r w:rsidR="000453F9">
          <w:rPr>
            <w:noProof/>
            <w:webHidden/>
          </w:rPr>
          <w:tab/>
        </w:r>
        <w:r w:rsidR="000453F9">
          <w:rPr>
            <w:noProof/>
            <w:webHidden/>
          </w:rPr>
          <w:fldChar w:fldCharType="begin"/>
        </w:r>
        <w:r w:rsidR="000453F9">
          <w:rPr>
            <w:noProof/>
            <w:webHidden/>
          </w:rPr>
          <w:instrText xml:space="preserve"> PAGEREF _Toc57205594 \h </w:instrText>
        </w:r>
        <w:r w:rsidR="000453F9">
          <w:rPr>
            <w:noProof/>
            <w:webHidden/>
          </w:rPr>
        </w:r>
        <w:r w:rsidR="000453F9">
          <w:rPr>
            <w:noProof/>
            <w:webHidden/>
          </w:rPr>
          <w:fldChar w:fldCharType="separate"/>
        </w:r>
        <w:r w:rsidR="00375B84">
          <w:rPr>
            <w:noProof/>
            <w:webHidden/>
          </w:rPr>
          <w:t>5</w:t>
        </w:r>
        <w:r w:rsidR="000453F9">
          <w:rPr>
            <w:noProof/>
            <w:webHidden/>
          </w:rPr>
          <w:fldChar w:fldCharType="end"/>
        </w:r>
      </w:hyperlink>
    </w:p>
    <w:p w14:paraId="0AEC771E" w14:textId="436D1171" w:rsidR="000453F9" w:rsidRDefault="00490912">
      <w:pPr>
        <w:pStyle w:val="TOC2"/>
        <w:rPr>
          <w:rFonts w:asciiTheme="minorHAnsi" w:eastAsiaTheme="minorEastAsia" w:hAnsiTheme="minorHAnsi" w:cstheme="minorBidi"/>
          <w:noProof/>
          <w:sz w:val="22"/>
          <w:szCs w:val="22"/>
          <w:lang w:eastAsia="en-NZ"/>
        </w:rPr>
      </w:pPr>
      <w:hyperlink w:anchor="_Toc57205595" w:history="1">
        <w:r w:rsidR="000453F9" w:rsidRPr="00C91952">
          <w:rPr>
            <w:rStyle w:val="Hyperlink"/>
            <w:noProof/>
          </w:rPr>
          <w:t>Who may seek posthumous retrieval and use?</w:t>
        </w:r>
        <w:r w:rsidR="000453F9">
          <w:rPr>
            <w:noProof/>
            <w:webHidden/>
          </w:rPr>
          <w:tab/>
        </w:r>
        <w:r w:rsidR="000453F9">
          <w:rPr>
            <w:noProof/>
            <w:webHidden/>
          </w:rPr>
          <w:fldChar w:fldCharType="begin"/>
        </w:r>
        <w:r w:rsidR="000453F9">
          <w:rPr>
            <w:noProof/>
            <w:webHidden/>
          </w:rPr>
          <w:instrText xml:space="preserve"> PAGEREF _Toc57205595 \h </w:instrText>
        </w:r>
        <w:r w:rsidR="000453F9">
          <w:rPr>
            <w:noProof/>
            <w:webHidden/>
          </w:rPr>
        </w:r>
        <w:r w:rsidR="000453F9">
          <w:rPr>
            <w:noProof/>
            <w:webHidden/>
          </w:rPr>
          <w:fldChar w:fldCharType="separate"/>
        </w:r>
        <w:r w:rsidR="00375B84">
          <w:rPr>
            <w:noProof/>
            <w:webHidden/>
          </w:rPr>
          <w:t>5</w:t>
        </w:r>
        <w:r w:rsidR="000453F9">
          <w:rPr>
            <w:noProof/>
            <w:webHidden/>
          </w:rPr>
          <w:fldChar w:fldCharType="end"/>
        </w:r>
      </w:hyperlink>
    </w:p>
    <w:p w14:paraId="2CA266B5" w14:textId="038A1867" w:rsidR="000453F9" w:rsidRDefault="00490912">
      <w:pPr>
        <w:pStyle w:val="TOC2"/>
        <w:rPr>
          <w:rFonts w:asciiTheme="minorHAnsi" w:eastAsiaTheme="minorEastAsia" w:hAnsiTheme="minorHAnsi" w:cstheme="minorBidi"/>
          <w:noProof/>
          <w:sz w:val="22"/>
          <w:szCs w:val="22"/>
          <w:lang w:eastAsia="en-NZ"/>
        </w:rPr>
      </w:pPr>
      <w:hyperlink w:anchor="_Toc57205596" w:history="1">
        <w:r w:rsidR="000453F9" w:rsidRPr="00C91952">
          <w:rPr>
            <w:rStyle w:val="Hyperlink"/>
            <w:noProof/>
          </w:rPr>
          <w:t>Who should authorise posthumous retrieval?</w:t>
        </w:r>
        <w:r w:rsidR="000453F9">
          <w:rPr>
            <w:noProof/>
            <w:webHidden/>
          </w:rPr>
          <w:tab/>
        </w:r>
        <w:r w:rsidR="000453F9">
          <w:rPr>
            <w:noProof/>
            <w:webHidden/>
          </w:rPr>
          <w:fldChar w:fldCharType="begin"/>
        </w:r>
        <w:r w:rsidR="000453F9">
          <w:rPr>
            <w:noProof/>
            <w:webHidden/>
          </w:rPr>
          <w:instrText xml:space="preserve"> PAGEREF _Toc57205596 \h </w:instrText>
        </w:r>
        <w:r w:rsidR="000453F9">
          <w:rPr>
            <w:noProof/>
            <w:webHidden/>
          </w:rPr>
        </w:r>
        <w:r w:rsidR="000453F9">
          <w:rPr>
            <w:noProof/>
            <w:webHidden/>
          </w:rPr>
          <w:fldChar w:fldCharType="separate"/>
        </w:r>
        <w:r w:rsidR="00375B84">
          <w:rPr>
            <w:noProof/>
            <w:webHidden/>
          </w:rPr>
          <w:t>5</w:t>
        </w:r>
        <w:r w:rsidR="000453F9">
          <w:rPr>
            <w:noProof/>
            <w:webHidden/>
          </w:rPr>
          <w:fldChar w:fldCharType="end"/>
        </w:r>
      </w:hyperlink>
    </w:p>
    <w:p w14:paraId="6D4AF90E" w14:textId="4680FEE1" w:rsidR="000453F9" w:rsidRDefault="00490912">
      <w:pPr>
        <w:pStyle w:val="TOC2"/>
        <w:rPr>
          <w:rFonts w:asciiTheme="minorHAnsi" w:eastAsiaTheme="minorEastAsia" w:hAnsiTheme="minorHAnsi" w:cstheme="minorBidi"/>
          <w:noProof/>
          <w:sz w:val="22"/>
          <w:szCs w:val="22"/>
          <w:lang w:eastAsia="en-NZ"/>
        </w:rPr>
      </w:pPr>
      <w:hyperlink w:anchor="_Toc57205597" w:history="1">
        <w:r w:rsidR="000453F9" w:rsidRPr="00C91952">
          <w:rPr>
            <w:rStyle w:val="Hyperlink"/>
            <w:noProof/>
          </w:rPr>
          <w:t>Grief, and a mandatory stand-down period</w:t>
        </w:r>
        <w:r w:rsidR="000453F9">
          <w:rPr>
            <w:noProof/>
            <w:webHidden/>
          </w:rPr>
          <w:tab/>
        </w:r>
        <w:r w:rsidR="000453F9">
          <w:rPr>
            <w:noProof/>
            <w:webHidden/>
          </w:rPr>
          <w:fldChar w:fldCharType="begin"/>
        </w:r>
        <w:r w:rsidR="000453F9">
          <w:rPr>
            <w:noProof/>
            <w:webHidden/>
          </w:rPr>
          <w:instrText xml:space="preserve"> PAGEREF _Toc57205597 \h </w:instrText>
        </w:r>
        <w:r w:rsidR="000453F9">
          <w:rPr>
            <w:noProof/>
            <w:webHidden/>
          </w:rPr>
        </w:r>
        <w:r w:rsidR="000453F9">
          <w:rPr>
            <w:noProof/>
            <w:webHidden/>
          </w:rPr>
          <w:fldChar w:fldCharType="separate"/>
        </w:r>
        <w:r w:rsidR="00375B84">
          <w:rPr>
            <w:noProof/>
            <w:webHidden/>
          </w:rPr>
          <w:t>6</w:t>
        </w:r>
        <w:r w:rsidR="000453F9">
          <w:rPr>
            <w:noProof/>
            <w:webHidden/>
          </w:rPr>
          <w:fldChar w:fldCharType="end"/>
        </w:r>
      </w:hyperlink>
    </w:p>
    <w:p w14:paraId="70417CFA" w14:textId="7BCEAC8A" w:rsidR="000453F9" w:rsidRDefault="00490912">
      <w:pPr>
        <w:pStyle w:val="TOC2"/>
        <w:rPr>
          <w:rFonts w:asciiTheme="minorHAnsi" w:eastAsiaTheme="minorEastAsia" w:hAnsiTheme="minorHAnsi" w:cstheme="minorBidi"/>
          <w:noProof/>
          <w:sz w:val="22"/>
          <w:szCs w:val="22"/>
          <w:lang w:eastAsia="en-NZ"/>
        </w:rPr>
      </w:pPr>
      <w:hyperlink w:anchor="_Toc57205598" w:history="1">
        <w:r w:rsidR="000453F9" w:rsidRPr="00C91952">
          <w:rPr>
            <w:rStyle w:val="Hyperlink"/>
            <w:noProof/>
          </w:rPr>
          <w:t>Gametes and tissue should not be able to be retrieved from deceased minors</w:t>
        </w:r>
        <w:r w:rsidR="000453F9">
          <w:rPr>
            <w:noProof/>
            <w:webHidden/>
          </w:rPr>
          <w:tab/>
        </w:r>
        <w:r w:rsidR="000453F9">
          <w:rPr>
            <w:noProof/>
            <w:webHidden/>
          </w:rPr>
          <w:fldChar w:fldCharType="begin"/>
        </w:r>
        <w:r w:rsidR="000453F9">
          <w:rPr>
            <w:noProof/>
            <w:webHidden/>
          </w:rPr>
          <w:instrText xml:space="preserve"> PAGEREF _Toc57205598 \h </w:instrText>
        </w:r>
        <w:r w:rsidR="000453F9">
          <w:rPr>
            <w:noProof/>
            <w:webHidden/>
          </w:rPr>
        </w:r>
        <w:r w:rsidR="000453F9">
          <w:rPr>
            <w:noProof/>
            <w:webHidden/>
          </w:rPr>
          <w:fldChar w:fldCharType="separate"/>
        </w:r>
        <w:r w:rsidR="00375B84">
          <w:rPr>
            <w:noProof/>
            <w:webHidden/>
          </w:rPr>
          <w:t>6</w:t>
        </w:r>
        <w:r w:rsidR="000453F9">
          <w:rPr>
            <w:noProof/>
            <w:webHidden/>
          </w:rPr>
          <w:fldChar w:fldCharType="end"/>
        </w:r>
      </w:hyperlink>
    </w:p>
    <w:p w14:paraId="1B647C6E" w14:textId="1493352E" w:rsidR="000453F9" w:rsidRDefault="00490912">
      <w:pPr>
        <w:pStyle w:val="TOC2"/>
        <w:rPr>
          <w:rFonts w:asciiTheme="minorHAnsi" w:eastAsiaTheme="minorEastAsia" w:hAnsiTheme="minorHAnsi" w:cstheme="minorBidi"/>
          <w:noProof/>
          <w:sz w:val="22"/>
          <w:szCs w:val="22"/>
          <w:lang w:eastAsia="en-NZ"/>
        </w:rPr>
      </w:pPr>
      <w:hyperlink w:anchor="_Toc57205599" w:history="1">
        <w:r w:rsidR="000453F9" w:rsidRPr="00C91952">
          <w:rPr>
            <w:rStyle w:val="Hyperlink"/>
            <w:noProof/>
          </w:rPr>
          <w:t>Using gametes frozen by minors (for their own fertility preservation) after their death</w:t>
        </w:r>
        <w:r w:rsidR="000453F9">
          <w:rPr>
            <w:noProof/>
            <w:webHidden/>
          </w:rPr>
          <w:tab/>
        </w:r>
        <w:r w:rsidR="000453F9">
          <w:rPr>
            <w:noProof/>
            <w:webHidden/>
          </w:rPr>
          <w:fldChar w:fldCharType="begin"/>
        </w:r>
        <w:r w:rsidR="000453F9">
          <w:rPr>
            <w:noProof/>
            <w:webHidden/>
          </w:rPr>
          <w:instrText xml:space="preserve"> PAGEREF _Toc57205599 \h </w:instrText>
        </w:r>
        <w:r w:rsidR="000453F9">
          <w:rPr>
            <w:noProof/>
            <w:webHidden/>
          </w:rPr>
        </w:r>
        <w:r w:rsidR="000453F9">
          <w:rPr>
            <w:noProof/>
            <w:webHidden/>
          </w:rPr>
          <w:fldChar w:fldCharType="separate"/>
        </w:r>
        <w:r w:rsidR="00375B84">
          <w:rPr>
            <w:noProof/>
            <w:webHidden/>
          </w:rPr>
          <w:t>6</w:t>
        </w:r>
        <w:r w:rsidR="000453F9">
          <w:rPr>
            <w:noProof/>
            <w:webHidden/>
          </w:rPr>
          <w:fldChar w:fldCharType="end"/>
        </w:r>
      </w:hyperlink>
    </w:p>
    <w:p w14:paraId="79065A4E" w14:textId="3E4C0C02" w:rsidR="000453F9" w:rsidRDefault="00490912">
      <w:pPr>
        <w:pStyle w:val="TOC2"/>
        <w:rPr>
          <w:rFonts w:asciiTheme="minorHAnsi" w:eastAsiaTheme="minorEastAsia" w:hAnsiTheme="minorHAnsi" w:cstheme="minorBidi"/>
          <w:noProof/>
          <w:sz w:val="22"/>
          <w:szCs w:val="22"/>
          <w:lang w:eastAsia="en-NZ"/>
        </w:rPr>
      </w:pPr>
      <w:hyperlink w:anchor="_Toc57205600" w:history="1">
        <w:r w:rsidR="000453F9" w:rsidRPr="00C91952">
          <w:rPr>
            <w:rStyle w:val="Hyperlink"/>
            <w:noProof/>
          </w:rPr>
          <w:t>Collective versus individual decision making</w:t>
        </w:r>
        <w:r w:rsidR="000453F9">
          <w:rPr>
            <w:noProof/>
            <w:webHidden/>
          </w:rPr>
          <w:tab/>
        </w:r>
        <w:r w:rsidR="000453F9">
          <w:rPr>
            <w:noProof/>
            <w:webHidden/>
          </w:rPr>
          <w:fldChar w:fldCharType="begin"/>
        </w:r>
        <w:r w:rsidR="000453F9">
          <w:rPr>
            <w:noProof/>
            <w:webHidden/>
          </w:rPr>
          <w:instrText xml:space="preserve"> PAGEREF _Toc57205600 \h </w:instrText>
        </w:r>
        <w:r w:rsidR="000453F9">
          <w:rPr>
            <w:noProof/>
            <w:webHidden/>
          </w:rPr>
        </w:r>
        <w:r w:rsidR="000453F9">
          <w:rPr>
            <w:noProof/>
            <w:webHidden/>
          </w:rPr>
          <w:fldChar w:fldCharType="separate"/>
        </w:r>
        <w:r w:rsidR="00375B84">
          <w:rPr>
            <w:noProof/>
            <w:webHidden/>
          </w:rPr>
          <w:t>7</w:t>
        </w:r>
        <w:r w:rsidR="000453F9">
          <w:rPr>
            <w:noProof/>
            <w:webHidden/>
          </w:rPr>
          <w:fldChar w:fldCharType="end"/>
        </w:r>
      </w:hyperlink>
    </w:p>
    <w:p w14:paraId="03C35415" w14:textId="672FAE8D" w:rsidR="000453F9" w:rsidRDefault="00490912">
      <w:pPr>
        <w:pStyle w:val="TOC1"/>
        <w:rPr>
          <w:rFonts w:asciiTheme="minorHAnsi" w:eastAsiaTheme="minorEastAsia" w:hAnsiTheme="minorHAnsi" w:cstheme="minorBidi"/>
          <w:b w:val="0"/>
          <w:noProof/>
          <w:szCs w:val="22"/>
          <w:lang w:eastAsia="en-NZ"/>
        </w:rPr>
      </w:pPr>
      <w:hyperlink w:anchor="_Toc57205601" w:history="1">
        <w:r w:rsidR="000453F9" w:rsidRPr="00C91952">
          <w:rPr>
            <w:rStyle w:val="Hyperlink"/>
            <w:noProof/>
          </w:rPr>
          <w:t>Submissions analysis</w:t>
        </w:r>
        <w:r w:rsidR="000453F9">
          <w:rPr>
            <w:noProof/>
            <w:webHidden/>
          </w:rPr>
          <w:tab/>
        </w:r>
        <w:r w:rsidR="000453F9">
          <w:rPr>
            <w:noProof/>
            <w:webHidden/>
          </w:rPr>
          <w:fldChar w:fldCharType="begin"/>
        </w:r>
        <w:r w:rsidR="000453F9">
          <w:rPr>
            <w:noProof/>
            <w:webHidden/>
          </w:rPr>
          <w:instrText xml:space="preserve"> PAGEREF _Toc57205601 \h </w:instrText>
        </w:r>
        <w:r w:rsidR="000453F9">
          <w:rPr>
            <w:noProof/>
            <w:webHidden/>
          </w:rPr>
        </w:r>
        <w:r w:rsidR="000453F9">
          <w:rPr>
            <w:noProof/>
            <w:webHidden/>
          </w:rPr>
          <w:fldChar w:fldCharType="separate"/>
        </w:r>
        <w:r w:rsidR="00375B84">
          <w:rPr>
            <w:noProof/>
            <w:webHidden/>
          </w:rPr>
          <w:t>8</w:t>
        </w:r>
        <w:r w:rsidR="000453F9">
          <w:rPr>
            <w:noProof/>
            <w:webHidden/>
          </w:rPr>
          <w:fldChar w:fldCharType="end"/>
        </w:r>
      </w:hyperlink>
    </w:p>
    <w:p w14:paraId="777D52E9" w14:textId="0CD6B5BF"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02" w:history="1">
        <w:r w:rsidR="000453F9" w:rsidRPr="00C91952">
          <w:rPr>
            <w:rStyle w:val="Hyperlink"/>
            <w:noProof/>
          </w:rPr>
          <w:t>A.</w:t>
        </w:r>
        <w:r w:rsidR="000453F9">
          <w:rPr>
            <w:rFonts w:asciiTheme="minorHAnsi" w:eastAsiaTheme="minorEastAsia" w:hAnsiTheme="minorHAnsi" w:cstheme="minorBidi"/>
            <w:noProof/>
            <w:sz w:val="22"/>
            <w:szCs w:val="22"/>
            <w:lang w:eastAsia="en-NZ"/>
          </w:rPr>
          <w:tab/>
        </w:r>
        <w:r w:rsidR="000453F9" w:rsidRPr="00C91952">
          <w:rPr>
            <w:rStyle w:val="Hyperlink"/>
            <w:noProof/>
          </w:rPr>
          <w:t>All posthumous use should be subject to ECART review</w:t>
        </w:r>
        <w:r w:rsidR="000453F9">
          <w:rPr>
            <w:noProof/>
            <w:webHidden/>
          </w:rPr>
          <w:tab/>
        </w:r>
        <w:r w:rsidR="000453F9">
          <w:rPr>
            <w:noProof/>
            <w:webHidden/>
          </w:rPr>
          <w:fldChar w:fldCharType="begin"/>
        </w:r>
        <w:r w:rsidR="000453F9">
          <w:rPr>
            <w:noProof/>
            <w:webHidden/>
          </w:rPr>
          <w:instrText xml:space="preserve"> PAGEREF _Toc57205602 \h </w:instrText>
        </w:r>
        <w:r w:rsidR="000453F9">
          <w:rPr>
            <w:noProof/>
            <w:webHidden/>
          </w:rPr>
        </w:r>
        <w:r w:rsidR="000453F9">
          <w:rPr>
            <w:noProof/>
            <w:webHidden/>
          </w:rPr>
          <w:fldChar w:fldCharType="separate"/>
        </w:r>
        <w:r w:rsidR="00375B84">
          <w:rPr>
            <w:noProof/>
            <w:webHidden/>
          </w:rPr>
          <w:t>8</w:t>
        </w:r>
        <w:r w:rsidR="000453F9">
          <w:rPr>
            <w:noProof/>
            <w:webHidden/>
          </w:rPr>
          <w:fldChar w:fldCharType="end"/>
        </w:r>
      </w:hyperlink>
    </w:p>
    <w:p w14:paraId="1DE2B812" w14:textId="3D166807"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03" w:history="1">
        <w:r w:rsidR="000453F9" w:rsidRPr="00C91952">
          <w:rPr>
            <w:rStyle w:val="Hyperlink"/>
            <w:noProof/>
          </w:rPr>
          <w:t>B.</w:t>
        </w:r>
        <w:r w:rsidR="000453F9">
          <w:rPr>
            <w:rFonts w:asciiTheme="minorHAnsi" w:eastAsiaTheme="minorEastAsia" w:hAnsiTheme="minorHAnsi" w:cstheme="minorBidi"/>
            <w:noProof/>
            <w:sz w:val="22"/>
            <w:szCs w:val="22"/>
            <w:lang w:eastAsia="en-NZ"/>
          </w:rPr>
          <w:tab/>
        </w:r>
        <w:r w:rsidR="000453F9" w:rsidRPr="00C91952">
          <w:rPr>
            <w:rStyle w:val="Hyperlink"/>
            <w:noProof/>
          </w:rPr>
          <w:t>Consent must be to a specific use</w:t>
        </w:r>
        <w:r w:rsidR="000453F9">
          <w:rPr>
            <w:noProof/>
            <w:webHidden/>
          </w:rPr>
          <w:tab/>
        </w:r>
        <w:r w:rsidR="000453F9">
          <w:rPr>
            <w:noProof/>
            <w:webHidden/>
          </w:rPr>
          <w:fldChar w:fldCharType="begin"/>
        </w:r>
        <w:r w:rsidR="000453F9">
          <w:rPr>
            <w:noProof/>
            <w:webHidden/>
          </w:rPr>
          <w:instrText xml:space="preserve"> PAGEREF _Toc57205603 \h </w:instrText>
        </w:r>
        <w:r w:rsidR="000453F9">
          <w:rPr>
            <w:noProof/>
            <w:webHidden/>
          </w:rPr>
        </w:r>
        <w:r w:rsidR="000453F9">
          <w:rPr>
            <w:noProof/>
            <w:webHidden/>
          </w:rPr>
          <w:fldChar w:fldCharType="separate"/>
        </w:r>
        <w:r w:rsidR="00375B84">
          <w:rPr>
            <w:noProof/>
            <w:webHidden/>
          </w:rPr>
          <w:t>11</w:t>
        </w:r>
        <w:r w:rsidR="000453F9">
          <w:rPr>
            <w:noProof/>
            <w:webHidden/>
          </w:rPr>
          <w:fldChar w:fldCharType="end"/>
        </w:r>
      </w:hyperlink>
    </w:p>
    <w:p w14:paraId="1DBC5518" w14:textId="19A2EC27"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04" w:history="1">
        <w:r w:rsidR="000453F9" w:rsidRPr="00C91952">
          <w:rPr>
            <w:rStyle w:val="Hyperlink"/>
            <w:noProof/>
          </w:rPr>
          <w:t>C.</w:t>
        </w:r>
        <w:r w:rsidR="000453F9">
          <w:rPr>
            <w:rFonts w:asciiTheme="minorHAnsi" w:eastAsiaTheme="minorEastAsia" w:hAnsiTheme="minorHAnsi" w:cstheme="minorBidi"/>
            <w:noProof/>
            <w:sz w:val="22"/>
            <w:szCs w:val="22"/>
            <w:lang w:eastAsia="en-NZ"/>
          </w:rPr>
          <w:tab/>
        </w:r>
        <w:r w:rsidR="000453F9" w:rsidRPr="00C91952">
          <w:rPr>
            <w:rStyle w:val="Hyperlink"/>
            <w:noProof/>
          </w:rPr>
          <w:t>Consent to use must be proven</w:t>
        </w:r>
        <w:r w:rsidR="000453F9">
          <w:rPr>
            <w:noProof/>
            <w:webHidden/>
          </w:rPr>
          <w:tab/>
        </w:r>
        <w:r w:rsidR="000453F9">
          <w:rPr>
            <w:noProof/>
            <w:webHidden/>
          </w:rPr>
          <w:fldChar w:fldCharType="begin"/>
        </w:r>
        <w:r w:rsidR="000453F9">
          <w:rPr>
            <w:noProof/>
            <w:webHidden/>
          </w:rPr>
          <w:instrText xml:space="preserve"> PAGEREF _Toc57205604 \h </w:instrText>
        </w:r>
        <w:r w:rsidR="000453F9">
          <w:rPr>
            <w:noProof/>
            <w:webHidden/>
          </w:rPr>
        </w:r>
        <w:r w:rsidR="000453F9">
          <w:rPr>
            <w:noProof/>
            <w:webHidden/>
          </w:rPr>
          <w:fldChar w:fldCharType="separate"/>
        </w:r>
        <w:r w:rsidR="00375B84">
          <w:rPr>
            <w:noProof/>
            <w:webHidden/>
          </w:rPr>
          <w:t>13</w:t>
        </w:r>
        <w:r w:rsidR="000453F9">
          <w:rPr>
            <w:noProof/>
            <w:webHidden/>
          </w:rPr>
          <w:fldChar w:fldCharType="end"/>
        </w:r>
      </w:hyperlink>
    </w:p>
    <w:p w14:paraId="5D19494B" w14:textId="32FB24F4"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05" w:history="1">
        <w:r w:rsidR="000453F9" w:rsidRPr="00C91952">
          <w:rPr>
            <w:rStyle w:val="Hyperlink"/>
            <w:noProof/>
          </w:rPr>
          <w:t>D.</w:t>
        </w:r>
        <w:r w:rsidR="000453F9">
          <w:rPr>
            <w:rFonts w:asciiTheme="minorHAnsi" w:eastAsiaTheme="minorEastAsia" w:hAnsiTheme="minorHAnsi" w:cstheme="minorBidi"/>
            <w:noProof/>
            <w:sz w:val="22"/>
            <w:szCs w:val="22"/>
            <w:lang w:eastAsia="en-NZ"/>
          </w:rPr>
          <w:tab/>
        </w:r>
        <w:r w:rsidR="000453F9" w:rsidRPr="00C91952">
          <w:rPr>
            <w:rStyle w:val="Hyperlink"/>
            <w:noProof/>
          </w:rPr>
          <w:t>The evidence of consent may be written or oral</w:t>
        </w:r>
        <w:r w:rsidR="000453F9">
          <w:rPr>
            <w:noProof/>
            <w:webHidden/>
          </w:rPr>
          <w:tab/>
        </w:r>
        <w:r w:rsidR="000453F9">
          <w:rPr>
            <w:noProof/>
            <w:webHidden/>
          </w:rPr>
          <w:fldChar w:fldCharType="begin"/>
        </w:r>
        <w:r w:rsidR="000453F9">
          <w:rPr>
            <w:noProof/>
            <w:webHidden/>
          </w:rPr>
          <w:instrText xml:space="preserve"> PAGEREF _Toc57205605 \h </w:instrText>
        </w:r>
        <w:r w:rsidR="000453F9">
          <w:rPr>
            <w:noProof/>
            <w:webHidden/>
          </w:rPr>
        </w:r>
        <w:r w:rsidR="000453F9">
          <w:rPr>
            <w:noProof/>
            <w:webHidden/>
          </w:rPr>
          <w:fldChar w:fldCharType="separate"/>
        </w:r>
        <w:r w:rsidR="00375B84">
          <w:rPr>
            <w:noProof/>
            <w:webHidden/>
          </w:rPr>
          <w:t>14</w:t>
        </w:r>
        <w:r w:rsidR="000453F9">
          <w:rPr>
            <w:noProof/>
            <w:webHidden/>
          </w:rPr>
          <w:fldChar w:fldCharType="end"/>
        </w:r>
      </w:hyperlink>
    </w:p>
    <w:p w14:paraId="2E1D9857" w14:textId="1D10D7B0"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06" w:history="1">
        <w:r w:rsidR="000453F9" w:rsidRPr="00C91952">
          <w:rPr>
            <w:rStyle w:val="Hyperlink"/>
            <w:noProof/>
          </w:rPr>
          <w:t>E.</w:t>
        </w:r>
        <w:r w:rsidR="000453F9">
          <w:rPr>
            <w:rFonts w:asciiTheme="minorHAnsi" w:eastAsiaTheme="minorEastAsia" w:hAnsiTheme="minorHAnsi" w:cstheme="minorBidi"/>
            <w:noProof/>
            <w:sz w:val="22"/>
            <w:szCs w:val="22"/>
            <w:lang w:eastAsia="en-NZ"/>
          </w:rPr>
          <w:tab/>
        </w:r>
        <w:r w:rsidR="000453F9" w:rsidRPr="00C91952">
          <w:rPr>
            <w:rStyle w:val="Hyperlink"/>
            <w:noProof/>
          </w:rPr>
          <w:t>In most cases, the deceased’s consent to retrieval can be inferred from their consent to posthumous use</w:t>
        </w:r>
        <w:r w:rsidR="000453F9">
          <w:rPr>
            <w:noProof/>
            <w:webHidden/>
          </w:rPr>
          <w:tab/>
        </w:r>
        <w:r w:rsidR="000453F9">
          <w:rPr>
            <w:noProof/>
            <w:webHidden/>
          </w:rPr>
          <w:fldChar w:fldCharType="begin"/>
        </w:r>
        <w:r w:rsidR="000453F9">
          <w:rPr>
            <w:noProof/>
            <w:webHidden/>
          </w:rPr>
          <w:instrText xml:space="preserve"> PAGEREF _Toc57205606 \h </w:instrText>
        </w:r>
        <w:r w:rsidR="000453F9">
          <w:rPr>
            <w:noProof/>
            <w:webHidden/>
          </w:rPr>
        </w:r>
        <w:r w:rsidR="000453F9">
          <w:rPr>
            <w:noProof/>
            <w:webHidden/>
          </w:rPr>
          <w:fldChar w:fldCharType="separate"/>
        </w:r>
        <w:r w:rsidR="00375B84">
          <w:rPr>
            <w:noProof/>
            <w:webHidden/>
          </w:rPr>
          <w:t>16</w:t>
        </w:r>
        <w:r w:rsidR="000453F9">
          <w:rPr>
            <w:noProof/>
            <w:webHidden/>
          </w:rPr>
          <w:fldChar w:fldCharType="end"/>
        </w:r>
      </w:hyperlink>
    </w:p>
    <w:p w14:paraId="406A1021" w14:textId="7147D0D4"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07" w:history="1">
        <w:r w:rsidR="000453F9" w:rsidRPr="00C91952">
          <w:rPr>
            <w:rStyle w:val="Hyperlink"/>
            <w:noProof/>
          </w:rPr>
          <w:t>F.</w:t>
        </w:r>
        <w:r w:rsidR="000453F9">
          <w:rPr>
            <w:rFonts w:asciiTheme="minorHAnsi" w:eastAsiaTheme="minorEastAsia" w:hAnsiTheme="minorHAnsi" w:cstheme="minorBidi"/>
            <w:noProof/>
            <w:sz w:val="22"/>
            <w:szCs w:val="22"/>
            <w:lang w:eastAsia="en-NZ"/>
          </w:rPr>
          <w:tab/>
        </w:r>
        <w:r w:rsidR="000453F9" w:rsidRPr="00C91952">
          <w:rPr>
            <w:rStyle w:val="Hyperlink"/>
            <w:noProof/>
          </w:rPr>
          <w:t>ECART or the High Court will be able to authorise retrieval of gametes or reproductive tissue from a deceased person</w:t>
        </w:r>
        <w:r w:rsidR="000453F9">
          <w:rPr>
            <w:noProof/>
            <w:webHidden/>
          </w:rPr>
          <w:tab/>
        </w:r>
        <w:r w:rsidR="000453F9">
          <w:rPr>
            <w:noProof/>
            <w:webHidden/>
          </w:rPr>
          <w:fldChar w:fldCharType="begin"/>
        </w:r>
        <w:r w:rsidR="000453F9">
          <w:rPr>
            <w:noProof/>
            <w:webHidden/>
          </w:rPr>
          <w:instrText xml:space="preserve"> PAGEREF _Toc57205607 \h </w:instrText>
        </w:r>
        <w:r w:rsidR="000453F9">
          <w:rPr>
            <w:noProof/>
            <w:webHidden/>
          </w:rPr>
        </w:r>
        <w:r w:rsidR="000453F9">
          <w:rPr>
            <w:noProof/>
            <w:webHidden/>
          </w:rPr>
          <w:fldChar w:fldCharType="separate"/>
        </w:r>
        <w:r w:rsidR="00375B84">
          <w:rPr>
            <w:noProof/>
            <w:webHidden/>
          </w:rPr>
          <w:t>18</w:t>
        </w:r>
        <w:r w:rsidR="000453F9">
          <w:rPr>
            <w:noProof/>
            <w:webHidden/>
          </w:rPr>
          <w:fldChar w:fldCharType="end"/>
        </w:r>
      </w:hyperlink>
    </w:p>
    <w:p w14:paraId="3FF9A99D" w14:textId="45275B7D"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08" w:history="1">
        <w:r w:rsidR="000453F9" w:rsidRPr="00C91952">
          <w:rPr>
            <w:rStyle w:val="Hyperlink"/>
            <w:noProof/>
          </w:rPr>
          <w:t>G.</w:t>
        </w:r>
        <w:r w:rsidR="000453F9">
          <w:rPr>
            <w:rFonts w:asciiTheme="minorHAnsi" w:eastAsiaTheme="minorEastAsia" w:hAnsiTheme="minorHAnsi" w:cstheme="minorBidi"/>
            <w:noProof/>
            <w:sz w:val="22"/>
            <w:szCs w:val="22"/>
            <w:lang w:eastAsia="en-NZ"/>
          </w:rPr>
          <w:tab/>
        </w:r>
        <w:r w:rsidR="000453F9" w:rsidRPr="00C91952">
          <w:rPr>
            <w:rStyle w:val="Hyperlink"/>
            <w:noProof/>
          </w:rPr>
          <w:t>Prohibiting retrieval from deceased minors</w:t>
        </w:r>
        <w:r w:rsidR="000453F9">
          <w:rPr>
            <w:noProof/>
            <w:webHidden/>
          </w:rPr>
          <w:tab/>
        </w:r>
        <w:r w:rsidR="000453F9">
          <w:rPr>
            <w:noProof/>
            <w:webHidden/>
          </w:rPr>
          <w:fldChar w:fldCharType="begin"/>
        </w:r>
        <w:r w:rsidR="000453F9">
          <w:rPr>
            <w:noProof/>
            <w:webHidden/>
          </w:rPr>
          <w:instrText xml:space="preserve"> PAGEREF _Toc57205608 \h </w:instrText>
        </w:r>
        <w:r w:rsidR="000453F9">
          <w:rPr>
            <w:noProof/>
            <w:webHidden/>
          </w:rPr>
        </w:r>
        <w:r w:rsidR="000453F9">
          <w:rPr>
            <w:noProof/>
            <w:webHidden/>
          </w:rPr>
          <w:fldChar w:fldCharType="separate"/>
        </w:r>
        <w:r w:rsidR="00375B84">
          <w:rPr>
            <w:noProof/>
            <w:webHidden/>
          </w:rPr>
          <w:t>19</w:t>
        </w:r>
        <w:r w:rsidR="000453F9">
          <w:rPr>
            <w:noProof/>
            <w:webHidden/>
          </w:rPr>
          <w:fldChar w:fldCharType="end"/>
        </w:r>
      </w:hyperlink>
    </w:p>
    <w:p w14:paraId="67ECCDE4" w14:textId="63C0488F"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09" w:history="1">
        <w:r w:rsidR="000453F9" w:rsidRPr="00C91952">
          <w:rPr>
            <w:rStyle w:val="Hyperlink"/>
            <w:noProof/>
          </w:rPr>
          <w:t>H.</w:t>
        </w:r>
        <w:r w:rsidR="000453F9">
          <w:rPr>
            <w:rFonts w:asciiTheme="minorHAnsi" w:eastAsiaTheme="minorEastAsia" w:hAnsiTheme="minorHAnsi" w:cstheme="minorBidi"/>
            <w:noProof/>
            <w:sz w:val="22"/>
            <w:szCs w:val="22"/>
            <w:lang w:eastAsia="en-NZ"/>
          </w:rPr>
          <w:tab/>
        </w:r>
        <w:r w:rsidR="000453F9" w:rsidRPr="00C91952">
          <w:rPr>
            <w:rStyle w:val="Hyperlink"/>
            <w:noProof/>
          </w:rPr>
          <w:t>One change to the HART Act to enable minors to choose the use of their own gametes/tissue after they reach the age of 16 years</w:t>
        </w:r>
        <w:r w:rsidR="000453F9">
          <w:rPr>
            <w:noProof/>
            <w:webHidden/>
          </w:rPr>
          <w:tab/>
        </w:r>
        <w:r w:rsidR="000453F9">
          <w:rPr>
            <w:noProof/>
            <w:webHidden/>
          </w:rPr>
          <w:fldChar w:fldCharType="begin"/>
        </w:r>
        <w:r w:rsidR="000453F9">
          <w:rPr>
            <w:noProof/>
            <w:webHidden/>
          </w:rPr>
          <w:instrText xml:space="preserve"> PAGEREF _Toc57205609 \h </w:instrText>
        </w:r>
        <w:r w:rsidR="000453F9">
          <w:rPr>
            <w:noProof/>
            <w:webHidden/>
          </w:rPr>
        </w:r>
        <w:r w:rsidR="000453F9">
          <w:rPr>
            <w:noProof/>
            <w:webHidden/>
          </w:rPr>
          <w:fldChar w:fldCharType="separate"/>
        </w:r>
        <w:r w:rsidR="00375B84">
          <w:rPr>
            <w:noProof/>
            <w:webHidden/>
          </w:rPr>
          <w:t>21</w:t>
        </w:r>
        <w:r w:rsidR="000453F9">
          <w:rPr>
            <w:noProof/>
            <w:webHidden/>
          </w:rPr>
          <w:fldChar w:fldCharType="end"/>
        </w:r>
      </w:hyperlink>
    </w:p>
    <w:p w14:paraId="02A38637" w14:textId="100F3E9B"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10" w:history="1">
        <w:r w:rsidR="000453F9" w:rsidRPr="00C91952">
          <w:rPr>
            <w:rStyle w:val="Hyperlink"/>
            <w:noProof/>
          </w:rPr>
          <w:t>I.</w:t>
        </w:r>
        <w:r w:rsidR="000453F9">
          <w:rPr>
            <w:rFonts w:asciiTheme="minorHAnsi" w:eastAsiaTheme="minorEastAsia" w:hAnsiTheme="minorHAnsi" w:cstheme="minorBidi"/>
            <w:noProof/>
            <w:sz w:val="22"/>
            <w:szCs w:val="22"/>
            <w:lang w:eastAsia="en-NZ"/>
          </w:rPr>
          <w:tab/>
        </w:r>
        <w:r w:rsidR="000453F9" w:rsidRPr="00C91952">
          <w:rPr>
            <w:rStyle w:val="Hyperlink"/>
            <w:noProof/>
          </w:rPr>
          <w:t>No requirement for a specific stand-down period</w:t>
        </w:r>
        <w:r w:rsidR="000453F9">
          <w:rPr>
            <w:noProof/>
            <w:webHidden/>
          </w:rPr>
          <w:tab/>
        </w:r>
        <w:r w:rsidR="000453F9">
          <w:rPr>
            <w:noProof/>
            <w:webHidden/>
          </w:rPr>
          <w:fldChar w:fldCharType="begin"/>
        </w:r>
        <w:r w:rsidR="000453F9">
          <w:rPr>
            <w:noProof/>
            <w:webHidden/>
          </w:rPr>
          <w:instrText xml:space="preserve"> PAGEREF _Toc57205610 \h </w:instrText>
        </w:r>
        <w:r w:rsidR="000453F9">
          <w:rPr>
            <w:noProof/>
            <w:webHidden/>
          </w:rPr>
        </w:r>
        <w:r w:rsidR="000453F9">
          <w:rPr>
            <w:noProof/>
            <w:webHidden/>
          </w:rPr>
          <w:fldChar w:fldCharType="separate"/>
        </w:r>
        <w:r w:rsidR="00375B84">
          <w:rPr>
            <w:noProof/>
            <w:webHidden/>
          </w:rPr>
          <w:t>22</w:t>
        </w:r>
        <w:r w:rsidR="000453F9">
          <w:rPr>
            <w:noProof/>
            <w:webHidden/>
          </w:rPr>
          <w:fldChar w:fldCharType="end"/>
        </w:r>
      </w:hyperlink>
    </w:p>
    <w:p w14:paraId="56608C0C" w14:textId="6A887EAC" w:rsidR="000453F9" w:rsidRDefault="00490912">
      <w:pPr>
        <w:pStyle w:val="TOC2"/>
        <w:tabs>
          <w:tab w:val="left" w:pos="1134"/>
        </w:tabs>
        <w:rPr>
          <w:rFonts w:asciiTheme="minorHAnsi" w:eastAsiaTheme="minorEastAsia" w:hAnsiTheme="minorHAnsi" w:cstheme="minorBidi"/>
          <w:noProof/>
          <w:sz w:val="22"/>
          <w:szCs w:val="22"/>
          <w:lang w:eastAsia="en-NZ"/>
        </w:rPr>
      </w:pPr>
      <w:hyperlink w:anchor="_Toc57205611" w:history="1">
        <w:r w:rsidR="000453F9" w:rsidRPr="00C91952">
          <w:rPr>
            <w:rStyle w:val="Hyperlink"/>
            <w:noProof/>
          </w:rPr>
          <w:t>K.</w:t>
        </w:r>
        <w:r w:rsidR="000453F9">
          <w:rPr>
            <w:rFonts w:asciiTheme="minorHAnsi" w:eastAsiaTheme="minorEastAsia" w:hAnsiTheme="minorHAnsi" w:cstheme="minorBidi"/>
            <w:noProof/>
            <w:sz w:val="22"/>
            <w:szCs w:val="22"/>
            <w:lang w:eastAsia="en-NZ"/>
          </w:rPr>
          <w:tab/>
        </w:r>
        <w:r w:rsidR="000453F9" w:rsidRPr="00C91952">
          <w:rPr>
            <w:rStyle w:val="Hyperlink"/>
            <w:noProof/>
          </w:rPr>
          <w:t>The title of these guidelines</w:t>
        </w:r>
        <w:r w:rsidR="000453F9">
          <w:rPr>
            <w:noProof/>
            <w:webHidden/>
          </w:rPr>
          <w:tab/>
        </w:r>
        <w:r w:rsidR="000453F9">
          <w:rPr>
            <w:noProof/>
            <w:webHidden/>
          </w:rPr>
          <w:fldChar w:fldCharType="begin"/>
        </w:r>
        <w:r w:rsidR="000453F9">
          <w:rPr>
            <w:noProof/>
            <w:webHidden/>
          </w:rPr>
          <w:instrText xml:space="preserve"> PAGEREF _Toc57205611 \h </w:instrText>
        </w:r>
        <w:r w:rsidR="000453F9">
          <w:rPr>
            <w:noProof/>
            <w:webHidden/>
          </w:rPr>
        </w:r>
        <w:r w:rsidR="000453F9">
          <w:rPr>
            <w:noProof/>
            <w:webHidden/>
          </w:rPr>
          <w:fldChar w:fldCharType="separate"/>
        </w:r>
        <w:r w:rsidR="00375B84">
          <w:rPr>
            <w:noProof/>
            <w:webHidden/>
          </w:rPr>
          <w:t>24</w:t>
        </w:r>
        <w:r w:rsidR="000453F9">
          <w:rPr>
            <w:noProof/>
            <w:webHidden/>
          </w:rPr>
          <w:fldChar w:fldCharType="end"/>
        </w:r>
      </w:hyperlink>
    </w:p>
    <w:p w14:paraId="3605C4A4" w14:textId="50E99EAC" w:rsidR="00C86248" w:rsidRPr="00155578" w:rsidRDefault="000453F9" w:rsidP="00A66034">
      <w:r>
        <w:rPr>
          <w:b/>
        </w:rPr>
        <w:fldChar w:fldCharType="end"/>
      </w:r>
    </w:p>
    <w:p w14:paraId="1655A385" w14:textId="77777777" w:rsidR="002B3078" w:rsidRPr="00155578" w:rsidRDefault="002B3078" w:rsidP="002B3078"/>
    <w:p w14:paraId="6E6ED3EB" w14:textId="77777777" w:rsidR="002B3078" w:rsidRPr="00155578" w:rsidRDefault="002B3078" w:rsidP="002B3078">
      <w:pPr>
        <w:sectPr w:rsidR="002B3078" w:rsidRPr="00155578" w:rsidSect="000407A2">
          <w:headerReference w:type="even" r:id="rId15"/>
          <w:headerReference w:type="default" r:id="rId16"/>
          <w:footerReference w:type="even" r:id="rId17"/>
          <w:footerReference w:type="default" r:id="rId18"/>
          <w:headerReference w:type="first" r:id="rId19"/>
          <w:pgSz w:w="11907" w:h="16840" w:code="9"/>
          <w:pgMar w:top="1701" w:right="1418" w:bottom="1701" w:left="1701" w:header="0" w:footer="425" w:gutter="0"/>
          <w:pgNumType w:fmt="lowerRoman"/>
          <w:cols w:space="720"/>
        </w:sectPr>
      </w:pPr>
    </w:p>
    <w:p w14:paraId="2CC4DDD3" w14:textId="77777777" w:rsidR="00762F00" w:rsidRPr="00155578" w:rsidRDefault="000F4EB6" w:rsidP="0036595B">
      <w:pPr>
        <w:pStyle w:val="Heading1"/>
      </w:pPr>
      <w:bookmarkStart w:id="2" w:name="_Toc57205589"/>
      <w:r w:rsidRPr="00155578">
        <w:lastRenderedPageBreak/>
        <w:t>Introduction</w:t>
      </w:r>
      <w:bookmarkEnd w:id="2"/>
    </w:p>
    <w:p w14:paraId="177EC072" w14:textId="5821B465" w:rsidR="00461C31" w:rsidRDefault="00461C31" w:rsidP="00461C31">
      <w:r>
        <w:t>In 2018, the Advisory Committee on Assisted Reproductive Technology (ACART) consulted the public on the ethics of posthumous reproduction. Responses from that consultation informed ACART</w:t>
      </w:r>
      <w:r w:rsidR="00C303B7">
        <w:t>’</w:t>
      </w:r>
      <w:r>
        <w:t xml:space="preserve">s development of its Proposed Guidelines for the Posthumous Use of Gametes, Reproductive Tissue and Stored Embryos. ACART then conducted a stage two consultation. This </w:t>
      </w:r>
      <w:r w:rsidR="003919E2">
        <w:t xml:space="preserve">publication </w:t>
      </w:r>
      <w:r>
        <w:t xml:space="preserve">summarises </w:t>
      </w:r>
      <w:r w:rsidR="003919E2">
        <w:t xml:space="preserve">the </w:t>
      </w:r>
      <w:r>
        <w:t>submissions received in that consultation.</w:t>
      </w:r>
    </w:p>
    <w:p w14:paraId="74A99241" w14:textId="77777777" w:rsidR="00461C31" w:rsidRDefault="00461C31" w:rsidP="00461C31"/>
    <w:p w14:paraId="285CB456" w14:textId="77777777" w:rsidR="00461C31" w:rsidRDefault="00461C31" w:rsidP="00461C31">
      <w:r>
        <w:t>In the stage two consultation, ACART sought feedback from the interested public on the proposed guidelines and important policy issues, including the consent requirements for the use of gametes, reproductive tissue or stored embryos after someone has died.</w:t>
      </w:r>
    </w:p>
    <w:p w14:paraId="077F104D" w14:textId="77777777" w:rsidR="00461C31" w:rsidRDefault="00461C31" w:rsidP="00461C31"/>
    <w:p w14:paraId="30A11145" w14:textId="77777777" w:rsidR="00461C31" w:rsidRDefault="00461C31" w:rsidP="00461C31">
      <w:r>
        <w:t>In general, ACART has made no attempt to judge the merits of particular viewpoints or arguments. ACART is considering all perspectives, alongside legal and ethical issues, and the principles of the Human Assisted Reproductive Technologies Act 2004 (the HART Act), as it continues to develop its updated guidelines.</w:t>
      </w:r>
    </w:p>
    <w:p w14:paraId="2E205FDB" w14:textId="77777777" w:rsidR="00461C31" w:rsidRDefault="00461C31" w:rsidP="00461C31"/>
    <w:p w14:paraId="2B0A1B98" w14:textId="77777777" w:rsidR="00461C31" w:rsidRDefault="00461C31" w:rsidP="00461C31">
      <w:r>
        <w:t>ACART would like to thank the Secretariat at the Ministry of Health for its able support in compiling this summary and running the consultation.</w:t>
      </w:r>
    </w:p>
    <w:p w14:paraId="3DD15130" w14:textId="77777777" w:rsidR="00461C31" w:rsidRDefault="00461C31" w:rsidP="00461C31"/>
    <w:p w14:paraId="22247668" w14:textId="77777777" w:rsidR="00461C31" w:rsidRDefault="00461C31" w:rsidP="00461C31">
      <w:r>
        <w:t>We espec</w:t>
      </w:r>
      <w:r w:rsidRPr="00461C31">
        <w:t>i</w:t>
      </w:r>
      <w:r>
        <w:t>ally thank all those who made submissions for their valuable input.</w:t>
      </w:r>
    </w:p>
    <w:p w14:paraId="6BDF30B2" w14:textId="77777777" w:rsidR="00461C31" w:rsidRDefault="00461C31" w:rsidP="00461C31"/>
    <w:p w14:paraId="6C5C105A" w14:textId="77777777" w:rsidR="00451076" w:rsidRDefault="00461C31" w:rsidP="00461C31">
      <w:proofErr w:type="spellStart"/>
      <w:r>
        <w:t>Ngā</w:t>
      </w:r>
      <w:proofErr w:type="spellEnd"/>
      <w:r>
        <w:t xml:space="preserve"> mihi </w:t>
      </w:r>
      <w:proofErr w:type="spellStart"/>
      <w:r>
        <w:t>ki</w:t>
      </w:r>
      <w:proofErr w:type="spellEnd"/>
      <w:r>
        <w:t xml:space="preserve"> a </w:t>
      </w:r>
      <w:proofErr w:type="spellStart"/>
      <w:r>
        <w:t>koutou</w:t>
      </w:r>
      <w:proofErr w:type="spellEnd"/>
    </w:p>
    <w:p w14:paraId="22EC37EB" w14:textId="77777777" w:rsidR="00461C31" w:rsidRPr="00385C68" w:rsidRDefault="00461C31" w:rsidP="00461C31"/>
    <w:p w14:paraId="5B2A0983" w14:textId="77777777" w:rsidR="0036595B" w:rsidRPr="00385C68" w:rsidRDefault="0036595B" w:rsidP="00451076">
      <w:pPr>
        <w:rPr>
          <w:lang w:eastAsia="en-NZ"/>
        </w:rPr>
      </w:pPr>
      <w:r>
        <w:rPr>
          <w:noProof/>
          <w:lang w:eastAsia="en-NZ"/>
        </w:rPr>
        <w:drawing>
          <wp:inline distT="0" distB="0" distL="0" distR="0" wp14:anchorId="6E8AF65B" wp14:editId="4DB5A505">
            <wp:extent cx="1181100" cy="4381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oga001.CORP\AppData\Local\Microsoft\Windows\Temporary Internet Files\Content.Word\KL_sig_for_ACAR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438150"/>
                    </a:xfrm>
                    <a:prstGeom prst="rect">
                      <a:avLst/>
                    </a:prstGeom>
                    <a:noFill/>
                    <a:ln>
                      <a:noFill/>
                    </a:ln>
                  </pic:spPr>
                </pic:pic>
              </a:graphicData>
            </a:graphic>
          </wp:inline>
        </w:drawing>
      </w:r>
    </w:p>
    <w:p w14:paraId="76BBC9F1" w14:textId="77777777" w:rsidR="0036595B" w:rsidRPr="0036595B" w:rsidRDefault="0036595B" w:rsidP="0036595B">
      <w:pPr>
        <w:rPr>
          <w:b/>
        </w:rPr>
      </w:pPr>
      <w:r w:rsidRPr="0036595B">
        <w:rPr>
          <w:b/>
        </w:rPr>
        <w:t>Dr Kathleen Logan</w:t>
      </w:r>
    </w:p>
    <w:p w14:paraId="1D3F1D36" w14:textId="77777777" w:rsidR="0036595B" w:rsidRPr="00504B7C" w:rsidRDefault="0036595B" w:rsidP="0036595B">
      <w:r w:rsidRPr="00504B7C">
        <w:t>Chair, Advisory Committee on Assisted Reproductive Technology</w:t>
      </w:r>
    </w:p>
    <w:p w14:paraId="1950616F" w14:textId="77206C4C" w:rsidR="0036595B" w:rsidRPr="00385C68" w:rsidRDefault="00504B7C" w:rsidP="0036595B">
      <w:r w:rsidRPr="00504B7C">
        <w:t xml:space="preserve">March 2021 </w:t>
      </w:r>
    </w:p>
    <w:p w14:paraId="3BB6975F" w14:textId="77777777" w:rsidR="0026492E" w:rsidRPr="00155578" w:rsidRDefault="0026492E" w:rsidP="0026492E">
      <w:bookmarkStart w:id="3" w:name="_Toc373151668"/>
    </w:p>
    <w:p w14:paraId="66D9EC41" w14:textId="77777777" w:rsidR="0026492E" w:rsidRPr="00155578" w:rsidRDefault="0026492E" w:rsidP="0026492E">
      <w:pPr>
        <w:pStyle w:val="Heading1"/>
        <w:sectPr w:rsidR="0026492E" w:rsidRPr="00155578" w:rsidSect="00521CF5">
          <w:footerReference w:type="even" r:id="rId21"/>
          <w:headerReference w:type="first" r:id="rId22"/>
          <w:footerReference w:type="first" r:id="rId23"/>
          <w:pgSz w:w="11907" w:h="16834" w:code="9"/>
          <w:pgMar w:top="1701" w:right="1418" w:bottom="1701" w:left="1701" w:header="0" w:footer="425" w:gutter="0"/>
          <w:pgNumType w:start="1"/>
          <w:cols w:space="720"/>
          <w:titlePg/>
        </w:sectPr>
      </w:pPr>
    </w:p>
    <w:p w14:paraId="51496429" w14:textId="77777777" w:rsidR="00AB34FD" w:rsidRPr="00155578" w:rsidRDefault="00461C31" w:rsidP="00E92764">
      <w:pPr>
        <w:pStyle w:val="Heading1"/>
      </w:pPr>
      <w:bookmarkStart w:id="4" w:name="_Toc57205590"/>
      <w:r>
        <w:lastRenderedPageBreak/>
        <w:t xml:space="preserve">The </w:t>
      </w:r>
      <w:r w:rsidR="0036595B">
        <w:t xml:space="preserve">consultation </w:t>
      </w:r>
      <w:proofErr w:type="gramStart"/>
      <w:r>
        <w:t>process</w:t>
      </w:r>
      <w:bookmarkEnd w:id="3"/>
      <w:bookmarkEnd w:id="4"/>
      <w:proofErr w:type="gramEnd"/>
    </w:p>
    <w:p w14:paraId="07945DFA" w14:textId="77777777" w:rsidR="00C303B7" w:rsidRDefault="00E52CAF" w:rsidP="00C26FE9">
      <w:r w:rsidRPr="00385C68">
        <w:t>The stage</w:t>
      </w:r>
      <w:r>
        <w:t xml:space="preserve"> two</w:t>
      </w:r>
      <w:r w:rsidRPr="00385C68">
        <w:t xml:space="preserve"> consultation document was published on </w:t>
      </w:r>
      <w:r>
        <w:t>15 July 2020</w:t>
      </w:r>
      <w:r w:rsidRPr="00385C68">
        <w:t xml:space="preserve"> on both </w:t>
      </w:r>
      <w:r>
        <w:t xml:space="preserve">the </w:t>
      </w:r>
      <w:r w:rsidRPr="00385C68">
        <w:t xml:space="preserve">ACART </w:t>
      </w:r>
      <w:r>
        <w:t xml:space="preserve">website </w:t>
      </w:r>
      <w:r w:rsidRPr="00385C68">
        <w:t>and the Ministry of Health website, along with a press release prepared by the Ministry</w:t>
      </w:r>
      <w:r w:rsidR="00C303B7">
        <w:t>’</w:t>
      </w:r>
      <w:r w:rsidRPr="00385C68">
        <w:t>s communications team.</w:t>
      </w:r>
    </w:p>
    <w:p w14:paraId="61E5F491" w14:textId="77777777" w:rsidR="00E52CAF" w:rsidRDefault="00E52CAF" w:rsidP="00C26FE9"/>
    <w:p w14:paraId="4DE45A15" w14:textId="77777777" w:rsidR="00E52CAF" w:rsidRDefault="00E52CAF" w:rsidP="00C26FE9">
      <w:r w:rsidRPr="00385C68">
        <w:t xml:space="preserve">Submissions </w:t>
      </w:r>
      <w:r>
        <w:t>closed on 30 September 2020 after extending the</w:t>
      </w:r>
      <w:r w:rsidRPr="00385C68">
        <w:t xml:space="preserve"> consultation to allow for a number of further submissions to be received.</w:t>
      </w:r>
    </w:p>
    <w:p w14:paraId="4C60B7B0" w14:textId="77777777" w:rsidR="00E52CAF" w:rsidRDefault="00E52CAF" w:rsidP="00C26FE9"/>
    <w:p w14:paraId="3573AF88" w14:textId="77777777" w:rsidR="00E52CAF" w:rsidRDefault="00E52CAF" w:rsidP="00C26FE9">
      <w:r>
        <w:t>ACART emailed t</w:t>
      </w:r>
      <w:r w:rsidRPr="00385C68">
        <w:t xml:space="preserve">he consultation document to </w:t>
      </w:r>
      <w:r>
        <w:t xml:space="preserve">its comprehensive </w:t>
      </w:r>
      <w:r w:rsidRPr="00385C68">
        <w:t>stakeholder list</w:t>
      </w:r>
      <w:r>
        <w:t xml:space="preserve">, and to all submitters who had engaged with the stage one consultation in </w:t>
      </w:r>
      <w:r w:rsidRPr="00385C68">
        <w:t xml:space="preserve">2018. </w:t>
      </w:r>
      <w:r>
        <w:t>ACART</w:t>
      </w:r>
      <w:r w:rsidR="00C303B7">
        <w:t>’</w:t>
      </w:r>
      <w:r>
        <w:t xml:space="preserve">s stakeholder list includes </w:t>
      </w:r>
      <w:r w:rsidRPr="00385C68">
        <w:t xml:space="preserve">all fertility clinics, </w:t>
      </w:r>
      <w:r>
        <w:t xml:space="preserve">the </w:t>
      </w:r>
      <w:r w:rsidRPr="009232C5">
        <w:t xml:space="preserve">Ethics Committee on Assisted Reproductive Technology </w:t>
      </w:r>
      <w:r>
        <w:t>(</w:t>
      </w:r>
      <w:r w:rsidRPr="00385C68">
        <w:t>ECART</w:t>
      </w:r>
      <w:r>
        <w:t>)</w:t>
      </w:r>
      <w:r w:rsidRPr="00385C68">
        <w:t xml:space="preserve"> </w:t>
      </w:r>
      <w:r>
        <w:t xml:space="preserve">and </w:t>
      </w:r>
      <w:r w:rsidRPr="00385C68">
        <w:t xml:space="preserve">other </w:t>
      </w:r>
      <w:r>
        <w:t>g</w:t>
      </w:r>
      <w:r w:rsidRPr="00385C68">
        <w:t xml:space="preserve">overnment </w:t>
      </w:r>
      <w:r>
        <w:t>d</w:t>
      </w:r>
      <w:r w:rsidRPr="00385C68">
        <w:t>epartments</w:t>
      </w:r>
      <w:r>
        <w:t>,</w:t>
      </w:r>
      <w:r w:rsidRPr="00385C68">
        <w:t xml:space="preserve"> </w:t>
      </w:r>
      <w:r>
        <w:t xml:space="preserve">including </w:t>
      </w:r>
      <w:r w:rsidRPr="00385C68">
        <w:t>the Ministry of Justice (</w:t>
      </w:r>
      <w:r>
        <w:t>which</w:t>
      </w:r>
      <w:r w:rsidRPr="00385C68">
        <w:t xml:space="preserve"> administer</w:t>
      </w:r>
      <w:r>
        <w:t>s</w:t>
      </w:r>
      <w:r w:rsidRPr="00385C68">
        <w:t xml:space="preserve"> the </w:t>
      </w:r>
      <w:r>
        <w:t xml:space="preserve">HART </w:t>
      </w:r>
      <w:r w:rsidRPr="00385C68">
        <w:t xml:space="preserve">Act). </w:t>
      </w:r>
      <w:r>
        <w:t xml:space="preserve">It </w:t>
      </w:r>
      <w:r w:rsidRPr="00385C68">
        <w:t>also include</w:t>
      </w:r>
      <w:r>
        <w:t>s</w:t>
      </w:r>
      <w:r w:rsidRPr="00385C68">
        <w:t xml:space="preserve"> religious and ethnic groups</w:t>
      </w:r>
      <w:r>
        <w:t>,</w:t>
      </w:r>
      <w:r w:rsidRPr="00385C68">
        <w:t xml:space="preserve"> and medical associations</w:t>
      </w:r>
      <w:r>
        <w:t xml:space="preserve">. In total, ACART emailed the consultation document to </w:t>
      </w:r>
      <w:r w:rsidRPr="00385C68">
        <w:t xml:space="preserve">approximately 300 people/groups. </w:t>
      </w:r>
      <w:r>
        <w:t>It encouraged s</w:t>
      </w:r>
      <w:r w:rsidRPr="00385C68">
        <w:t>takeholders to forward the consultation on to their networks</w:t>
      </w:r>
      <w:r>
        <w:t>.</w:t>
      </w:r>
    </w:p>
    <w:p w14:paraId="3221D105" w14:textId="77777777" w:rsidR="00E52CAF" w:rsidRDefault="00E52CAF" w:rsidP="00C26FE9"/>
    <w:p w14:paraId="565C73C6" w14:textId="77777777" w:rsidR="00E52CAF" w:rsidRPr="00385C68" w:rsidRDefault="00E52CAF" w:rsidP="00C26FE9">
      <w:r w:rsidRPr="00385C68">
        <w:t xml:space="preserve">Submitters could have their say </w:t>
      </w:r>
      <w:r w:rsidRPr="0076297E">
        <w:t>by following the link ACART provided to the online consultation through Citizen Space, a digital platform for consultation</w:t>
      </w:r>
      <w:r>
        <w:t xml:space="preserve">, </w:t>
      </w:r>
      <w:r w:rsidRPr="00385C68">
        <w:t xml:space="preserve">by completing the Citizen Space link through ACART, or </w:t>
      </w:r>
      <w:r>
        <w:t xml:space="preserve">through </w:t>
      </w:r>
      <w:r w:rsidRPr="00385C68">
        <w:t>the Ministry of Health</w:t>
      </w:r>
      <w:r w:rsidR="00C303B7">
        <w:t>’</w:t>
      </w:r>
      <w:r w:rsidRPr="00385C68">
        <w:t xml:space="preserve">s </w:t>
      </w:r>
      <w:r>
        <w:t>website</w:t>
      </w:r>
      <w:r w:rsidRPr="00385C68">
        <w:t xml:space="preserve">, or </w:t>
      </w:r>
      <w:r>
        <w:t xml:space="preserve">by </w:t>
      </w:r>
      <w:r w:rsidRPr="00385C68">
        <w:t xml:space="preserve">emailing a completed feedback form or comments to </w:t>
      </w:r>
      <w:hyperlink r:id="rId24" w:history="1">
        <w:r w:rsidR="00C26FE9" w:rsidRPr="00C26FE9">
          <w:rPr>
            <w:rStyle w:val="Hyperlink"/>
          </w:rPr>
          <w:t>acart@moh.govt.nz</w:t>
        </w:r>
      </w:hyperlink>
      <w:r w:rsidRPr="00385C68">
        <w:t>.</w:t>
      </w:r>
    </w:p>
    <w:p w14:paraId="33D24D4B" w14:textId="77777777" w:rsidR="00E52CAF" w:rsidRDefault="00E52CAF" w:rsidP="00C26FE9"/>
    <w:p w14:paraId="25EC1256" w14:textId="77777777" w:rsidR="00E52CAF" w:rsidRDefault="00E52CAF" w:rsidP="00C26FE9">
      <w:r>
        <w:t>ACART welcomed f</w:t>
      </w:r>
      <w:r w:rsidRPr="00385C68">
        <w:t xml:space="preserve">eedback from any individuals or groups, and the Secretariat invited fertility clinics to </w:t>
      </w:r>
      <w:r>
        <w:t>forward the invitation to</w:t>
      </w:r>
      <w:r w:rsidRPr="00385C68">
        <w:t xml:space="preserve"> any of their patients that they considered </w:t>
      </w:r>
      <w:r>
        <w:t xml:space="preserve">to have </w:t>
      </w:r>
      <w:r w:rsidRPr="00385C68">
        <w:t>an interest in this topic.</w:t>
      </w:r>
    </w:p>
    <w:p w14:paraId="6C8829C8" w14:textId="77777777" w:rsidR="00E52CAF" w:rsidRDefault="00E52CAF" w:rsidP="00C26FE9"/>
    <w:p w14:paraId="3EB7D4DE" w14:textId="77777777" w:rsidR="00E52CAF" w:rsidRDefault="00E52CAF" w:rsidP="00C26FE9">
      <w:r w:rsidRPr="00385C68">
        <w:t>ACART did not hold open public meetings for this consultation</w:t>
      </w:r>
      <w:r>
        <w:t xml:space="preserve">, because of the </w:t>
      </w:r>
      <w:r w:rsidR="00C26FE9">
        <w:t>COVID</w:t>
      </w:r>
      <w:r w:rsidR="00C26FE9">
        <w:noBreakHyphen/>
        <w:t>19</w:t>
      </w:r>
      <w:r>
        <w:t xml:space="preserve"> pandemic.</w:t>
      </w:r>
      <w:r w:rsidRPr="00385C68">
        <w:t xml:space="preserve"> </w:t>
      </w:r>
      <w:r>
        <w:t xml:space="preserve">Instead, it included in the consultation document </w:t>
      </w:r>
      <w:r w:rsidRPr="00385C68">
        <w:t xml:space="preserve">a question </w:t>
      </w:r>
      <w:r>
        <w:t xml:space="preserve">asking </w:t>
      </w:r>
      <w:r w:rsidRPr="00385C68">
        <w:t xml:space="preserve">submitters whether they would like to submit verbally. </w:t>
      </w:r>
      <w:r>
        <w:t>Where submitters did wish to submit verbally, ACART invited them to a Zoom meeting to do so.</w:t>
      </w:r>
    </w:p>
    <w:p w14:paraId="2D6E2230" w14:textId="77777777" w:rsidR="00C26FE9" w:rsidRDefault="00C26FE9" w:rsidP="00C26FE9"/>
    <w:p w14:paraId="75226799" w14:textId="7357D20B" w:rsidR="00C303B7" w:rsidRDefault="00E52CAF" w:rsidP="00C26FE9">
      <w:r>
        <w:t xml:space="preserve">ACART </w:t>
      </w:r>
      <w:r w:rsidRPr="00385C68">
        <w:t xml:space="preserve">received a </w:t>
      </w:r>
      <w:r w:rsidRPr="00AF0A2F">
        <w:t>total of 3</w:t>
      </w:r>
      <w:r>
        <w:t>7</w:t>
      </w:r>
      <w:r w:rsidRPr="00AF0A2F">
        <w:t xml:space="preserve"> submissions</w:t>
      </w:r>
      <w:r>
        <w:t xml:space="preserve"> on the stage two consultation, via Ci</w:t>
      </w:r>
      <w:r w:rsidRPr="00385C68">
        <w:t>tizen</w:t>
      </w:r>
      <w:r>
        <w:t xml:space="preserve"> </w:t>
      </w:r>
      <w:r w:rsidRPr="00385C68">
        <w:t>Space</w:t>
      </w:r>
      <w:r>
        <w:t xml:space="preserve">, </w:t>
      </w:r>
      <w:r w:rsidRPr="00385C68">
        <w:t>post or email</w:t>
      </w:r>
      <w:r>
        <w:t>. Some submitters did not fill out the feedback form but sent an email or letter providing feedback. Where possible, ACART has manually added these submissions to Citizen Space to enable quantitative analysis.</w:t>
      </w:r>
      <w:r w:rsidR="009D0625">
        <w:t xml:space="preserve"> Raw submissions used for this analysis are available to view on ACART’s webpage. Personal details have been redacted where s</w:t>
      </w:r>
      <w:r w:rsidR="009D0625">
        <w:t>ubmitters requested that their details were withheld before publishing</w:t>
      </w:r>
      <w:r w:rsidR="009D0625">
        <w:t>,</w:t>
      </w:r>
      <w:r w:rsidR="009D0625">
        <w:t xml:space="preserve"> and some </w:t>
      </w:r>
      <w:r w:rsidR="009D0625">
        <w:t xml:space="preserve">submitters </w:t>
      </w:r>
      <w:r w:rsidR="009D0625">
        <w:t xml:space="preserve">requested that their entire submissions were not made public.  </w:t>
      </w:r>
    </w:p>
    <w:p w14:paraId="43ED4275" w14:textId="77777777" w:rsidR="00C26FE9" w:rsidRDefault="00C26FE9" w:rsidP="00C26FE9"/>
    <w:p w14:paraId="001B4F4F" w14:textId="505B51A5" w:rsidR="00E52CAF" w:rsidRDefault="00E52CAF" w:rsidP="00C26FE9">
      <w:r>
        <w:t xml:space="preserve">ACART notes that this </w:t>
      </w:r>
      <w:r w:rsidRPr="008677A4">
        <w:t>analysis does not purport to reflect the proportions of views in society, but only of submitters.</w:t>
      </w:r>
      <w:r w:rsidR="00490912">
        <w:t xml:space="preserve"> </w:t>
      </w:r>
    </w:p>
    <w:p w14:paraId="4DEE9512" w14:textId="4531854E" w:rsidR="00C303B7" w:rsidRDefault="00E52CAF" w:rsidP="00970803">
      <w:pPr>
        <w:spacing w:before="240"/>
      </w:pPr>
      <w:r w:rsidRPr="00754C56">
        <w:t xml:space="preserve">Three </w:t>
      </w:r>
      <w:r>
        <w:t xml:space="preserve">meetings were </w:t>
      </w:r>
      <w:r w:rsidRPr="00754C56">
        <w:t xml:space="preserve">held via Zoom with Auckland </w:t>
      </w:r>
      <w:proofErr w:type="spellStart"/>
      <w:r w:rsidRPr="00754C56">
        <w:t>Repromed</w:t>
      </w:r>
      <w:proofErr w:type="spellEnd"/>
      <w:r w:rsidRPr="00754C56">
        <w:t>, Auckland Fertility Plus and Fertility New Zealand in August 2020</w:t>
      </w:r>
      <w:r w:rsidR="00B25B12">
        <w:t>,</w:t>
      </w:r>
      <w:r w:rsidRPr="00385C68">
        <w:t xml:space="preserve"> </w:t>
      </w:r>
      <w:r>
        <w:t>to clarify the rationale for the proposed guidelines and talk through their workability in practice</w:t>
      </w:r>
      <w:r w:rsidRPr="00385C68">
        <w:t xml:space="preserve">. </w:t>
      </w:r>
      <w:r>
        <w:t>Each of t</w:t>
      </w:r>
      <w:r w:rsidRPr="00385C68">
        <w:t xml:space="preserve">hese </w:t>
      </w:r>
      <w:r>
        <w:t xml:space="preserve">meetings was </w:t>
      </w:r>
      <w:r w:rsidRPr="00385C68">
        <w:t xml:space="preserve">attended by a </w:t>
      </w:r>
      <w:r w:rsidRPr="00385C68">
        <w:lastRenderedPageBreak/>
        <w:t xml:space="preserve">member of the </w:t>
      </w:r>
      <w:r>
        <w:t xml:space="preserve">ACART </w:t>
      </w:r>
      <w:r w:rsidRPr="00385C68">
        <w:t xml:space="preserve">working group and a member </w:t>
      </w:r>
      <w:r w:rsidR="0052308F">
        <w:t xml:space="preserve">of </w:t>
      </w:r>
      <w:r>
        <w:t>the</w:t>
      </w:r>
      <w:r w:rsidRPr="00385C68">
        <w:t xml:space="preserve"> Secretariat. </w:t>
      </w:r>
      <w:r w:rsidR="00B25B12">
        <w:t xml:space="preserve">These groups then </w:t>
      </w:r>
      <w:r w:rsidRPr="00385C68">
        <w:t>submitted formally</w:t>
      </w:r>
      <w:r w:rsidR="00B25B12">
        <w:t xml:space="preserve"> following the meeting</w:t>
      </w:r>
      <w:r w:rsidRPr="00385C68">
        <w:t>.</w:t>
      </w:r>
    </w:p>
    <w:p w14:paraId="54D9BC10" w14:textId="77777777" w:rsidR="00E52CAF" w:rsidRPr="007119A0" w:rsidRDefault="00E52CAF" w:rsidP="00C26FE9"/>
    <w:p w14:paraId="40109A90" w14:textId="544287DC" w:rsidR="00C303B7" w:rsidRDefault="00B25B12" w:rsidP="00C26FE9">
      <w:r>
        <w:t xml:space="preserve">ACART’s </w:t>
      </w:r>
      <w:r w:rsidR="00E52CAF">
        <w:t xml:space="preserve">feedback form asked for individual submitters to categorise their </w:t>
      </w:r>
      <w:r w:rsidR="00276DF3">
        <w:t xml:space="preserve">primary </w:t>
      </w:r>
      <w:r w:rsidR="00E52CAF">
        <w:t>interest in the topic, and to provide their age and ethnicity. The following three tables present total submission numbers broken down by category, age group and ethnicity.</w:t>
      </w:r>
    </w:p>
    <w:p w14:paraId="58065D9A" w14:textId="77777777" w:rsidR="00E52CAF" w:rsidRDefault="00E52CAF" w:rsidP="00C26FE9"/>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35"/>
        <w:gridCol w:w="1134"/>
        <w:gridCol w:w="1134"/>
      </w:tblGrid>
      <w:tr w:rsidR="00E52CAF" w:rsidRPr="00C26FE9" w14:paraId="6D3BE4FE" w14:textId="77777777" w:rsidTr="00A015C7">
        <w:trPr>
          <w:cantSplit/>
        </w:trPr>
        <w:tc>
          <w:tcPr>
            <w:tcW w:w="2835" w:type="dxa"/>
            <w:tcBorders>
              <w:top w:val="single" w:sz="4" w:space="0" w:color="auto"/>
              <w:bottom w:val="single" w:sz="4" w:space="0" w:color="auto"/>
            </w:tcBorders>
          </w:tcPr>
          <w:p w14:paraId="0741CE3E" w14:textId="77777777" w:rsidR="00E52CAF" w:rsidRPr="00C26FE9" w:rsidRDefault="00E52CAF" w:rsidP="00C26FE9">
            <w:pPr>
              <w:pStyle w:val="TableText"/>
              <w:rPr>
                <w:b/>
              </w:rPr>
            </w:pPr>
            <w:r w:rsidRPr="00C26FE9">
              <w:rPr>
                <w:b/>
              </w:rPr>
              <w:t>Category</w:t>
            </w:r>
          </w:p>
        </w:tc>
        <w:tc>
          <w:tcPr>
            <w:tcW w:w="1134" w:type="dxa"/>
            <w:tcBorders>
              <w:top w:val="single" w:sz="4" w:space="0" w:color="auto"/>
              <w:bottom w:val="single" w:sz="4" w:space="0" w:color="auto"/>
            </w:tcBorders>
          </w:tcPr>
          <w:p w14:paraId="0291C637" w14:textId="77777777" w:rsidR="00E52CAF" w:rsidRPr="00C26FE9" w:rsidRDefault="00E52CAF" w:rsidP="00A015C7">
            <w:pPr>
              <w:pStyle w:val="TableText"/>
              <w:jc w:val="right"/>
              <w:rPr>
                <w:b/>
              </w:rPr>
            </w:pPr>
            <w:r w:rsidRPr="00C26FE9">
              <w:rPr>
                <w:b/>
              </w:rPr>
              <w:t>Total</w:t>
            </w:r>
          </w:p>
        </w:tc>
        <w:tc>
          <w:tcPr>
            <w:tcW w:w="1134" w:type="dxa"/>
            <w:tcBorders>
              <w:top w:val="single" w:sz="4" w:space="0" w:color="auto"/>
              <w:bottom w:val="single" w:sz="4" w:space="0" w:color="auto"/>
            </w:tcBorders>
          </w:tcPr>
          <w:p w14:paraId="2D6DED78" w14:textId="77777777" w:rsidR="00E52CAF" w:rsidRPr="00C26FE9" w:rsidRDefault="00E52CAF" w:rsidP="00A015C7">
            <w:pPr>
              <w:pStyle w:val="TableText"/>
              <w:jc w:val="right"/>
              <w:rPr>
                <w:b/>
              </w:rPr>
            </w:pPr>
            <w:r w:rsidRPr="00C26FE9">
              <w:rPr>
                <w:b/>
              </w:rPr>
              <w:t>Percent</w:t>
            </w:r>
          </w:p>
        </w:tc>
      </w:tr>
      <w:tr w:rsidR="00E52CAF" w14:paraId="783137F6" w14:textId="77777777" w:rsidTr="00A015C7">
        <w:trPr>
          <w:cantSplit/>
        </w:trPr>
        <w:tc>
          <w:tcPr>
            <w:tcW w:w="2835" w:type="dxa"/>
            <w:tcBorders>
              <w:top w:val="single" w:sz="4" w:space="0" w:color="auto"/>
            </w:tcBorders>
          </w:tcPr>
          <w:p w14:paraId="2DCCD14C" w14:textId="77777777" w:rsidR="00E52CAF" w:rsidRPr="00C26FE9" w:rsidRDefault="00E52CAF" w:rsidP="00C26FE9">
            <w:pPr>
              <w:pStyle w:val="TableText"/>
              <w:rPr>
                <w:bCs/>
              </w:rPr>
            </w:pPr>
            <w:r w:rsidRPr="00C26FE9">
              <w:t>User of fertility services</w:t>
            </w:r>
          </w:p>
        </w:tc>
        <w:tc>
          <w:tcPr>
            <w:tcW w:w="1134" w:type="dxa"/>
            <w:tcBorders>
              <w:top w:val="single" w:sz="4" w:space="0" w:color="auto"/>
            </w:tcBorders>
          </w:tcPr>
          <w:p w14:paraId="25860F2D" w14:textId="77777777" w:rsidR="00E52CAF" w:rsidRPr="00C26FE9" w:rsidRDefault="00E52CAF" w:rsidP="00A015C7">
            <w:pPr>
              <w:pStyle w:val="TableText"/>
              <w:jc w:val="right"/>
            </w:pPr>
            <w:r w:rsidRPr="00C26FE9">
              <w:t>9</w:t>
            </w:r>
          </w:p>
        </w:tc>
        <w:tc>
          <w:tcPr>
            <w:tcW w:w="1134" w:type="dxa"/>
            <w:tcBorders>
              <w:top w:val="single" w:sz="4" w:space="0" w:color="auto"/>
            </w:tcBorders>
          </w:tcPr>
          <w:p w14:paraId="2300FE87" w14:textId="77777777" w:rsidR="00E52CAF" w:rsidRPr="00C26FE9" w:rsidRDefault="00E52CAF" w:rsidP="00A015C7">
            <w:pPr>
              <w:pStyle w:val="TableText"/>
              <w:jc w:val="right"/>
            </w:pPr>
            <w:r w:rsidRPr="00C26FE9">
              <w:t>25.71%</w:t>
            </w:r>
          </w:p>
        </w:tc>
      </w:tr>
      <w:tr w:rsidR="00E52CAF" w14:paraId="08A86542" w14:textId="77777777" w:rsidTr="00A015C7">
        <w:trPr>
          <w:cantSplit/>
        </w:trPr>
        <w:tc>
          <w:tcPr>
            <w:tcW w:w="2835" w:type="dxa"/>
          </w:tcPr>
          <w:p w14:paraId="133CDE0B" w14:textId="77777777" w:rsidR="00E52CAF" w:rsidRPr="00C26FE9" w:rsidRDefault="00E52CAF" w:rsidP="00C26FE9">
            <w:pPr>
              <w:pStyle w:val="TableText"/>
              <w:rPr>
                <w:bCs/>
              </w:rPr>
            </w:pPr>
            <w:r w:rsidRPr="00C26FE9">
              <w:t>Health professional</w:t>
            </w:r>
          </w:p>
        </w:tc>
        <w:tc>
          <w:tcPr>
            <w:tcW w:w="1134" w:type="dxa"/>
          </w:tcPr>
          <w:p w14:paraId="211F0146" w14:textId="77777777" w:rsidR="00E52CAF" w:rsidRPr="00C26FE9" w:rsidRDefault="00E52CAF" w:rsidP="00A015C7">
            <w:pPr>
              <w:pStyle w:val="TableText"/>
              <w:jc w:val="right"/>
            </w:pPr>
            <w:r w:rsidRPr="00C26FE9">
              <w:t>12</w:t>
            </w:r>
          </w:p>
        </w:tc>
        <w:tc>
          <w:tcPr>
            <w:tcW w:w="1134" w:type="dxa"/>
          </w:tcPr>
          <w:p w14:paraId="3D809387" w14:textId="77777777" w:rsidR="00E52CAF" w:rsidRPr="00C26FE9" w:rsidRDefault="00E52CAF" w:rsidP="00A015C7">
            <w:pPr>
              <w:pStyle w:val="TableText"/>
              <w:jc w:val="right"/>
            </w:pPr>
            <w:r w:rsidRPr="00C26FE9">
              <w:t>34.29%</w:t>
            </w:r>
          </w:p>
        </w:tc>
      </w:tr>
      <w:tr w:rsidR="00E52CAF" w14:paraId="473B4EC5" w14:textId="77777777" w:rsidTr="00A015C7">
        <w:trPr>
          <w:cantSplit/>
        </w:trPr>
        <w:tc>
          <w:tcPr>
            <w:tcW w:w="2835" w:type="dxa"/>
          </w:tcPr>
          <w:p w14:paraId="3F4145D5" w14:textId="77777777" w:rsidR="00E52CAF" w:rsidRPr="00C26FE9" w:rsidRDefault="00E52CAF" w:rsidP="00C26FE9">
            <w:pPr>
              <w:pStyle w:val="TableText"/>
              <w:rPr>
                <w:bCs/>
              </w:rPr>
            </w:pPr>
            <w:r w:rsidRPr="00C26FE9">
              <w:t>Researcher</w:t>
            </w:r>
          </w:p>
        </w:tc>
        <w:tc>
          <w:tcPr>
            <w:tcW w:w="1134" w:type="dxa"/>
          </w:tcPr>
          <w:p w14:paraId="4620C057" w14:textId="77777777" w:rsidR="00E52CAF" w:rsidRPr="00C26FE9" w:rsidRDefault="00E52CAF" w:rsidP="00A015C7">
            <w:pPr>
              <w:pStyle w:val="TableText"/>
              <w:jc w:val="right"/>
            </w:pPr>
            <w:r w:rsidRPr="00C26FE9">
              <w:t>0</w:t>
            </w:r>
          </w:p>
        </w:tc>
        <w:tc>
          <w:tcPr>
            <w:tcW w:w="1134" w:type="dxa"/>
          </w:tcPr>
          <w:p w14:paraId="717F99C7" w14:textId="77777777" w:rsidR="00E52CAF" w:rsidRPr="00C26FE9" w:rsidRDefault="00E52CAF" w:rsidP="00A015C7">
            <w:pPr>
              <w:pStyle w:val="TableText"/>
              <w:jc w:val="right"/>
            </w:pPr>
            <w:r w:rsidRPr="00C26FE9">
              <w:t>0.00%</w:t>
            </w:r>
          </w:p>
        </w:tc>
      </w:tr>
      <w:tr w:rsidR="00E52CAF" w14:paraId="3DCE96D1" w14:textId="77777777" w:rsidTr="00A015C7">
        <w:trPr>
          <w:cantSplit/>
        </w:trPr>
        <w:tc>
          <w:tcPr>
            <w:tcW w:w="2835" w:type="dxa"/>
          </w:tcPr>
          <w:p w14:paraId="4949AF90" w14:textId="77777777" w:rsidR="00E52CAF" w:rsidRPr="00C26FE9" w:rsidRDefault="00E52CAF" w:rsidP="00C26FE9">
            <w:pPr>
              <w:pStyle w:val="TableText"/>
              <w:rPr>
                <w:bCs/>
              </w:rPr>
            </w:pPr>
            <w:r w:rsidRPr="00C26FE9">
              <w:t>Member of the public</w:t>
            </w:r>
          </w:p>
        </w:tc>
        <w:tc>
          <w:tcPr>
            <w:tcW w:w="1134" w:type="dxa"/>
          </w:tcPr>
          <w:p w14:paraId="2AE0F28B" w14:textId="77777777" w:rsidR="00E52CAF" w:rsidRPr="00C26FE9" w:rsidRDefault="00E52CAF" w:rsidP="00A015C7">
            <w:pPr>
              <w:pStyle w:val="TableText"/>
              <w:jc w:val="right"/>
            </w:pPr>
            <w:r w:rsidRPr="00C26FE9">
              <w:t>10</w:t>
            </w:r>
          </w:p>
        </w:tc>
        <w:tc>
          <w:tcPr>
            <w:tcW w:w="1134" w:type="dxa"/>
          </w:tcPr>
          <w:p w14:paraId="12C58010" w14:textId="77777777" w:rsidR="00E52CAF" w:rsidRPr="00C26FE9" w:rsidRDefault="00E52CAF" w:rsidP="00A015C7">
            <w:pPr>
              <w:pStyle w:val="TableText"/>
              <w:jc w:val="right"/>
            </w:pPr>
            <w:r w:rsidRPr="00C26FE9">
              <w:t>28.57%</w:t>
            </w:r>
          </w:p>
        </w:tc>
      </w:tr>
      <w:tr w:rsidR="00E52CAF" w14:paraId="19307703" w14:textId="77777777" w:rsidTr="00A015C7">
        <w:trPr>
          <w:cantSplit/>
        </w:trPr>
        <w:tc>
          <w:tcPr>
            <w:tcW w:w="2835" w:type="dxa"/>
          </w:tcPr>
          <w:p w14:paraId="397CA1D3" w14:textId="77777777" w:rsidR="00E52CAF" w:rsidRPr="00C26FE9" w:rsidRDefault="00E52CAF" w:rsidP="00C26FE9">
            <w:pPr>
              <w:pStyle w:val="TableText"/>
              <w:rPr>
                <w:bCs/>
              </w:rPr>
            </w:pPr>
            <w:r w:rsidRPr="00C26FE9">
              <w:t>Other</w:t>
            </w:r>
          </w:p>
        </w:tc>
        <w:tc>
          <w:tcPr>
            <w:tcW w:w="1134" w:type="dxa"/>
          </w:tcPr>
          <w:p w14:paraId="7D58E395" w14:textId="77777777" w:rsidR="00E52CAF" w:rsidRPr="00C26FE9" w:rsidRDefault="00E52CAF" w:rsidP="00A015C7">
            <w:pPr>
              <w:pStyle w:val="TableText"/>
              <w:jc w:val="right"/>
            </w:pPr>
            <w:r w:rsidRPr="00C26FE9">
              <w:t>4</w:t>
            </w:r>
          </w:p>
        </w:tc>
        <w:tc>
          <w:tcPr>
            <w:tcW w:w="1134" w:type="dxa"/>
          </w:tcPr>
          <w:p w14:paraId="561FB35A" w14:textId="77777777" w:rsidR="00E52CAF" w:rsidRPr="00C26FE9" w:rsidRDefault="00E52CAF" w:rsidP="00A015C7">
            <w:pPr>
              <w:pStyle w:val="TableText"/>
              <w:jc w:val="right"/>
            </w:pPr>
            <w:r w:rsidRPr="00C26FE9">
              <w:t>11.43%</w:t>
            </w:r>
          </w:p>
        </w:tc>
      </w:tr>
      <w:tr w:rsidR="00E52CAF" w14:paraId="41B3B3E0" w14:textId="77777777" w:rsidTr="00A015C7">
        <w:trPr>
          <w:cantSplit/>
        </w:trPr>
        <w:tc>
          <w:tcPr>
            <w:tcW w:w="2835" w:type="dxa"/>
            <w:tcBorders>
              <w:bottom w:val="single" w:sz="4" w:space="0" w:color="auto"/>
            </w:tcBorders>
          </w:tcPr>
          <w:p w14:paraId="73527678" w14:textId="77777777" w:rsidR="00E52CAF" w:rsidRPr="00C26FE9" w:rsidRDefault="00E52CAF" w:rsidP="00C26FE9">
            <w:pPr>
              <w:pStyle w:val="TableText"/>
              <w:rPr>
                <w:bCs/>
              </w:rPr>
            </w:pPr>
            <w:r w:rsidRPr="00C26FE9">
              <w:t>Not answered</w:t>
            </w:r>
          </w:p>
        </w:tc>
        <w:tc>
          <w:tcPr>
            <w:tcW w:w="1134" w:type="dxa"/>
            <w:tcBorders>
              <w:bottom w:val="single" w:sz="4" w:space="0" w:color="auto"/>
            </w:tcBorders>
          </w:tcPr>
          <w:p w14:paraId="3D97C544" w14:textId="77777777" w:rsidR="00E52CAF" w:rsidRPr="00C26FE9" w:rsidRDefault="00E52CAF" w:rsidP="00A015C7">
            <w:pPr>
              <w:pStyle w:val="TableText"/>
              <w:jc w:val="right"/>
            </w:pPr>
            <w:r w:rsidRPr="00C26FE9">
              <w:t>0</w:t>
            </w:r>
          </w:p>
        </w:tc>
        <w:tc>
          <w:tcPr>
            <w:tcW w:w="1134" w:type="dxa"/>
            <w:tcBorders>
              <w:bottom w:val="single" w:sz="4" w:space="0" w:color="auto"/>
            </w:tcBorders>
          </w:tcPr>
          <w:p w14:paraId="02779C4C" w14:textId="77777777" w:rsidR="00E52CAF" w:rsidRPr="00C26FE9" w:rsidRDefault="00E52CAF" w:rsidP="00A015C7">
            <w:pPr>
              <w:pStyle w:val="TableText"/>
              <w:jc w:val="right"/>
            </w:pPr>
            <w:r w:rsidRPr="00C26FE9">
              <w:t>0.00%</w:t>
            </w:r>
          </w:p>
        </w:tc>
      </w:tr>
    </w:tbl>
    <w:p w14:paraId="26086EEC" w14:textId="77777777" w:rsidR="00970803" w:rsidRDefault="00970803"/>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35"/>
        <w:gridCol w:w="1134"/>
        <w:gridCol w:w="1134"/>
      </w:tblGrid>
      <w:tr w:rsidR="00E52CAF" w:rsidRPr="00C26FE9" w14:paraId="6E6CD89C" w14:textId="77777777" w:rsidTr="00A015C7">
        <w:trPr>
          <w:cantSplit/>
        </w:trPr>
        <w:tc>
          <w:tcPr>
            <w:tcW w:w="2835" w:type="dxa"/>
            <w:tcBorders>
              <w:top w:val="single" w:sz="4" w:space="0" w:color="auto"/>
              <w:bottom w:val="single" w:sz="4" w:space="0" w:color="auto"/>
            </w:tcBorders>
          </w:tcPr>
          <w:p w14:paraId="2C941659" w14:textId="77777777" w:rsidR="00E52CAF" w:rsidRPr="00C26FE9" w:rsidRDefault="00E52CAF" w:rsidP="00C26FE9">
            <w:pPr>
              <w:pStyle w:val="TableText"/>
              <w:rPr>
                <w:b/>
              </w:rPr>
            </w:pPr>
            <w:r w:rsidRPr="00C26FE9">
              <w:rPr>
                <w:b/>
              </w:rPr>
              <w:t>Age group</w:t>
            </w:r>
          </w:p>
        </w:tc>
        <w:tc>
          <w:tcPr>
            <w:tcW w:w="1134" w:type="dxa"/>
            <w:tcBorders>
              <w:top w:val="single" w:sz="4" w:space="0" w:color="auto"/>
              <w:bottom w:val="single" w:sz="4" w:space="0" w:color="auto"/>
            </w:tcBorders>
          </w:tcPr>
          <w:p w14:paraId="482A1A2A" w14:textId="77777777" w:rsidR="00E52CAF" w:rsidRPr="00C26FE9" w:rsidRDefault="00E52CAF" w:rsidP="00A015C7">
            <w:pPr>
              <w:pStyle w:val="TableText"/>
              <w:jc w:val="right"/>
              <w:rPr>
                <w:b/>
              </w:rPr>
            </w:pPr>
            <w:r w:rsidRPr="00C26FE9">
              <w:rPr>
                <w:b/>
              </w:rPr>
              <w:t>Total</w:t>
            </w:r>
          </w:p>
        </w:tc>
        <w:tc>
          <w:tcPr>
            <w:tcW w:w="1134" w:type="dxa"/>
            <w:tcBorders>
              <w:top w:val="single" w:sz="4" w:space="0" w:color="auto"/>
              <w:bottom w:val="single" w:sz="4" w:space="0" w:color="auto"/>
            </w:tcBorders>
          </w:tcPr>
          <w:p w14:paraId="123AA230" w14:textId="77777777" w:rsidR="00E52CAF" w:rsidRPr="00C26FE9" w:rsidRDefault="00E52CAF" w:rsidP="00A015C7">
            <w:pPr>
              <w:pStyle w:val="TableText"/>
              <w:jc w:val="right"/>
              <w:rPr>
                <w:b/>
              </w:rPr>
            </w:pPr>
            <w:r w:rsidRPr="00C26FE9">
              <w:rPr>
                <w:b/>
              </w:rPr>
              <w:t>Percent</w:t>
            </w:r>
          </w:p>
        </w:tc>
      </w:tr>
      <w:tr w:rsidR="00E52CAF" w14:paraId="19F34B32" w14:textId="77777777" w:rsidTr="00A015C7">
        <w:trPr>
          <w:cantSplit/>
        </w:trPr>
        <w:tc>
          <w:tcPr>
            <w:tcW w:w="2835" w:type="dxa"/>
            <w:tcBorders>
              <w:top w:val="single" w:sz="4" w:space="0" w:color="auto"/>
            </w:tcBorders>
          </w:tcPr>
          <w:p w14:paraId="60BEDC52" w14:textId="77777777" w:rsidR="00E52CAF" w:rsidRPr="00C26FE9" w:rsidRDefault="00E52CAF" w:rsidP="00C26FE9">
            <w:pPr>
              <w:pStyle w:val="TableText"/>
              <w:rPr>
                <w:bCs/>
              </w:rPr>
            </w:pPr>
            <w:r w:rsidRPr="00C26FE9">
              <w:t>13–19 years</w:t>
            </w:r>
          </w:p>
        </w:tc>
        <w:tc>
          <w:tcPr>
            <w:tcW w:w="1134" w:type="dxa"/>
            <w:tcBorders>
              <w:top w:val="single" w:sz="4" w:space="0" w:color="auto"/>
            </w:tcBorders>
          </w:tcPr>
          <w:p w14:paraId="1517152D" w14:textId="77777777" w:rsidR="00E52CAF" w:rsidRPr="00C26FE9" w:rsidRDefault="00E52CAF" w:rsidP="00A015C7">
            <w:pPr>
              <w:pStyle w:val="TableText"/>
              <w:jc w:val="right"/>
            </w:pPr>
            <w:r w:rsidRPr="00C26FE9">
              <w:t>2</w:t>
            </w:r>
          </w:p>
        </w:tc>
        <w:tc>
          <w:tcPr>
            <w:tcW w:w="1134" w:type="dxa"/>
            <w:tcBorders>
              <w:top w:val="single" w:sz="4" w:space="0" w:color="auto"/>
            </w:tcBorders>
          </w:tcPr>
          <w:p w14:paraId="31941B97" w14:textId="77777777" w:rsidR="00E52CAF" w:rsidRPr="00C26FE9" w:rsidRDefault="00E52CAF" w:rsidP="00A015C7">
            <w:pPr>
              <w:pStyle w:val="TableText"/>
              <w:jc w:val="right"/>
            </w:pPr>
            <w:r w:rsidRPr="00C26FE9">
              <w:t>5.71%</w:t>
            </w:r>
          </w:p>
        </w:tc>
      </w:tr>
      <w:tr w:rsidR="00E52CAF" w14:paraId="766AEA65" w14:textId="77777777" w:rsidTr="00A015C7">
        <w:trPr>
          <w:cantSplit/>
        </w:trPr>
        <w:tc>
          <w:tcPr>
            <w:tcW w:w="2835" w:type="dxa"/>
          </w:tcPr>
          <w:p w14:paraId="259880C0" w14:textId="77777777" w:rsidR="00E52CAF" w:rsidRPr="00C26FE9" w:rsidRDefault="00E52CAF" w:rsidP="00C26FE9">
            <w:pPr>
              <w:pStyle w:val="TableText"/>
              <w:rPr>
                <w:bCs/>
              </w:rPr>
            </w:pPr>
            <w:r w:rsidRPr="00C26FE9">
              <w:t>20–24 years</w:t>
            </w:r>
          </w:p>
        </w:tc>
        <w:tc>
          <w:tcPr>
            <w:tcW w:w="1134" w:type="dxa"/>
          </w:tcPr>
          <w:p w14:paraId="66901971" w14:textId="77777777" w:rsidR="00E52CAF" w:rsidRPr="00C26FE9" w:rsidRDefault="00E52CAF" w:rsidP="00A015C7">
            <w:pPr>
              <w:pStyle w:val="TableText"/>
              <w:jc w:val="right"/>
            </w:pPr>
            <w:r w:rsidRPr="00C26FE9">
              <w:t>2</w:t>
            </w:r>
          </w:p>
        </w:tc>
        <w:tc>
          <w:tcPr>
            <w:tcW w:w="1134" w:type="dxa"/>
          </w:tcPr>
          <w:p w14:paraId="412D0022" w14:textId="77777777" w:rsidR="00E52CAF" w:rsidRPr="00C26FE9" w:rsidRDefault="00E52CAF" w:rsidP="00A015C7">
            <w:pPr>
              <w:pStyle w:val="TableText"/>
              <w:jc w:val="right"/>
            </w:pPr>
            <w:r w:rsidRPr="00C26FE9">
              <w:t>5.71%</w:t>
            </w:r>
          </w:p>
        </w:tc>
      </w:tr>
      <w:tr w:rsidR="00E52CAF" w14:paraId="76EDF4FA" w14:textId="77777777" w:rsidTr="00A015C7">
        <w:trPr>
          <w:cantSplit/>
        </w:trPr>
        <w:tc>
          <w:tcPr>
            <w:tcW w:w="2835" w:type="dxa"/>
          </w:tcPr>
          <w:p w14:paraId="7EAF20EB" w14:textId="77777777" w:rsidR="00E52CAF" w:rsidRPr="00C26FE9" w:rsidRDefault="00E52CAF" w:rsidP="00C26FE9">
            <w:pPr>
              <w:pStyle w:val="TableText"/>
              <w:rPr>
                <w:bCs/>
              </w:rPr>
            </w:pPr>
            <w:r w:rsidRPr="00C26FE9">
              <w:t>25–34 years</w:t>
            </w:r>
          </w:p>
        </w:tc>
        <w:tc>
          <w:tcPr>
            <w:tcW w:w="1134" w:type="dxa"/>
          </w:tcPr>
          <w:p w14:paraId="1F8EDDDF" w14:textId="77777777" w:rsidR="00E52CAF" w:rsidRPr="00C26FE9" w:rsidRDefault="00E52CAF" w:rsidP="00A015C7">
            <w:pPr>
              <w:pStyle w:val="TableText"/>
              <w:jc w:val="right"/>
            </w:pPr>
            <w:r w:rsidRPr="00C26FE9">
              <w:t>3</w:t>
            </w:r>
          </w:p>
        </w:tc>
        <w:tc>
          <w:tcPr>
            <w:tcW w:w="1134" w:type="dxa"/>
          </w:tcPr>
          <w:p w14:paraId="46E26949" w14:textId="77777777" w:rsidR="00E52CAF" w:rsidRPr="00C26FE9" w:rsidRDefault="00E52CAF" w:rsidP="00A015C7">
            <w:pPr>
              <w:pStyle w:val="TableText"/>
              <w:jc w:val="right"/>
            </w:pPr>
            <w:r w:rsidRPr="00C26FE9">
              <w:t>8.57%</w:t>
            </w:r>
          </w:p>
        </w:tc>
      </w:tr>
      <w:tr w:rsidR="00E52CAF" w14:paraId="0CC83F60" w14:textId="77777777" w:rsidTr="00A015C7">
        <w:trPr>
          <w:cantSplit/>
        </w:trPr>
        <w:tc>
          <w:tcPr>
            <w:tcW w:w="2835" w:type="dxa"/>
          </w:tcPr>
          <w:p w14:paraId="21DC0465" w14:textId="77777777" w:rsidR="00E52CAF" w:rsidRPr="00C26FE9" w:rsidRDefault="00E52CAF" w:rsidP="00C26FE9">
            <w:pPr>
              <w:pStyle w:val="TableText"/>
              <w:rPr>
                <w:bCs/>
              </w:rPr>
            </w:pPr>
            <w:r w:rsidRPr="00C26FE9">
              <w:t>35–44 years</w:t>
            </w:r>
          </w:p>
        </w:tc>
        <w:tc>
          <w:tcPr>
            <w:tcW w:w="1134" w:type="dxa"/>
          </w:tcPr>
          <w:p w14:paraId="10A16DFC" w14:textId="77777777" w:rsidR="00E52CAF" w:rsidRPr="00C26FE9" w:rsidRDefault="00E52CAF" w:rsidP="00A015C7">
            <w:pPr>
              <w:pStyle w:val="TableText"/>
              <w:jc w:val="right"/>
            </w:pPr>
            <w:r w:rsidRPr="00C26FE9">
              <w:t>7</w:t>
            </w:r>
          </w:p>
        </w:tc>
        <w:tc>
          <w:tcPr>
            <w:tcW w:w="1134" w:type="dxa"/>
          </w:tcPr>
          <w:p w14:paraId="1C05277A" w14:textId="77777777" w:rsidR="00E52CAF" w:rsidRPr="00C26FE9" w:rsidRDefault="00E52CAF" w:rsidP="00A015C7">
            <w:pPr>
              <w:pStyle w:val="TableText"/>
              <w:jc w:val="right"/>
            </w:pPr>
            <w:r w:rsidRPr="00C26FE9">
              <w:t>20.00%</w:t>
            </w:r>
          </w:p>
        </w:tc>
      </w:tr>
      <w:tr w:rsidR="00E52CAF" w14:paraId="74EEE025" w14:textId="77777777" w:rsidTr="00A015C7">
        <w:trPr>
          <w:cantSplit/>
        </w:trPr>
        <w:tc>
          <w:tcPr>
            <w:tcW w:w="2835" w:type="dxa"/>
          </w:tcPr>
          <w:p w14:paraId="7934075C" w14:textId="77777777" w:rsidR="00E52CAF" w:rsidRPr="00C26FE9" w:rsidRDefault="00E52CAF" w:rsidP="00C26FE9">
            <w:pPr>
              <w:pStyle w:val="TableText"/>
              <w:rPr>
                <w:bCs/>
              </w:rPr>
            </w:pPr>
            <w:r w:rsidRPr="00C26FE9">
              <w:t>45–54 years</w:t>
            </w:r>
          </w:p>
        </w:tc>
        <w:tc>
          <w:tcPr>
            <w:tcW w:w="1134" w:type="dxa"/>
          </w:tcPr>
          <w:p w14:paraId="5C0B4B2F" w14:textId="77777777" w:rsidR="00E52CAF" w:rsidRPr="00C26FE9" w:rsidRDefault="00E52CAF" w:rsidP="00A015C7">
            <w:pPr>
              <w:pStyle w:val="TableText"/>
              <w:jc w:val="right"/>
            </w:pPr>
            <w:r w:rsidRPr="00C26FE9">
              <w:t>11</w:t>
            </w:r>
          </w:p>
        </w:tc>
        <w:tc>
          <w:tcPr>
            <w:tcW w:w="1134" w:type="dxa"/>
          </w:tcPr>
          <w:p w14:paraId="3850202B" w14:textId="77777777" w:rsidR="00E52CAF" w:rsidRPr="00C26FE9" w:rsidRDefault="00E52CAF" w:rsidP="00A015C7">
            <w:pPr>
              <w:pStyle w:val="TableText"/>
              <w:jc w:val="right"/>
            </w:pPr>
            <w:r w:rsidRPr="00C26FE9">
              <w:t>31.43%</w:t>
            </w:r>
          </w:p>
        </w:tc>
      </w:tr>
      <w:tr w:rsidR="00E52CAF" w14:paraId="7746655A" w14:textId="77777777" w:rsidTr="00A015C7">
        <w:trPr>
          <w:cantSplit/>
        </w:trPr>
        <w:tc>
          <w:tcPr>
            <w:tcW w:w="2835" w:type="dxa"/>
          </w:tcPr>
          <w:p w14:paraId="0B19D312" w14:textId="77777777" w:rsidR="00E52CAF" w:rsidRPr="00C26FE9" w:rsidRDefault="00E52CAF" w:rsidP="00C26FE9">
            <w:pPr>
              <w:pStyle w:val="TableText"/>
              <w:rPr>
                <w:bCs/>
              </w:rPr>
            </w:pPr>
            <w:r w:rsidRPr="00C26FE9">
              <w:t>55–64 years</w:t>
            </w:r>
          </w:p>
        </w:tc>
        <w:tc>
          <w:tcPr>
            <w:tcW w:w="1134" w:type="dxa"/>
          </w:tcPr>
          <w:p w14:paraId="78C3151B" w14:textId="77777777" w:rsidR="00E52CAF" w:rsidRPr="00C26FE9" w:rsidRDefault="00E52CAF" w:rsidP="00A015C7">
            <w:pPr>
              <w:pStyle w:val="TableText"/>
              <w:jc w:val="right"/>
            </w:pPr>
            <w:r w:rsidRPr="00C26FE9">
              <w:t>5</w:t>
            </w:r>
          </w:p>
        </w:tc>
        <w:tc>
          <w:tcPr>
            <w:tcW w:w="1134" w:type="dxa"/>
          </w:tcPr>
          <w:p w14:paraId="6F0D9628" w14:textId="77777777" w:rsidR="00E52CAF" w:rsidRPr="00C26FE9" w:rsidRDefault="00E52CAF" w:rsidP="00A015C7">
            <w:pPr>
              <w:pStyle w:val="TableText"/>
              <w:jc w:val="right"/>
            </w:pPr>
            <w:r w:rsidRPr="00C26FE9">
              <w:t>14.29%</w:t>
            </w:r>
          </w:p>
        </w:tc>
      </w:tr>
      <w:tr w:rsidR="00E52CAF" w14:paraId="501C0726" w14:textId="77777777" w:rsidTr="00A015C7">
        <w:trPr>
          <w:cantSplit/>
        </w:trPr>
        <w:tc>
          <w:tcPr>
            <w:tcW w:w="2835" w:type="dxa"/>
          </w:tcPr>
          <w:p w14:paraId="62AB3264" w14:textId="77777777" w:rsidR="00E52CAF" w:rsidRPr="00C26FE9" w:rsidRDefault="00E52CAF" w:rsidP="00C26FE9">
            <w:pPr>
              <w:pStyle w:val="TableText"/>
              <w:rPr>
                <w:bCs/>
              </w:rPr>
            </w:pPr>
            <w:r w:rsidRPr="00C26FE9">
              <w:t>65–74 years</w:t>
            </w:r>
          </w:p>
        </w:tc>
        <w:tc>
          <w:tcPr>
            <w:tcW w:w="1134" w:type="dxa"/>
          </w:tcPr>
          <w:p w14:paraId="5CB91A8A" w14:textId="77777777" w:rsidR="00E52CAF" w:rsidRPr="00C26FE9" w:rsidRDefault="00E52CAF" w:rsidP="00A015C7">
            <w:pPr>
              <w:pStyle w:val="TableText"/>
              <w:jc w:val="right"/>
            </w:pPr>
            <w:r w:rsidRPr="00C26FE9">
              <w:t>2</w:t>
            </w:r>
          </w:p>
        </w:tc>
        <w:tc>
          <w:tcPr>
            <w:tcW w:w="1134" w:type="dxa"/>
          </w:tcPr>
          <w:p w14:paraId="443C15C5" w14:textId="77777777" w:rsidR="00E52CAF" w:rsidRPr="00C26FE9" w:rsidRDefault="00E52CAF" w:rsidP="00A015C7">
            <w:pPr>
              <w:pStyle w:val="TableText"/>
              <w:jc w:val="right"/>
            </w:pPr>
            <w:r w:rsidRPr="00C26FE9">
              <w:t>5.71%</w:t>
            </w:r>
          </w:p>
        </w:tc>
      </w:tr>
      <w:tr w:rsidR="00E52CAF" w14:paraId="20E632D1" w14:textId="77777777" w:rsidTr="00A015C7">
        <w:trPr>
          <w:cantSplit/>
        </w:trPr>
        <w:tc>
          <w:tcPr>
            <w:tcW w:w="2835" w:type="dxa"/>
          </w:tcPr>
          <w:p w14:paraId="5E4B1BD0" w14:textId="77777777" w:rsidR="00E52CAF" w:rsidRPr="00C26FE9" w:rsidRDefault="00E52CAF" w:rsidP="00C26FE9">
            <w:pPr>
              <w:pStyle w:val="TableText"/>
              <w:rPr>
                <w:bCs/>
              </w:rPr>
            </w:pPr>
            <w:r w:rsidRPr="00C26FE9">
              <w:t>75+ years</w:t>
            </w:r>
          </w:p>
        </w:tc>
        <w:tc>
          <w:tcPr>
            <w:tcW w:w="1134" w:type="dxa"/>
          </w:tcPr>
          <w:p w14:paraId="0276E0B2" w14:textId="77777777" w:rsidR="00E52CAF" w:rsidRPr="00C26FE9" w:rsidRDefault="00E52CAF" w:rsidP="00A015C7">
            <w:pPr>
              <w:pStyle w:val="TableText"/>
              <w:jc w:val="right"/>
            </w:pPr>
            <w:r w:rsidRPr="00C26FE9">
              <w:t>3</w:t>
            </w:r>
          </w:p>
        </w:tc>
        <w:tc>
          <w:tcPr>
            <w:tcW w:w="1134" w:type="dxa"/>
          </w:tcPr>
          <w:p w14:paraId="2596AFE2" w14:textId="77777777" w:rsidR="00E52CAF" w:rsidRPr="00C26FE9" w:rsidRDefault="00E52CAF" w:rsidP="00A015C7">
            <w:pPr>
              <w:pStyle w:val="TableText"/>
              <w:jc w:val="right"/>
            </w:pPr>
            <w:r w:rsidRPr="00C26FE9">
              <w:t>8.57%</w:t>
            </w:r>
          </w:p>
        </w:tc>
      </w:tr>
      <w:tr w:rsidR="00E52CAF" w14:paraId="3153BDE3" w14:textId="77777777" w:rsidTr="00A015C7">
        <w:trPr>
          <w:cantSplit/>
        </w:trPr>
        <w:tc>
          <w:tcPr>
            <w:tcW w:w="2835" w:type="dxa"/>
            <w:tcBorders>
              <w:bottom w:val="single" w:sz="4" w:space="0" w:color="auto"/>
            </w:tcBorders>
          </w:tcPr>
          <w:p w14:paraId="3A3851DF" w14:textId="77777777" w:rsidR="00E52CAF" w:rsidRPr="00C26FE9" w:rsidRDefault="00E52CAF" w:rsidP="00C26FE9">
            <w:pPr>
              <w:pStyle w:val="TableText"/>
              <w:rPr>
                <w:bCs/>
              </w:rPr>
            </w:pPr>
            <w:r w:rsidRPr="00C26FE9">
              <w:t>Not answered</w:t>
            </w:r>
          </w:p>
        </w:tc>
        <w:tc>
          <w:tcPr>
            <w:tcW w:w="1134" w:type="dxa"/>
            <w:tcBorders>
              <w:bottom w:val="single" w:sz="4" w:space="0" w:color="auto"/>
            </w:tcBorders>
          </w:tcPr>
          <w:p w14:paraId="1DA9989A" w14:textId="77777777" w:rsidR="00E52CAF" w:rsidRPr="00C26FE9" w:rsidRDefault="00E52CAF" w:rsidP="00A015C7">
            <w:pPr>
              <w:pStyle w:val="TableText"/>
              <w:jc w:val="right"/>
            </w:pPr>
            <w:r w:rsidRPr="00C26FE9">
              <w:t>0</w:t>
            </w:r>
          </w:p>
        </w:tc>
        <w:tc>
          <w:tcPr>
            <w:tcW w:w="1134" w:type="dxa"/>
            <w:tcBorders>
              <w:bottom w:val="single" w:sz="4" w:space="0" w:color="auto"/>
            </w:tcBorders>
          </w:tcPr>
          <w:p w14:paraId="0E501574" w14:textId="77777777" w:rsidR="00E52CAF" w:rsidRPr="00C26FE9" w:rsidRDefault="00E52CAF" w:rsidP="00A015C7">
            <w:pPr>
              <w:pStyle w:val="TableText"/>
              <w:jc w:val="right"/>
            </w:pPr>
            <w:r w:rsidRPr="00C26FE9">
              <w:t>0.00%</w:t>
            </w:r>
          </w:p>
        </w:tc>
      </w:tr>
    </w:tbl>
    <w:p w14:paraId="74A87086" w14:textId="77777777" w:rsidR="00970803" w:rsidRDefault="00970803"/>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835"/>
        <w:gridCol w:w="1134"/>
        <w:gridCol w:w="1134"/>
      </w:tblGrid>
      <w:tr w:rsidR="00E52CAF" w:rsidRPr="00C26FE9" w14:paraId="0AAB1ADC" w14:textId="77777777" w:rsidTr="00A015C7">
        <w:trPr>
          <w:cantSplit/>
        </w:trPr>
        <w:tc>
          <w:tcPr>
            <w:tcW w:w="2835" w:type="dxa"/>
            <w:tcBorders>
              <w:top w:val="single" w:sz="4" w:space="0" w:color="auto"/>
              <w:bottom w:val="single" w:sz="4" w:space="0" w:color="auto"/>
            </w:tcBorders>
          </w:tcPr>
          <w:p w14:paraId="7CF1B452" w14:textId="77777777" w:rsidR="00E52CAF" w:rsidRPr="00C26FE9" w:rsidRDefault="00E52CAF" w:rsidP="00C26FE9">
            <w:pPr>
              <w:pStyle w:val="TableText"/>
              <w:rPr>
                <w:b/>
              </w:rPr>
            </w:pPr>
            <w:r w:rsidRPr="00C26FE9">
              <w:rPr>
                <w:b/>
              </w:rPr>
              <w:t>Ethnicity</w:t>
            </w:r>
          </w:p>
        </w:tc>
        <w:tc>
          <w:tcPr>
            <w:tcW w:w="1134" w:type="dxa"/>
            <w:tcBorders>
              <w:top w:val="single" w:sz="4" w:space="0" w:color="auto"/>
              <w:bottom w:val="single" w:sz="4" w:space="0" w:color="auto"/>
            </w:tcBorders>
          </w:tcPr>
          <w:p w14:paraId="5F9FA081" w14:textId="77777777" w:rsidR="00E52CAF" w:rsidRPr="00C26FE9" w:rsidRDefault="00E52CAF" w:rsidP="00A015C7">
            <w:pPr>
              <w:pStyle w:val="TableText"/>
              <w:jc w:val="right"/>
              <w:rPr>
                <w:b/>
              </w:rPr>
            </w:pPr>
            <w:r w:rsidRPr="00C26FE9">
              <w:rPr>
                <w:b/>
              </w:rPr>
              <w:t>Total</w:t>
            </w:r>
          </w:p>
        </w:tc>
        <w:tc>
          <w:tcPr>
            <w:tcW w:w="1134" w:type="dxa"/>
            <w:tcBorders>
              <w:top w:val="single" w:sz="4" w:space="0" w:color="auto"/>
              <w:bottom w:val="single" w:sz="4" w:space="0" w:color="auto"/>
            </w:tcBorders>
          </w:tcPr>
          <w:p w14:paraId="09DD524D" w14:textId="77777777" w:rsidR="00E52CAF" w:rsidRPr="00C26FE9" w:rsidRDefault="00E52CAF" w:rsidP="00A015C7">
            <w:pPr>
              <w:pStyle w:val="TableText"/>
              <w:jc w:val="right"/>
              <w:rPr>
                <w:b/>
              </w:rPr>
            </w:pPr>
            <w:r w:rsidRPr="00C26FE9">
              <w:rPr>
                <w:b/>
              </w:rPr>
              <w:t>Percent</w:t>
            </w:r>
          </w:p>
        </w:tc>
      </w:tr>
      <w:tr w:rsidR="00E52CAF" w14:paraId="4A8E8D27" w14:textId="77777777" w:rsidTr="00A015C7">
        <w:trPr>
          <w:cantSplit/>
        </w:trPr>
        <w:tc>
          <w:tcPr>
            <w:tcW w:w="2835" w:type="dxa"/>
            <w:tcBorders>
              <w:top w:val="single" w:sz="4" w:space="0" w:color="auto"/>
            </w:tcBorders>
          </w:tcPr>
          <w:p w14:paraId="613216F4" w14:textId="77777777" w:rsidR="00E52CAF" w:rsidRPr="00C26FE9" w:rsidRDefault="00E52CAF" w:rsidP="00C26FE9">
            <w:pPr>
              <w:pStyle w:val="TableText"/>
              <w:rPr>
                <w:bCs/>
              </w:rPr>
            </w:pPr>
            <w:r w:rsidRPr="00C26FE9">
              <w:t>NZ European</w:t>
            </w:r>
          </w:p>
        </w:tc>
        <w:tc>
          <w:tcPr>
            <w:tcW w:w="1134" w:type="dxa"/>
            <w:tcBorders>
              <w:top w:val="single" w:sz="4" w:space="0" w:color="auto"/>
            </w:tcBorders>
          </w:tcPr>
          <w:p w14:paraId="59A76ED9" w14:textId="77777777" w:rsidR="00E52CAF" w:rsidRPr="00C26FE9" w:rsidRDefault="00E52CAF" w:rsidP="00A015C7">
            <w:pPr>
              <w:pStyle w:val="TableText"/>
              <w:jc w:val="right"/>
            </w:pPr>
            <w:r w:rsidRPr="00C26FE9">
              <w:t>16</w:t>
            </w:r>
          </w:p>
        </w:tc>
        <w:tc>
          <w:tcPr>
            <w:tcW w:w="1134" w:type="dxa"/>
            <w:tcBorders>
              <w:top w:val="single" w:sz="4" w:space="0" w:color="auto"/>
            </w:tcBorders>
          </w:tcPr>
          <w:p w14:paraId="07545D5E" w14:textId="77777777" w:rsidR="00E52CAF" w:rsidRPr="00C26FE9" w:rsidRDefault="00E52CAF" w:rsidP="00A015C7">
            <w:pPr>
              <w:pStyle w:val="TableText"/>
              <w:jc w:val="right"/>
            </w:pPr>
            <w:r w:rsidRPr="00C26FE9">
              <w:t>45.71%</w:t>
            </w:r>
          </w:p>
        </w:tc>
      </w:tr>
      <w:tr w:rsidR="00E52CAF" w14:paraId="1BDAF963" w14:textId="77777777" w:rsidTr="00A015C7">
        <w:trPr>
          <w:cantSplit/>
        </w:trPr>
        <w:tc>
          <w:tcPr>
            <w:tcW w:w="2835" w:type="dxa"/>
          </w:tcPr>
          <w:p w14:paraId="59C9FF3D" w14:textId="77777777" w:rsidR="00E52CAF" w:rsidRPr="00C26FE9" w:rsidRDefault="00E52CAF" w:rsidP="00C26FE9">
            <w:pPr>
              <w:pStyle w:val="TableText"/>
              <w:rPr>
                <w:bCs/>
              </w:rPr>
            </w:pPr>
            <w:r w:rsidRPr="00C26FE9">
              <w:t>Māori</w:t>
            </w:r>
          </w:p>
        </w:tc>
        <w:tc>
          <w:tcPr>
            <w:tcW w:w="1134" w:type="dxa"/>
          </w:tcPr>
          <w:p w14:paraId="35519A7B" w14:textId="77777777" w:rsidR="00E52CAF" w:rsidRPr="00C26FE9" w:rsidRDefault="00E52CAF" w:rsidP="00A015C7">
            <w:pPr>
              <w:pStyle w:val="TableText"/>
              <w:jc w:val="right"/>
            </w:pPr>
            <w:r w:rsidRPr="00C26FE9">
              <w:t>5</w:t>
            </w:r>
          </w:p>
        </w:tc>
        <w:tc>
          <w:tcPr>
            <w:tcW w:w="1134" w:type="dxa"/>
          </w:tcPr>
          <w:p w14:paraId="16A039ED" w14:textId="77777777" w:rsidR="00E52CAF" w:rsidRPr="00C26FE9" w:rsidRDefault="00E52CAF" w:rsidP="00A015C7">
            <w:pPr>
              <w:pStyle w:val="TableText"/>
              <w:jc w:val="right"/>
            </w:pPr>
            <w:r w:rsidRPr="00C26FE9">
              <w:t>14.29%</w:t>
            </w:r>
          </w:p>
        </w:tc>
      </w:tr>
      <w:tr w:rsidR="00E52CAF" w14:paraId="048E73D0" w14:textId="77777777" w:rsidTr="00A015C7">
        <w:trPr>
          <w:cantSplit/>
        </w:trPr>
        <w:tc>
          <w:tcPr>
            <w:tcW w:w="2835" w:type="dxa"/>
          </w:tcPr>
          <w:p w14:paraId="3A9E1EF6" w14:textId="77777777" w:rsidR="00E52CAF" w:rsidRPr="00C26FE9" w:rsidRDefault="00E52CAF" w:rsidP="00C26FE9">
            <w:pPr>
              <w:pStyle w:val="TableText"/>
              <w:rPr>
                <w:bCs/>
              </w:rPr>
            </w:pPr>
            <w:r w:rsidRPr="00C26FE9">
              <w:t>Pacific peoples</w:t>
            </w:r>
          </w:p>
        </w:tc>
        <w:tc>
          <w:tcPr>
            <w:tcW w:w="1134" w:type="dxa"/>
          </w:tcPr>
          <w:p w14:paraId="5F168E98" w14:textId="77777777" w:rsidR="00E52CAF" w:rsidRPr="00C26FE9" w:rsidRDefault="00E52CAF" w:rsidP="00A015C7">
            <w:pPr>
              <w:pStyle w:val="TableText"/>
              <w:jc w:val="right"/>
            </w:pPr>
            <w:r w:rsidRPr="00C26FE9">
              <w:t>2</w:t>
            </w:r>
          </w:p>
        </w:tc>
        <w:tc>
          <w:tcPr>
            <w:tcW w:w="1134" w:type="dxa"/>
          </w:tcPr>
          <w:p w14:paraId="7F694524" w14:textId="77777777" w:rsidR="00E52CAF" w:rsidRPr="00C26FE9" w:rsidRDefault="00E52CAF" w:rsidP="00A015C7">
            <w:pPr>
              <w:pStyle w:val="TableText"/>
              <w:jc w:val="right"/>
            </w:pPr>
            <w:r w:rsidRPr="00C26FE9">
              <w:t>5.71%</w:t>
            </w:r>
          </w:p>
        </w:tc>
      </w:tr>
      <w:tr w:rsidR="00E52CAF" w14:paraId="0316B4B6" w14:textId="77777777" w:rsidTr="00A015C7">
        <w:trPr>
          <w:cantSplit/>
        </w:trPr>
        <w:tc>
          <w:tcPr>
            <w:tcW w:w="2835" w:type="dxa"/>
          </w:tcPr>
          <w:p w14:paraId="67FD9E3E" w14:textId="77777777" w:rsidR="00E52CAF" w:rsidRPr="00C26FE9" w:rsidRDefault="00E52CAF" w:rsidP="00C26FE9">
            <w:pPr>
              <w:pStyle w:val="TableText"/>
              <w:rPr>
                <w:bCs/>
              </w:rPr>
            </w:pPr>
            <w:r w:rsidRPr="00C26FE9">
              <w:t>Asian</w:t>
            </w:r>
          </w:p>
        </w:tc>
        <w:tc>
          <w:tcPr>
            <w:tcW w:w="1134" w:type="dxa"/>
          </w:tcPr>
          <w:p w14:paraId="07ACACC2" w14:textId="77777777" w:rsidR="00E52CAF" w:rsidRPr="00C26FE9" w:rsidRDefault="00E52CAF" w:rsidP="00A015C7">
            <w:pPr>
              <w:pStyle w:val="TableText"/>
              <w:jc w:val="right"/>
            </w:pPr>
            <w:r w:rsidRPr="00C26FE9">
              <w:t>5</w:t>
            </w:r>
          </w:p>
        </w:tc>
        <w:tc>
          <w:tcPr>
            <w:tcW w:w="1134" w:type="dxa"/>
          </w:tcPr>
          <w:p w14:paraId="066C481A" w14:textId="77777777" w:rsidR="00E52CAF" w:rsidRPr="00C26FE9" w:rsidRDefault="00E52CAF" w:rsidP="00A015C7">
            <w:pPr>
              <w:pStyle w:val="TableText"/>
              <w:jc w:val="right"/>
            </w:pPr>
            <w:r w:rsidRPr="00C26FE9">
              <w:t>14.29%</w:t>
            </w:r>
          </w:p>
        </w:tc>
      </w:tr>
      <w:tr w:rsidR="00E52CAF" w14:paraId="4C101A85" w14:textId="77777777" w:rsidTr="00A015C7">
        <w:trPr>
          <w:cantSplit/>
        </w:trPr>
        <w:tc>
          <w:tcPr>
            <w:tcW w:w="2835" w:type="dxa"/>
          </w:tcPr>
          <w:p w14:paraId="191F647D" w14:textId="77777777" w:rsidR="00E52CAF" w:rsidRPr="00C26FE9" w:rsidRDefault="00E52CAF" w:rsidP="00C26FE9">
            <w:pPr>
              <w:pStyle w:val="TableText"/>
              <w:rPr>
                <w:bCs/>
              </w:rPr>
            </w:pPr>
            <w:r w:rsidRPr="00C26FE9">
              <w:t>Other</w:t>
            </w:r>
          </w:p>
        </w:tc>
        <w:tc>
          <w:tcPr>
            <w:tcW w:w="1134" w:type="dxa"/>
          </w:tcPr>
          <w:p w14:paraId="645ED5FE" w14:textId="77777777" w:rsidR="00E52CAF" w:rsidRPr="00C26FE9" w:rsidRDefault="00E52CAF" w:rsidP="00A015C7">
            <w:pPr>
              <w:pStyle w:val="TableText"/>
              <w:jc w:val="right"/>
            </w:pPr>
            <w:r w:rsidRPr="00C26FE9">
              <w:t>13</w:t>
            </w:r>
          </w:p>
        </w:tc>
        <w:tc>
          <w:tcPr>
            <w:tcW w:w="1134" w:type="dxa"/>
          </w:tcPr>
          <w:p w14:paraId="2544662A" w14:textId="77777777" w:rsidR="00E52CAF" w:rsidRPr="00C26FE9" w:rsidRDefault="00E52CAF" w:rsidP="00A015C7">
            <w:pPr>
              <w:pStyle w:val="TableText"/>
              <w:jc w:val="right"/>
            </w:pPr>
            <w:r w:rsidRPr="00C26FE9">
              <w:t>37.14%</w:t>
            </w:r>
          </w:p>
        </w:tc>
      </w:tr>
      <w:tr w:rsidR="00E52CAF" w14:paraId="07A92415" w14:textId="77777777" w:rsidTr="00A015C7">
        <w:trPr>
          <w:cantSplit/>
        </w:trPr>
        <w:tc>
          <w:tcPr>
            <w:tcW w:w="2835" w:type="dxa"/>
          </w:tcPr>
          <w:p w14:paraId="20D6422D" w14:textId="77777777" w:rsidR="00E52CAF" w:rsidRPr="00C26FE9" w:rsidRDefault="00E52CAF" w:rsidP="00C26FE9">
            <w:pPr>
              <w:pStyle w:val="TableText"/>
              <w:rPr>
                <w:bCs/>
              </w:rPr>
            </w:pPr>
            <w:r w:rsidRPr="00C26FE9">
              <w:t>Not answered</w:t>
            </w:r>
          </w:p>
        </w:tc>
        <w:tc>
          <w:tcPr>
            <w:tcW w:w="1134" w:type="dxa"/>
          </w:tcPr>
          <w:p w14:paraId="56B5745D" w14:textId="77777777" w:rsidR="00E52CAF" w:rsidRPr="00C26FE9" w:rsidRDefault="00E52CAF" w:rsidP="00A015C7">
            <w:pPr>
              <w:pStyle w:val="TableText"/>
              <w:jc w:val="right"/>
            </w:pPr>
            <w:r w:rsidRPr="00C26FE9">
              <w:t>0</w:t>
            </w:r>
          </w:p>
        </w:tc>
        <w:tc>
          <w:tcPr>
            <w:tcW w:w="1134" w:type="dxa"/>
          </w:tcPr>
          <w:p w14:paraId="0A3E0096" w14:textId="77777777" w:rsidR="00E52CAF" w:rsidRPr="00C26FE9" w:rsidRDefault="00E52CAF" w:rsidP="00A015C7">
            <w:pPr>
              <w:pStyle w:val="TableText"/>
              <w:jc w:val="right"/>
            </w:pPr>
            <w:r w:rsidRPr="00C26FE9">
              <w:t>0.00%</w:t>
            </w:r>
          </w:p>
        </w:tc>
      </w:tr>
    </w:tbl>
    <w:p w14:paraId="7ED9E5D5" w14:textId="77777777" w:rsidR="00970803" w:rsidRDefault="00970803" w:rsidP="00970803">
      <w:bookmarkStart w:id="5" w:name="_Toc1652620"/>
    </w:p>
    <w:p w14:paraId="08532307" w14:textId="77777777" w:rsidR="00970803" w:rsidRPr="00155578" w:rsidRDefault="00970803" w:rsidP="00970803"/>
    <w:p w14:paraId="787386C0" w14:textId="77777777" w:rsidR="00970803" w:rsidRPr="00155578" w:rsidRDefault="00970803" w:rsidP="00970803">
      <w:pPr>
        <w:pStyle w:val="Heading1"/>
        <w:sectPr w:rsidR="00970803" w:rsidRPr="00155578" w:rsidSect="00440DC2">
          <w:headerReference w:type="default" r:id="rId25"/>
          <w:footerReference w:type="even" r:id="rId26"/>
          <w:footerReference w:type="default" r:id="rId27"/>
          <w:headerReference w:type="first" r:id="rId28"/>
          <w:footerReference w:type="first" r:id="rId29"/>
          <w:pgSz w:w="11907" w:h="16834" w:code="9"/>
          <w:pgMar w:top="1701" w:right="1418" w:bottom="1701" w:left="1701" w:header="0" w:footer="425" w:gutter="0"/>
          <w:cols w:space="720"/>
          <w:titlePg/>
        </w:sectPr>
      </w:pPr>
    </w:p>
    <w:p w14:paraId="03057155" w14:textId="77777777" w:rsidR="00C303B7" w:rsidRDefault="00E52CAF" w:rsidP="00E52CAF">
      <w:pPr>
        <w:pStyle w:val="Heading1"/>
      </w:pPr>
      <w:bookmarkStart w:id="6" w:name="_Toc57205591"/>
      <w:r>
        <w:lastRenderedPageBreak/>
        <w:t>High-level t</w:t>
      </w:r>
      <w:r w:rsidRPr="00385C68">
        <w:t>hemes</w:t>
      </w:r>
      <w:bookmarkEnd w:id="5"/>
      <w:bookmarkEnd w:id="6"/>
    </w:p>
    <w:p w14:paraId="02D98DD8" w14:textId="45F59F6F" w:rsidR="00E52CAF" w:rsidRDefault="00E52CAF" w:rsidP="008F0EE4">
      <w:r>
        <w:t>High</w:t>
      </w:r>
      <w:r w:rsidR="00276DF3">
        <w:t xml:space="preserve"> </w:t>
      </w:r>
      <w:r>
        <w:t>level themes from the stage two public consultation reflected issues raised in the stage one consultation.</w:t>
      </w:r>
    </w:p>
    <w:p w14:paraId="6F234147" w14:textId="77777777" w:rsidR="008F0EE4" w:rsidRPr="00385C68" w:rsidRDefault="008F0EE4" w:rsidP="008F0EE4"/>
    <w:p w14:paraId="368C3F45" w14:textId="77777777" w:rsidR="00C303B7" w:rsidRDefault="00E52CAF" w:rsidP="008F0EE4">
      <w:pPr>
        <w:pStyle w:val="Heading2"/>
      </w:pPr>
      <w:bookmarkStart w:id="7" w:name="_Toc57205592"/>
      <w:bookmarkStart w:id="8" w:name="_Toc1652621"/>
      <w:r>
        <w:t>Consent is important</w:t>
      </w:r>
      <w:bookmarkEnd w:id="7"/>
    </w:p>
    <w:p w14:paraId="3D63FD6D" w14:textId="77777777" w:rsidR="00E52CAF" w:rsidRPr="00C9786D" w:rsidRDefault="00E52CAF" w:rsidP="008F0EE4">
      <w:r w:rsidRPr="00C9786D">
        <w:t xml:space="preserve">Submitters </w:t>
      </w:r>
      <w:r>
        <w:t xml:space="preserve">were </w:t>
      </w:r>
      <w:r w:rsidRPr="00C9786D">
        <w:t xml:space="preserve">generally </w:t>
      </w:r>
      <w:r>
        <w:t xml:space="preserve">supportive of retrieval and use of gametes </w:t>
      </w:r>
      <w:r w:rsidRPr="00C9786D">
        <w:t xml:space="preserve">or </w:t>
      </w:r>
      <w:r>
        <w:t xml:space="preserve">reproductive tissue </w:t>
      </w:r>
      <w:r w:rsidRPr="00C9786D">
        <w:t>after death if there is some evidence of consent.</w:t>
      </w:r>
    </w:p>
    <w:p w14:paraId="3FFE23C0" w14:textId="77777777" w:rsidR="00E52CAF" w:rsidRPr="00D65119" w:rsidRDefault="00E52CAF" w:rsidP="008F0EE4"/>
    <w:p w14:paraId="13AE5ED6" w14:textId="77777777" w:rsidR="00E52CAF" w:rsidRDefault="00E52CAF" w:rsidP="008F0EE4">
      <w:r w:rsidRPr="00C9786D">
        <w:t xml:space="preserve">When a </w:t>
      </w:r>
      <w:proofErr w:type="gramStart"/>
      <w:r w:rsidRPr="00C9786D">
        <w:t>person stores gametes</w:t>
      </w:r>
      <w:proofErr w:type="gramEnd"/>
      <w:r w:rsidRPr="00C9786D">
        <w:t xml:space="preserve"> while they are alive, they are asked what they want to </w:t>
      </w:r>
      <w:r>
        <w:t xml:space="preserve">have </w:t>
      </w:r>
      <w:r w:rsidRPr="00C9786D">
        <w:t xml:space="preserve">happen to their gametes in the event of their death. Most submitters were familiar with the process of storing gametes while alive for the purposes of fertility </w:t>
      </w:r>
      <w:proofErr w:type="gramStart"/>
      <w:r w:rsidRPr="00C9786D">
        <w:t>preservation</w:t>
      </w:r>
      <w:r>
        <w:t>,</w:t>
      </w:r>
      <w:r w:rsidRPr="00C9786D">
        <w:t xml:space="preserve"> and</w:t>
      </w:r>
      <w:proofErr w:type="gramEnd"/>
      <w:r w:rsidRPr="00C9786D">
        <w:t xml:space="preserve"> supported the </w:t>
      </w:r>
      <w:r>
        <w:t xml:space="preserve">option of </w:t>
      </w:r>
      <w:r w:rsidRPr="00C9786D">
        <w:t xml:space="preserve">written consent </w:t>
      </w:r>
      <w:r>
        <w:t>for the use of gametes in this case</w:t>
      </w:r>
      <w:r w:rsidRPr="00C9786D">
        <w:t>.</w:t>
      </w:r>
    </w:p>
    <w:p w14:paraId="2378E24E" w14:textId="77777777" w:rsidR="00E52CAF" w:rsidRDefault="00E52CAF" w:rsidP="008F0EE4"/>
    <w:p w14:paraId="6F8E8467" w14:textId="713FE001" w:rsidR="00E52CAF" w:rsidRDefault="00E52CAF" w:rsidP="008F0EE4">
      <w:r>
        <w:t xml:space="preserve">As in the stage one consultation, the majority of </w:t>
      </w:r>
      <w:r w:rsidRPr="00C9786D">
        <w:t xml:space="preserve">submitters supported </w:t>
      </w:r>
      <w:r>
        <w:t xml:space="preserve">the </w:t>
      </w:r>
      <w:r w:rsidRPr="00C9786D">
        <w:t xml:space="preserve">posthumous use of stored gametes or embryos where there was evidence of verbal consent. </w:t>
      </w:r>
      <w:r>
        <w:t>However, m</w:t>
      </w:r>
      <w:r w:rsidRPr="00C9786D">
        <w:t xml:space="preserve">ost people were uncomfortable with </w:t>
      </w:r>
      <w:r>
        <w:t xml:space="preserve">the requirement being for </w:t>
      </w:r>
      <w:r w:rsidRPr="00C9786D">
        <w:t xml:space="preserve">written </w:t>
      </w:r>
      <w:proofErr w:type="gramStart"/>
      <w:r w:rsidRPr="00C9786D">
        <w:t>consent</w:t>
      </w:r>
      <w:r>
        <w:t>,</w:t>
      </w:r>
      <w:r w:rsidRPr="00C9786D">
        <w:t xml:space="preserve"> and</w:t>
      </w:r>
      <w:proofErr w:type="gramEnd"/>
      <w:r w:rsidRPr="00C9786D">
        <w:t xml:space="preserve"> felt strongly that other types of consent </w:t>
      </w:r>
      <w:r w:rsidR="00EC0F2A">
        <w:t>sh</w:t>
      </w:r>
      <w:r w:rsidRPr="00C9786D">
        <w:t>ould be considered also</w:t>
      </w:r>
      <w:r>
        <w:t xml:space="preserve">. </w:t>
      </w:r>
      <w:r w:rsidRPr="00C9786D">
        <w:t xml:space="preserve">Many people </w:t>
      </w:r>
      <w:r>
        <w:t>t</w:t>
      </w:r>
      <w:r w:rsidRPr="00C9786D">
        <w:t>hought that because of the</w:t>
      </w:r>
      <w:r w:rsidR="00A618B5">
        <w:t xml:space="preserve"> </w:t>
      </w:r>
      <w:proofErr w:type="gramStart"/>
      <w:r w:rsidR="00A618B5">
        <w:t>often</w:t>
      </w:r>
      <w:r w:rsidRPr="00C9786D">
        <w:t xml:space="preserve"> unexpected</w:t>
      </w:r>
      <w:proofErr w:type="gramEnd"/>
      <w:r w:rsidRPr="00C9786D">
        <w:t xml:space="preserve"> nature</w:t>
      </w:r>
      <w:r w:rsidR="00A618B5">
        <w:t xml:space="preserve"> of</w:t>
      </w:r>
      <w:r>
        <w:t xml:space="preserve"> </w:t>
      </w:r>
      <w:r w:rsidRPr="00C9786D">
        <w:t xml:space="preserve">death, written consent should not be mandatory. Submitters expressed that some sort of evidence was </w:t>
      </w:r>
      <w:proofErr w:type="gramStart"/>
      <w:r w:rsidRPr="00C9786D">
        <w:t>vital, and</w:t>
      </w:r>
      <w:proofErr w:type="gramEnd"/>
      <w:r w:rsidRPr="00C9786D">
        <w:t xml:space="preserve"> suggested many forms that verbal or inferred consent could take</w:t>
      </w:r>
      <w:r>
        <w:t>,</w:t>
      </w:r>
      <w:r w:rsidRPr="00C9786D">
        <w:t xml:space="preserve"> </w:t>
      </w:r>
      <w:r>
        <w:t xml:space="preserve">including an affidavit confirming </w:t>
      </w:r>
      <w:r w:rsidRPr="00C9786D">
        <w:t xml:space="preserve">conversations </w:t>
      </w:r>
      <w:r>
        <w:t xml:space="preserve">had </w:t>
      </w:r>
      <w:r w:rsidRPr="00C9786D">
        <w:t xml:space="preserve">with family or </w:t>
      </w:r>
      <w:r>
        <w:t xml:space="preserve">a </w:t>
      </w:r>
      <w:r w:rsidRPr="00C9786D">
        <w:t>partner.</w:t>
      </w:r>
    </w:p>
    <w:p w14:paraId="497A5ADA" w14:textId="77777777" w:rsidR="00E52CAF" w:rsidRDefault="00E52CAF" w:rsidP="008F0EE4"/>
    <w:p w14:paraId="75FC4BB6" w14:textId="77777777" w:rsidR="00C303B7" w:rsidRDefault="00E52CAF" w:rsidP="008F0EE4">
      <w:r>
        <w:t>There was a strong theme that consent of some kind needed to be given for retrieval and use of gametes after death, and many submitters requested clarification from ACART about what acceptable consent for posthumous use might entail.</w:t>
      </w:r>
    </w:p>
    <w:p w14:paraId="6AF1823F" w14:textId="77777777" w:rsidR="00E52CAF" w:rsidRDefault="00E52CAF" w:rsidP="008F0EE4"/>
    <w:p w14:paraId="4E1E91EA" w14:textId="77777777" w:rsidR="00E52CAF" w:rsidRDefault="00E52CAF" w:rsidP="008F0EE4">
      <w:pPr>
        <w:pStyle w:val="Heading2"/>
      </w:pPr>
      <w:bookmarkStart w:id="9" w:name="_Toc57205593"/>
      <w:r>
        <w:t>Not all cases of posthumous use need ethical approval from ECART</w:t>
      </w:r>
      <w:bookmarkEnd w:id="9"/>
    </w:p>
    <w:p w14:paraId="05D08E8F" w14:textId="77777777" w:rsidR="00C303B7" w:rsidRDefault="00E52CAF" w:rsidP="008F0EE4">
      <w:r w:rsidRPr="006340B4">
        <w:t>I</w:t>
      </w:r>
      <w:r>
        <w:t xml:space="preserve">n the stage one consultation, ACART found that there was not enough support for </w:t>
      </w:r>
      <w:r w:rsidRPr="006340B4">
        <w:t xml:space="preserve">a requirement that </w:t>
      </w:r>
      <w:r w:rsidRPr="00F31194">
        <w:t>all</w:t>
      </w:r>
      <w:r w:rsidRPr="006340B4">
        <w:t xml:space="preserve"> posthumous use of gametes and embryos </w:t>
      </w:r>
      <w:r>
        <w:t xml:space="preserve">should </w:t>
      </w:r>
      <w:r w:rsidRPr="006340B4">
        <w:t>be subject to ethics review</w:t>
      </w:r>
      <w:r>
        <w:t xml:space="preserve">. Submitters </w:t>
      </w:r>
      <w:r w:rsidRPr="006340B4">
        <w:t>seem</w:t>
      </w:r>
      <w:r>
        <w:t>ed to be looking instead</w:t>
      </w:r>
      <w:r w:rsidRPr="006340B4">
        <w:t xml:space="preserve"> for a</w:t>
      </w:r>
      <w:r>
        <w:t xml:space="preserve"> balance o</w:t>
      </w:r>
      <w:r w:rsidRPr="006340B4">
        <w:t xml:space="preserve">f </w:t>
      </w:r>
      <w:r>
        <w:t xml:space="preserve">ethical </w:t>
      </w:r>
      <w:r w:rsidRPr="006340B4">
        <w:t xml:space="preserve">oversight/approval, or a model that </w:t>
      </w:r>
      <w:r>
        <w:t>was</w:t>
      </w:r>
      <w:r w:rsidRPr="006340B4">
        <w:t xml:space="preserve"> dependent on the situation.</w:t>
      </w:r>
      <w:r>
        <w:t xml:space="preserve"> Opinions were mixed, so ACART sought clarification on this question in the stage two consultation.</w:t>
      </w:r>
    </w:p>
    <w:p w14:paraId="2CF9C18B" w14:textId="77777777" w:rsidR="00E52CAF" w:rsidRDefault="00E52CAF" w:rsidP="008F0EE4"/>
    <w:p w14:paraId="0482B0D1" w14:textId="77777777" w:rsidR="00C303B7" w:rsidRDefault="00E52CAF" w:rsidP="008F0EE4">
      <w:r>
        <w:t xml:space="preserve">In this consultation, most submitters and fertility services thought that ECART review should </w:t>
      </w:r>
      <w:r w:rsidRPr="00C436D3">
        <w:rPr>
          <w:b/>
        </w:rPr>
        <w:t xml:space="preserve">not </w:t>
      </w:r>
      <w:r>
        <w:t xml:space="preserve">be required for </w:t>
      </w:r>
      <w:r w:rsidRPr="009C5B8A">
        <w:rPr>
          <w:b/>
        </w:rPr>
        <w:t>all</w:t>
      </w:r>
      <w:r>
        <w:t xml:space="preserve"> posthumous uses of gametes or reproductive tissue.</w:t>
      </w:r>
    </w:p>
    <w:p w14:paraId="24C5E1B3" w14:textId="77777777" w:rsidR="00E52CAF" w:rsidRDefault="00E52CAF" w:rsidP="008F0EE4"/>
    <w:p w14:paraId="5670441A" w14:textId="63DD023D" w:rsidR="00E52CAF" w:rsidRDefault="00E52CAF" w:rsidP="008F0EE4">
      <w:r>
        <w:lastRenderedPageBreak/>
        <w:t>The main situation in which submitters thought ethical review by ECART should not be required</w:t>
      </w:r>
      <w:r w:rsidR="00BE3E97">
        <w:t>,</w:t>
      </w:r>
      <w:r>
        <w:t xml:space="preserve"> was where consent has clearly been given to the specific use of the gamete before the death of the gamete provider and there has been a clear and robust counselling and consent process. In this case, submitters thought that clinics could manage the ethical complexity of posthumous reproduction.</w:t>
      </w:r>
    </w:p>
    <w:p w14:paraId="2BF17C81" w14:textId="77777777" w:rsidR="00E52CAF" w:rsidRDefault="00E52CAF" w:rsidP="008F0EE4"/>
    <w:p w14:paraId="6A421948" w14:textId="0D516EE6" w:rsidR="00E52CAF" w:rsidRDefault="00E52CAF" w:rsidP="008F0EE4">
      <w:r>
        <w:t>Others noted situations that might meet the threshold of requiring ethical review; for example, where gametes are retrieved posthumously and consent to their retrieval and use is not clear, or where there are additional complex ethical issues to consider, such as inheritance or parentage.</w:t>
      </w:r>
    </w:p>
    <w:p w14:paraId="04D0D6BF" w14:textId="77777777" w:rsidR="00E52CAF" w:rsidRDefault="00E52CAF" w:rsidP="008F0EE4"/>
    <w:p w14:paraId="5ACB0CF7" w14:textId="77777777" w:rsidR="00E52CAF" w:rsidRPr="00155578" w:rsidRDefault="00E52CAF" w:rsidP="008F0EE4">
      <w:r>
        <w:t xml:space="preserve">Consistently </w:t>
      </w:r>
      <w:r w:rsidRPr="006340B4">
        <w:t xml:space="preserve">with </w:t>
      </w:r>
      <w:r>
        <w:t xml:space="preserve">the stage one consultation, </w:t>
      </w:r>
      <w:r w:rsidRPr="006340B4">
        <w:t xml:space="preserve">there was a consensus among submitters that </w:t>
      </w:r>
      <w:r>
        <w:t xml:space="preserve">where a </w:t>
      </w:r>
      <w:r w:rsidRPr="006340B4">
        <w:t>deceased</w:t>
      </w:r>
      <w:r>
        <w:t xml:space="preserve"> person</w:t>
      </w:r>
      <w:r w:rsidR="00C303B7">
        <w:t>’</w:t>
      </w:r>
      <w:r>
        <w:t>s</w:t>
      </w:r>
      <w:r w:rsidRPr="006340B4">
        <w:t xml:space="preserve"> wishes have been written down in a legally recognised document, this takes first priority</w:t>
      </w:r>
      <w:r>
        <w:t>, and such cases should not necessarily require ethical review by ECART</w:t>
      </w:r>
      <w:r w:rsidRPr="006340B4">
        <w:t>.</w:t>
      </w:r>
    </w:p>
    <w:bookmarkEnd w:id="8"/>
    <w:p w14:paraId="3ABD46AF" w14:textId="77777777" w:rsidR="00E52CAF" w:rsidRDefault="00E52CAF" w:rsidP="008F0EE4"/>
    <w:p w14:paraId="0A4D7115" w14:textId="77777777" w:rsidR="00E52CAF" w:rsidRDefault="00E52CAF" w:rsidP="008F0EE4">
      <w:pPr>
        <w:pStyle w:val="Heading2"/>
      </w:pPr>
      <w:bookmarkStart w:id="10" w:name="_Toc57205594"/>
      <w:bookmarkStart w:id="11" w:name="_Toc1652622"/>
      <w:r w:rsidRPr="008A23A4">
        <w:t>T</w:t>
      </w:r>
      <w:r>
        <w:t>ikanga</w:t>
      </w:r>
      <w:bookmarkEnd w:id="10"/>
    </w:p>
    <w:p w14:paraId="57F7ED5F" w14:textId="77777777" w:rsidR="00E52CAF" w:rsidRDefault="00E52CAF" w:rsidP="008F0EE4">
      <w:r>
        <w:t>One s</w:t>
      </w:r>
      <w:r w:rsidRPr="008A23A4">
        <w:t>ubmitte</w:t>
      </w:r>
      <w:r>
        <w:t>r</w:t>
      </w:r>
      <w:r w:rsidRPr="008A23A4">
        <w:t xml:space="preserve"> noted that there should be further careful consideration</w:t>
      </w:r>
      <w:r>
        <w:t xml:space="preserve"> given</w:t>
      </w:r>
      <w:r w:rsidRPr="008A23A4">
        <w:t xml:space="preserve"> to the tikanga and </w:t>
      </w:r>
      <w:proofErr w:type="spellStart"/>
      <w:r w:rsidRPr="008A23A4">
        <w:t>te</w:t>
      </w:r>
      <w:proofErr w:type="spellEnd"/>
      <w:r w:rsidRPr="008A23A4">
        <w:t xml:space="preserve"> </w:t>
      </w:r>
      <w:proofErr w:type="spellStart"/>
      <w:r w:rsidRPr="008A23A4">
        <w:t>ao</w:t>
      </w:r>
      <w:proofErr w:type="spellEnd"/>
      <w:r w:rsidRPr="008A23A4">
        <w:t xml:space="preserve"> Māori implications of posthumous r</w:t>
      </w:r>
      <w:r>
        <w:t>e</w:t>
      </w:r>
      <w:r w:rsidRPr="008A23A4">
        <w:t>trieval of gametes and reproductive tissue in any guidelines issued to ECART.</w:t>
      </w:r>
    </w:p>
    <w:p w14:paraId="5D5A3EEF" w14:textId="77777777" w:rsidR="00E52CAF" w:rsidRPr="00E70487" w:rsidRDefault="00E52CAF" w:rsidP="008F0EE4"/>
    <w:p w14:paraId="6A2D4677" w14:textId="77777777" w:rsidR="00E52CAF" w:rsidRPr="00385C68" w:rsidRDefault="00E52CAF" w:rsidP="008F0EE4">
      <w:pPr>
        <w:pStyle w:val="Heading2"/>
      </w:pPr>
      <w:bookmarkStart w:id="12" w:name="_Toc57205595"/>
      <w:r w:rsidRPr="00385C68">
        <w:t>Who may seek posthumous retrieval</w:t>
      </w:r>
      <w:r>
        <w:t xml:space="preserve"> and use</w:t>
      </w:r>
      <w:r w:rsidRPr="00385C68">
        <w:t>?</w:t>
      </w:r>
      <w:bookmarkEnd w:id="11"/>
      <w:bookmarkEnd w:id="12"/>
    </w:p>
    <w:p w14:paraId="525BE13D" w14:textId="77777777" w:rsidR="003B0A1E" w:rsidRDefault="00E52CAF" w:rsidP="008F0EE4">
      <w:r w:rsidRPr="00BF6D5D">
        <w:t xml:space="preserve">In the stage one consultation, ACART asked submitters who should be permitted to use reproductive material from a deceased </w:t>
      </w:r>
      <w:r w:rsidRPr="003E227B">
        <w:t xml:space="preserve">person. </w:t>
      </w:r>
      <w:r w:rsidRPr="00AF0A2F">
        <w:t xml:space="preserve">ACART </w:t>
      </w:r>
      <w:r>
        <w:t xml:space="preserve">then </w:t>
      </w:r>
      <w:r w:rsidRPr="00AF0A2F">
        <w:t>proposed that</w:t>
      </w:r>
      <w:r w:rsidRPr="003E227B">
        <w:t xml:space="preserve"> the posthumous retrieval of gametes or reproductive tissue can be requested by the person who intends to use the gametes or reproductive tissue to become a parent, and </w:t>
      </w:r>
      <w:r>
        <w:t xml:space="preserve">that </w:t>
      </w:r>
      <w:r w:rsidRPr="003E227B">
        <w:t xml:space="preserve">that person must be the one specified by the deceased person in their consent. This is most likely to be </w:t>
      </w:r>
      <w:r>
        <w:t xml:space="preserve">a </w:t>
      </w:r>
      <w:r w:rsidRPr="003E227B">
        <w:t>surviving partner, but it could be another relative</w:t>
      </w:r>
      <w:r>
        <w:t>;</w:t>
      </w:r>
      <w:r w:rsidRPr="003E227B">
        <w:t xml:space="preserve"> for example, a sister or brother. </w:t>
      </w:r>
    </w:p>
    <w:p w14:paraId="1790D78D" w14:textId="77777777" w:rsidR="003B0A1E" w:rsidRDefault="003B0A1E" w:rsidP="008F0EE4"/>
    <w:p w14:paraId="65F535CB" w14:textId="72EAB0AD" w:rsidR="00C303B7" w:rsidRDefault="00E52CAF" w:rsidP="008F0EE4">
      <w:r>
        <w:t xml:space="preserve">As in the stage one consultation, many </w:t>
      </w:r>
      <w:r w:rsidRPr="006340B4">
        <w:t xml:space="preserve">submitters </w:t>
      </w:r>
      <w:r>
        <w:t>agreed with ACART</w:t>
      </w:r>
      <w:r w:rsidR="00C303B7">
        <w:t>’</w:t>
      </w:r>
      <w:r>
        <w:t>s proposed approach and thought that</w:t>
      </w:r>
      <w:r w:rsidRPr="006340B4">
        <w:t xml:space="preserve"> posthumous reproductive material should </w:t>
      </w:r>
      <w:r w:rsidR="00764EAB">
        <w:t xml:space="preserve">only </w:t>
      </w:r>
      <w:r w:rsidRPr="006340B4">
        <w:t>be able to be used by a family member and/or a partner.</w:t>
      </w:r>
    </w:p>
    <w:p w14:paraId="0B1DA289" w14:textId="77777777" w:rsidR="00E52CAF" w:rsidRPr="00385C68" w:rsidRDefault="00E52CAF" w:rsidP="008F0EE4"/>
    <w:p w14:paraId="0AF129EE" w14:textId="77777777" w:rsidR="00E52CAF" w:rsidRPr="00385C68" w:rsidRDefault="00E52CAF" w:rsidP="008F0EE4">
      <w:pPr>
        <w:pStyle w:val="Heading2"/>
      </w:pPr>
      <w:bookmarkStart w:id="13" w:name="_Toc1652623"/>
      <w:bookmarkStart w:id="14" w:name="_Toc57205596"/>
      <w:r w:rsidRPr="00385C68">
        <w:t>Who should authorise posthumous retrieval?</w:t>
      </w:r>
      <w:bookmarkEnd w:id="13"/>
      <w:bookmarkEnd w:id="14"/>
    </w:p>
    <w:p w14:paraId="60E23FDD" w14:textId="77777777" w:rsidR="00E52CAF" w:rsidRDefault="00E52CAF" w:rsidP="008F0EE4">
      <w:r>
        <w:t xml:space="preserve">In this stage two consultation, </w:t>
      </w:r>
      <w:r w:rsidRPr="00385C68">
        <w:t xml:space="preserve">ACART </w:t>
      </w:r>
      <w:r>
        <w:t xml:space="preserve">proposed that the posthumous </w:t>
      </w:r>
      <w:r w:rsidRPr="00385C68">
        <w:t>retrieval of gametes or reproductive tissue</w:t>
      </w:r>
      <w:r>
        <w:t xml:space="preserve"> could be authorised by the High Court, or by ECART in very rare circumstances</w:t>
      </w:r>
      <w:r w:rsidRPr="00385C68">
        <w:t xml:space="preserve">. </w:t>
      </w:r>
      <w:r w:rsidRPr="00AF0A2F">
        <w:t xml:space="preserve">ACART proposed this because </w:t>
      </w:r>
      <w:r>
        <w:t xml:space="preserve">not specifying this authority </w:t>
      </w:r>
      <w:r w:rsidRPr="00AF0A2F">
        <w:t>might leave a legal gap that ACART has a responsibility to fulfil under the HART Act</w:t>
      </w:r>
      <w:r>
        <w:t>.</w:t>
      </w:r>
    </w:p>
    <w:p w14:paraId="62B8E829" w14:textId="77777777" w:rsidR="00E52CAF" w:rsidRDefault="00E52CAF" w:rsidP="008F0EE4"/>
    <w:p w14:paraId="6AAF55CB" w14:textId="0D589CC0" w:rsidR="00C303B7" w:rsidRDefault="00880B1F" w:rsidP="008F0EE4">
      <w:pPr>
        <w:keepNext/>
        <w:keepLines/>
      </w:pPr>
      <w:r>
        <w:lastRenderedPageBreak/>
        <w:t xml:space="preserve">Two </w:t>
      </w:r>
      <w:r w:rsidR="00E52CAF">
        <w:t>submitter</w:t>
      </w:r>
      <w:r>
        <w:t>s</w:t>
      </w:r>
      <w:r w:rsidR="00E52CAF">
        <w:t xml:space="preserve"> noted that they strongly believed that the HART Act did not include any legal mechanism for ECART to lawfully authorise the posthumous </w:t>
      </w:r>
      <w:r w:rsidR="00E52CAF" w:rsidRPr="00385C68">
        <w:t>retrieval of gametes or reproductive tissue</w:t>
      </w:r>
      <w:r w:rsidR="00E52CAF">
        <w:t>, and that the only avenue for posthumous retrieval should be through the High Court.</w:t>
      </w:r>
    </w:p>
    <w:p w14:paraId="637B31F9" w14:textId="77777777" w:rsidR="00E52CAF" w:rsidRDefault="00E52CAF" w:rsidP="008F0EE4"/>
    <w:p w14:paraId="08390683" w14:textId="77777777" w:rsidR="00E52CAF" w:rsidRDefault="00E52CAF" w:rsidP="008F0EE4">
      <w:pPr>
        <w:pStyle w:val="Heading2"/>
      </w:pPr>
      <w:bookmarkStart w:id="15" w:name="_Toc1652624"/>
      <w:bookmarkStart w:id="16" w:name="_Toc57205597"/>
      <w:r w:rsidRPr="00385C68">
        <w:t>Grief, and a mandatory stand</w:t>
      </w:r>
      <w:r>
        <w:t>-</w:t>
      </w:r>
      <w:r w:rsidRPr="00385C68">
        <w:t>down period</w:t>
      </w:r>
      <w:bookmarkEnd w:id="15"/>
      <w:bookmarkEnd w:id="16"/>
    </w:p>
    <w:p w14:paraId="0EBB7608" w14:textId="6D1F8B92" w:rsidR="00E52CAF" w:rsidRDefault="00E52CAF" w:rsidP="008F0EE4">
      <w:r>
        <w:t>ACART proposed that there is already effectively a stand-down period for posthumous use of gametes if people are undertaking ethical approval for this, and therefore the guidelines did not need to stipulate such a period. Submitters agreed that the guidelines did not need a mandatory stand-down period, and gave reasons for this</w:t>
      </w:r>
      <w:r w:rsidR="00F7259D">
        <w:t xml:space="preserve"> that</w:t>
      </w:r>
      <w:r>
        <w:t xml:space="preserve"> a set stand-down period would be too inflexible; having a set stand-down period does not recognise different people</w:t>
      </w:r>
      <w:r w:rsidR="00C303B7">
        <w:t>’</w:t>
      </w:r>
      <w:r>
        <w:t xml:space="preserve">s situations; and </w:t>
      </w:r>
      <w:r w:rsidR="00C47338">
        <w:t xml:space="preserve">because they </w:t>
      </w:r>
      <w:r>
        <w:t>were confident that clinics were able to support families through the grieving process and manage any complex situations in which people wanted to use the stored gametes soon after their loved one has died.</w:t>
      </w:r>
    </w:p>
    <w:p w14:paraId="48ABCB5A" w14:textId="77777777" w:rsidR="008F0EE4" w:rsidRDefault="008F0EE4" w:rsidP="008F0EE4"/>
    <w:p w14:paraId="01A50940" w14:textId="77777777" w:rsidR="00C303B7" w:rsidRDefault="00E52CAF" w:rsidP="008F0EE4">
      <w:pPr>
        <w:pStyle w:val="Heading2"/>
      </w:pPr>
      <w:bookmarkStart w:id="17" w:name="_Toc1652625"/>
      <w:bookmarkStart w:id="18" w:name="_Toc57205598"/>
      <w:r>
        <w:t>Gametes and tissue should not be able to be retrieved from deceased minors</w:t>
      </w:r>
      <w:bookmarkEnd w:id="17"/>
      <w:bookmarkEnd w:id="18"/>
    </w:p>
    <w:p w14:paraId="33608FA7" w14:textId="77777777" w:rsidR="00E52CAF" w:rsidRDefault="00E52CAF" w:rsidP="008F0EE4">
      <w:r w:rsidRPr="006340B4">
        <w:t>Section 12 of the HART Act places restrictions on obtaining gametes from minors. The Act states that no person may obtain a gamete from an individual under 16 years of age, or use a gamete obtained from an individual under 16, unless they intend to preserve the gamete for th</w:t>
      </w:r>
      <w:r>
        <w:t>at</w:t>
      </w:r>
      <w:r w:rsidRPr="006340B4">
        <w:t xml:space="preserve"> individual</w:t>
      </w:r>
      <w:r w:rsidR="00C303B7">
        <w:t>’</w:t>
      </w:r>
      <w:r w:rsidRPr="006340B4">
        <w:t>s use, or to bring about the birth of a child likely to be brought up by the individual from whom the gamete was obtained.</w:t>
      </w:r>
    </w:p>
    <w:p w14:paraId="1A73C460" w14:textId="77777777" w:rsidR="00E52CAF" w:rsidRDefault="00E52CAF" w:rsidP="008F0EE4"/>
    <w:p w14:paraId="66415986" w14:textId="7C749652" w:rsidR="00C303B7" w:rsidRDefault="00E52CAF" w:rsidP="008F0EE4">
      <w:r>
        <w:t xml:space="preserve">In this stage two consultation, ACART proposed that gametes should not be able to be </w:t>
      </w:r>
      <w:r w:rsidRPr="009B7A07">
        <w:t>retrieved from deceased minors</w:t>
      </w:r>
      <w:r>
        <w:t xml:space="preserve">. Although this question attracted a spectrum of opinions, the majority of submitters agreed that </w:t>
      </w:r>
      <w:r w:rsidR="00A7528F">
        <w:t xml:space="preserve">the </w:t>
      </w:r>
      <w:r>
        <w:t xml:space="preserve">retrieval of gametes from minors after their death </w:t>
      </w:r>
      <w:r w:rsidRPr="00F614AC">
        <w:t>was ethically unacceptable</w:t>
      </w:r>
      <w:r>
        <w:t>. I</w:t>
      </w:r>
      <w:r w:rsidRPr="00F614AC">
        <w:t>nterestingly</w:t>
      </w:r>
      <w:r>
        <w:t>,</w:t>
      </w:r>
      <w:r w:rsidRPr="00F614AC">
        <w:t xml:space="preserve"> some submitters thought </w:t>
      </w:r>
      <w:r>
        <w:t xml:space="preserve">such retrieval </w:t>
      </w:r>
      <w:r w:rsidRPr="00F614AC">
        <w:t xml:space="preserve">should be allowed in the interests of </w:t>
      </w:r>
      <w:r>
        <w:t>ensuring an individual</w:t>
      </w:r>
      <w:r w:rsidR="00C303B7">
        <w:t>’</w:t>
      </w:r>
      <w:r>
        <w:t>s genealogy carries on, if the individual</w:t>
      </w:r>
      <w:r w:rsidR="00C303B7">
        <w:t>’</w:t>
      </w:r>
      <w:r>
        <w:t xml:space="preserve">s family </w:t>
      </w:r>
      <w:proofErr w:type="gramStart"/>
      <w:r>
        <w:t>was in agreement</w:t>
      </w:r>
      <w:proofErr w:type="gramEnd"/>
      <w:r>
        <w:t xml:space="preserve"> that this was important.</w:t>
      </w:r>
    </w:p>
    <w:p w14:paraId="7414462D" w14:textId="77777777" w:rsidR="00E52CAF" w:rsidRPr="001F71BF" w:rsidRDefault="00E52CAF" w:rsidP="008F0EE4"/>
    <w:p w14:paraId="48D5226F" w14:textId="77777777" w:rsidR="00C303B7" w:rsidRDefault="00E52CAF" w:rsidP="008F0EE4">
      <w:pPr>
        <w:pStyle w:val="Heading2"/>
      </w:pPr>
      <w:bookmarkStart w:id="19" w:name="_Toc57205599"/>
      <w:r>
        <w:t>U</w:t>
      </w:r>
      <w:r w:rsidRPr="001F71BF">
        <w:t xml:space="preserve">sing gametes frozen by minors </w:t>
      </w:r>
      <w:r>
        <w:t>(</w:t>
      </w:r>
      <w:r w:rsidRPr="001F71BF">
        <w:t xml:space="preserve">for their </w:t>
      </w:r>
      <w:r>
        <w:t xml:space="preserve">own </w:t>
      </w:r>
      <w:r w:rsidRPr="001F71BF">
        <w:t>fertility preservation</w:t>
      </w:r>
      <w:r>
        <w:t>)</w:t>
      </w:r>
      <w:r w:rsidRPr="001F71BF">
        <w:t xml:space="preserve"> after their death</w:t>
      </w:r>
      <w:bookmarkEnd w:id="19"/>
    </w:p>
    <w:p w14:paraId="3396E05B" w14:textId="77777777" w:rsidR="00C303B7" w:rsidRDefault="00E52CAF" w:rsidP="008F0EE4">
      <w:r w:rsidRPr="00385C68">
        <w:t>Many of the submissions</w:t>
      </w:r>
      <w:r>
        <w:t xml:space="preserve"> on this issue</w:t>
      </w:r>
      <w:r w:rsidRPr="00385C68">
        <w:t xml:space="preserve"> </w:t>
      </w:r>
      <w:r>
        <w:t>appeared to be</w:t>
      </w:r>
      <w:r w:rsidRPr="00385C68">
        <w:t xml:space="preserve"> from parents</w:t>
      </w:r>
      <w:r>
        <w:t xml:space="preserve"> or family</w:t>
      </w:r>
      <w:r w:rsidRPr="00385C68">
        <w:t xml:space="preserve"> of deceased children who had frozen </w:t>
      </w:r>
      <w:r>
        <w:t xml:space="preserve">gametes when they were under the age of 16 </w:t>
      </w:r>
      <w:r w:rsidRPr="00385C68">
        <w:t>for the purposes of fertility preservation prior to undergoing medical treatment</w:t>
      </w:r>
      <w:r>
        <w:t>. Many of these</w:t>
      </w:r>
      <w:r w:rsidRPr="00385C68">
        <w:t xml:space="preserve"> submitters </w:t>
      </w:r>
      <w:r>
        <w:t xml:space="preserve">strongly believed that they (as </w:t>
      </w:r>
      <w:r w:rsidRPr="0081041B">
        <w:t xml:space="preserve">the </w:t>
      </w:r>
      <w:proofErr w:type="spellStart"/>
      <w:r w:rsidRPr="0081041B">
        <w:t>whānau</w:t>
      </w:r>
      <w:proofErr w:type="spellEnd"/>
      <w:r w:rsidRPr="0081041B">
        <w:t xml:space="preserve"> of</w:t>
      </w:r>
      <w:r>
        <w:t xml:space="preserve"> the deceased individuals concerned) should have the authority to authorise the use of that frozen material, even in situations where there was not consent to specific use.</w:t>
      </w:r>
    </w:p>
    <w:p w14:paraId="3E29C957" w14:textId="77777777" w:rsidR="00E52CAF" w:rsidRDefault="00E52CAF" w:rsidP="008F0EE4"/>
    <w:p w14:paraId="641DF6FB" w14:textId="6DE6FFBA" w:rsidR="00C303B7" w:rsidRDefault="00E52CAF" w:rsidP="008F0EE4">
      <w:r>
        <w:lastRenderedPageBreak/>
        <w:t xml:space="preserve">Similarly, </w:t>
      </w:r>
      <w:r w:rsidR="0094316B">
        <w:t xml:space="preserve">ACART heard from </w:t>
      </w:r>
      <w:r w:rsidRPr="00614B5F">
        <w:t xml:space="preserve">families of </w:t>
      </w:r>
      <w:r w:rsidR="0094316B">
        <w:t>loved ones who had died, who</w:t>
      </w:r>
      <w:r>
        <w:t xml:space="preserve"> firmly believed</w:t>
      </w:r>
      <w:r w:rsidRPr="00614B5F">
        <w:t xml:space="preserve"> that </w:t>
      </w:r>
      <w:r>
        <w:t>where a person</w:t>
      </w:r>
      <w:r w:rsidRPr="00614B5F">
        <w:t xml:space="preserve"> </w:t>
      </w:r>
      <w:r>
        <w:t xml:space="preserve">had made </w:t>
      </w:r>
      <w:r w:rsidRPr="00614B5F">
        <w:t>the decision to preserve their fertility or store gametes</w:t>
      </w:r>
      <w:r>
        <w:t xml:space="preserve"> prior to their death,</w:t>
      </w:r>
      <w:r w:rsidRPr="00614B5F">
        <w:t xml:space="preserve"> </w:t>
      </w:r>
      <w:r>
        <w:t xml:space="preserve">it could be understood that </w:t>
      </w:r>
      <w:r w:rsidRPr="00614B5F">
        <w:t xml:space="preserve">the deceased </w:t>
      </w:r>
      <w:r>
        <w:t xml:space="preserve">person </w:t>
      </w:r>
      <w:r w:rsidRPr="00614B5F">
        <w:t xml:space="preserve">would have wanted others to use </w:t>
      </w:r>
      <w:r>
        <w:t>those gametes</w:t>
      </w:r>
      <w:r w:rsidRPr="00614B5F">
        <w:t>.</w:t>
      </w:r>
    </w:p>
    <w:p w14:paraId="6C98D5FF" w14:textId="77777777" w:rsidR="00E52CAF" w:rsidRDefault="00E52CAF" w:rsidP="008F0EE4"/>
    <w:p w14:paraId="3E56772C" w14:textId="56162C5A" w:rsidR="00E52CAF" w:rsidRDefault="00E52CAF" w:rsidP="008F0EE4">
      <w:r>
        <w:t>Additionally, some submitters argued that i</w:t>
      </w:r>
      <w:r w:rsidRPr="006340B4">
        <w:t xml:space="preserve">f </w:t>
      </w:r>
      <w:r>
        <w:t>a</w:t>
      </w:r>
      <w:r w:rsidRPr="006340B4">
        <w:t xml:space="preserve"> minor had given </w:t>
      </w:r>
      <w:r w:rsidR="004347EF">
        <w:t xml:space="preserve">their </w:t>
      </w:r>
      <w:r w:rsidRPr="006340B4">
        <w:t>competent consent to specific uses of the</w:t>
      </w:r>
      <w:r>
        <w:t>ir</w:t>
      </w:r>
      <w:r w:rsidRPr="006340B4">
        <w:t xml:space="preserve"> gametes before their death, this should be honoured</w:t>
      </w:r>
      <w:r>
        <w:t>, even if the person was under 16 at the time the gametes were frozen</w:t>
      </w:r>
      <w:r w:rsidRPr="006340B4">
        <w:t>.</w:t>
      </w:r>
    </w:p>
    <w:p w14:paraId="16269D3E" w14:textId="77777777" w:rsidR="00E52CAF" w:rsidRPr="006340B4" w:rsidRDefault="00E52CAF" w:rsidP="008F0EE4"/>
    <w:p w14:paraId="626B0739" w14:textId="5591233E" w:rsidR="00C303B7" w:rsidRDefault="00E52CAF" w:rsidP="008F0EE4">
      <w:r>
        <w:t>A number of submitters included their thoughts on people</w:t>
      </w:r>
      <w:r w:rsidR="00C303B7">
        <w:t>’</w:t>
      </w:r>
      <w:r>
        <w:t xml:space="preserve">s competence to make medical decisions and seek sexual health services under the age of 16, and argued that </w:t>
      </w:r>
      <w:r w:rsidR="004347EF">
        <w:t xml:space="preserve">aged </w:t>
      </w:r>
      <w:r>
        <w:t>16 is an arbitrary number for legal purposes that does not take into account people</w:t>
      </w:r>
      <w:r w:rsidR="00C303B7">
        <w:t>’</w:t>
      </w:r>
      <w:r>
        <w:t>s maturity, life experience or competence when expressing their wishes for their gametes.</w:t>
      </w:r>
    </w:p>
    <w:p w14:paraId="3F00FC49" w14:textId="77777777" w:rsidR="00E52CAF" w:rsidRDefault="00E52CAF" w:rsidP="008F0EE4"/>
    <w:p w14:paraId="23DB498C" w14:textId="74EF898E" w:rsidR="00E52CAF" w:rsidRDefault="00E52CAF" w:rsidP="008F0EE4">
      <w:r>
        <w:t xml:space="preserve">Alternatively, ECART and fertility </w:t>
      </w:r>
      <w:r w:rsidR="00AE08C5">
        <w:t xml:space="preserve">providers </w:t>
      </w:r>
      <w:r>
        <w:t xml:space="preserve">strongly </w:t>
      </w:r>
      <w:r w:rsidRPr="006340B4">
        <w:t>believed that minors should be protected from having their gametes retrieved posthumously</w:t>
      </w:r>
      <w:r>
        <w:t xml:space="preserve"> and used by others,</w:t>
      </w:r>
      <w:r w:rsidRPr="006340B4">
        <w:t xml:space="preserve"> and that this should still be </w:t>
      </w:r>
      <w:r>
        <w:t xml:space="preserve">prohibited even in </w:t>
      </w:r>
      <w:r w:rsidRPr="006340B4">
        <w:t xml:space="preserve">the case </w:t>
      </w:r>
      <w:r>
        <w:t>of</w:t>
      </w:r>
      <w:r w:rsidRPr="006340B4">
        <w:t xml:space="preserve"> minors judged to be </w:t>
      </w:r>
      <w:r w:rsidR="00C303B7">
        <w:t>‘</w:t>
      </w:r>
      <w:r w:rsidRPr="006340B4">
        <w:t>mature</w:t>
      </w:r>
      <w:r w:rsidR="00C303B7">
        <w:t>’</w:t>
      </w:r>
      <w:r w:rsidRPr="006340B4">
        <w:t>.</w:t>
      </w:r>
    </w:p>
    <w:p w14:paraId="2EA14F36" w14:textId="77777777" w:rsidR="008F0EE4" w:rsidRPr="00756712" w:rsidRDefault="008F0EE4" w:rsidP="008F0EE4"/>
    <w:p w14:paraId="7D688BCD" w14:textId="77777777" w:rsidR="00C303B7" w:rsidRDefault="00E52CAF" w:rsidP="008F0EE4">
      <w:pPr>
        <w:pStyle w:val="Heading2"/>
      </w:pPr>
      <w:bookmarkStart w:id="20" w:name="_Toc1652627"/>
      <w:bookmarkStart w:id="21" w:name="_Toc57205600"/>
      <w:r>
        <w:t>Collective versus individual decision making</w:t>
      </w:r>
      <w:bookmarkEnd w:id="20"/>
      <w:bookmarkEnd w:id="21"/>
    </w:p>
    <w:p w14:paraId="2EC838BA" w14:textId="77777777" w:rsidR="00C303B7" w:rsidRDefault="00E52CAF" w:rsidP="008F0EE4">
      <w:r w:rsidRPr="00385C68">
        <w:t>Some submitters noted that</w:t>
      </w:r>
      <w:r>
        <w:t xml:space="preserve"> c</w:t>
      </w:r>
      <w:r w:rsidRPr="00385C68">
        <w:t xml:space="preserve">hoices, decisions and rights for Māori </w:t>
      </w:r>
      <w:r>
        <w:t xml:space="preserve">(and in other cultures and families) </w:t>
      </w:r>
      <w:r w:rsidRPr="00385C68">
        <w:t xml:space="preserve">do not </w:t>
      </w:r>
      <w:r>
        <w:t xml:space="preserve">necessarily </w:t>
      </w:r>
      <w:r w:rsidRPr="00385C68">
        <w:t xml:space="preserve">operate in an individualistic paradigm, but </w:t>
      </w:r>
      <w:r>
        <w:t xml:space="preserve">in </w:t>
      </w:r>
      <w:r w:rsidRPr="00385C68">
        <w:t xml:space="preserve">one that involves recognition of </w:t>
      </w:r>
      <w:proofErr w:type="spellStart"/>
      <w:r w:rsidRPr="00385C68">
        <w:t>whānau</w:t>
      </w:r>
      <w:proofErr w:type="spellEnd"/>
      <w:r w:rsidRPr="00385C68">
        <w:t xml:space="preserve">, </w:t>
      </w:r>
      <w:proofErr w:type="spellStart"/>
      <w:r w:rsidRPr="00385C68">
        <w:t>hapū</w:t>
      </w:r>
      <w:proofErr w:type="spellEnd"/>
      <w:r w:rsidRPr="00385C68">
        <w:t xml:space="preserve"> and iwi relationships and potential impacts on those, including on the whakapapa line (ancestors to descendants).</w:t>
      </w:r>
      <w:r>
        <w:t xml:space="preserve"> Along this line of reasoning, a number of submitters talked about the importance of the support of </w:t>
      </w:r>
      <w:proofErr w:type="spellStart"/>
      <w:r>
        <w:t>wh</w:t>
      </w:r>
      <w:r w:rsidRPr="00385C68">
        <w:t>ā</w:t>
      </w:r>
      <w:r>
        <w:t>nau</w:t>
      </w:r>
      <w:proofErr w:type="spellEnd"/>
      <w:r>
        <w:t xml:space="preserve"> in using gametes posthumously and in carrying out the wishes of an individual following their death.</w:t>
      </w:r>
    </w:p>
    <w:p w14:paraId="5234F7C8" w14:textId="77777777" w:rsidR="004A744F" w:rsidRDefault="004A744F" w:rsidP="008F0EE4"/>
    <w:p w14:paraId="5512A70B" w14:textId="77777777" w:rsidR="00461C31" w:rsidRPr="00155578" w:rsidRDefault="00461C31" w:rsidP="008F0EE4"/>
    <w:p w14:paraId="479F46B5" w14:textId="77777777" w:rsidR="00440DC2" w:rsidRPr="00155578" w:rsidRDefault="00440DC2" w:rsidP="001E4A64">
      <w:pPr>
        <w:pStyle w:val="Heading1"/>
        <w:sectPr w:rsidR="00440DC2" w:rsidRPr="00155578" w:rsidSect="00440DC2">
          <w:headerReference w:type="default" r:id="rId30"/>
          <w:footerReference w:type="even" r:id="rId31"/>
          <w:footerReference w:type="default" r:id="rId32"/>
          <w:headerReference w:type="first" r:id="rId33"/>
          <w:footerReference w:type="first" r:id="rId34"/>
          <w:pgSz w:w="11907" w:h="16834" w:code="9"/>
          <w:pgMar w:top="1701" w:right="1418" w:bottom="1701" w:left="1701" w:header="0" w:footer="425" w:gutter="0"/>
          <w:cols w:space="720"/>
          <w:titlePg/>
        </w:sectPr>
      </w:pPr>
      <w:bookmarkStart w:id="22" w:name="_Toc489257953"/>
    </w:p>
    <w:p w14:paraId="4468754E" w14:textId="77777777" w:rsidR="004A744F" w:rsidRPr="00155578" w:rsidRDefault="00E52CAF" w:rsidP="004E3B58">
      <w:pPr>
        <w:pStyle w:val="Heading1"/>
      </w:pPr>
      <w:bookmarkStart w:id="23" w:name="_Ref491763662"/>
      <w:bookmarkStart w:id="24" w:name="_Ref491763663"/>
      <w:bookmarkStart w:id="25" w:name="_Toc57205601"/>
      <w:r>
        <w:lastRenderedPageBreak/>
        <w:t>Submissions analysis</w:t>
      </w:r>
      <w:bookmarkEnd w:id="22"/>
      <w:bookmarkEnd w:id="23"/>
      <w:bookmarkEnd w:id="24"/>
      <w:r>
        <w:rPr>
          <w:rStyle w:val="FootnoteReference"/>
        </w:rPr>
        <w:footnoteReference w:id="1"/>
      </w:r>
      <w:bookmarkEnd w:id="25"/>
    </w:p>
    <w:p w14:paraId="76690C39" w14:textId="77777777" w:rsidR="00E52CAF" w:rsidRDefault="00E52CAF" w:rsidP="004E3B58">
      <w:bookmarkStart w:id="26" w:name="_Toc489257954"/>
      <w:bookmarkStart w:id="27" w:name="_Toc1652645"/>
      <w:bookmarkStart w:id="28" w:name="_Toc489257955"/>
      <w:bookmarkEnd w:id="26"/>
      <w:r w:rsidRPr="00754C56">
        <w:t>This section provides analysis of submissions on the stage two consultation, set out according to the sections in the proposed guidelines (A–K) and their associated questions</w:t>
      </w:r>
      <w:r>
        <w:t>.</w:t>
      </w:r>
    </w:p>
    <w:p w14:paraId="3706CD36" w14:textId="77777777" w:rsidR="00E52CAF" w:rsidRDefault="00E52CAF" w:rsidP="004E3B58">
      <w:pPr>
        <w:rPr>
          <w:noProof/>
        </w:rPr>
      </w:pPr>
    </w:p>
    <w:p w14:paraId="1AFB56AD" w14:textId="77777777" w:rsidR="00E52CAF" w:rsidRPr="001D6D23" w:rsidRDefault="00E52CAF" w:rsidP="00B25B12">
      <w:pPr>
        <w:pStyle w:val="Heading2"/>
        <w:numPr>
          <w:ilvl w:val="0"/>
          <w:numId w:val="38"/>
        </w:numPr>
        <w:rPr>
          <w:rStyle w:val="Heading2Char"/>
        </w:rPr>
      </w:pPr>
      <w:bookmarkStart w:id="29" w:name="_Toc57205602"/>
      <w:r>
        <w:rPr>
          <w:noProof/>
        </w:rPr>
        <w:t>All posthumous use should be subject to ECART review</w:t>
      </w:r>
      <w:bookmarkEnd w:id="29"/>
    </w:p>
    <w:p w14:paraId="3738FE52" w14:textId="77777777" w:rsidR="00E52CAF" w:rsidRPr="004C59B6" w:rsidRDefault="00E52CAF" w:rsidP="004E3B58">
      <w:pPr>
        <w:pStyle w:val="Heading3"/>
      </w:pPr>
      <w:r w:rsidRPr="004C59B6">
        <w:t>Question 1</w:t>
      </w:r>
    </w:p>
    <w:bookmarkEnd w:id="27"/>
    <w:p w14:paraId="2081509B" w14:textId="77777777" w:rsidR="00E52CAF" w:rsidRDefault="00E52CAF" w:rsidP="004E3B58">
      <w:pPr>
        <w:pStyle w:val="Box"/>
      </w:pPr>
      <w:r w:rsidRPr="004C59B6">
        <w:t>Should ethical review by ECART be required for all posthumous uses of gametes or reproductive tissue, even if consent to specific use was given while the deceased person was alive?</w:t>
      </w:r>
      <w:bookmarkStart w:id="30" w:name="_GoBack"/>
      <w:bookmarkEnd w:id="30"/>
    </w:p>
    <w:p w14:paraId="1BFE025C" w14:textId="77777777" w:rsidR="00E52CAF" w:rsidRDefault="00E52CAF" w:rsidP="004E3B58"/>
    <w:p w14:paraId="7AAD31CD" w14:textId="77777777" w:rsidR="00E52CAF" w:rsidRDefault="00E52CAF" w:rsidP="004E3B58">
      <w:r>
        <w:t>There were 34 responses to this question.</w:t>
      </w:r>
    </w:p>
    <w:p w14:paraId="615C7005" w14:textId="77777777" w:rsidR="00E52CAF" w:rsidRDefault="00E52CAF" w:rsidP="004E3B5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E52CAF" w:rsidRPr="004E3B58" w14:paraId="25CB8AB4" w14:textId="77777777" w:rsidTr="004E3B58">
        <w:trPr>
          <w:cantSplit/>
        </w:trPr>
        <w:tc>
          <w:tcPr>
            <w:tcW w:w="1843" w:type="dxa"/>
            <w:tcBorders>
              <w:top w:val="single" w:sz="4" w:space="0" w:color="auto"/>
              <w:bottom w:val="single" w:sz="4" w:space="0" w:color="auto"/>
            </w:tcBorders>
          </w:tcPr>
          <w:p w14:paraId="3242550C" w14:textId="77777777" w:rsidR="00E52CAF" w:rsidRPr="004E3B58" w:rsidRDefault="00E52CAF" w:rsidP="004E3B58">
            <w:pPr>
              <w:pStyle w:val="TableText"/>
              <w:rPr>
                <w:b/>
              </w:rPr>
            </w:pPr>
            <w:r w:rsidRPr="004E3B58">
              <w:rPr>
                <w:b/>
              </w:rPr>
              <w:t>Option</w:t>
            </w:r>
          </w:p>
        </w:tc>
        <w:tc>
          <w:tcPr>
            <w:tcW w:w="1134" w:type="dxa"/>
            <w:tcBorders>
              <w:top w:val="single" w:sz="4" w:space="0" w:color="auto"/>
              <w:bottom w:val="single" w:sz="4" w:space="0" w:color="auto"/>
            </w:tcBorders>
          </w:tcPr>
          <w:p w14:paraId="35C5700C" w14:textId="77777777" w:rsidR="00E52CAF" w:rsidRPr="004E3B58" w:rsidRDefault="00E52CAF" w:rsidP="004E3B58">
            <w:pPr>
              <w:pStyle w:val="TableText"/>
              <w:jc w:val="right"/>
              <w:rPr>
                <w:b/>
              </w:rPr>
            </w:pPr>
            <w:r w:rsidRPr="004E3B58">
              <w:rPr>
                <w:b/>
              </w:rPr>
              <w:t>Total</w:t>
            </w:r>
          </w:p>
        </w:tc>
        <w:tc>
          <w:tcPr>
            <w:tcW w:w="1134" w:type="dxa"/>
            <w:tcBorders>
              <w:top w:val="single" w:sz="4" w:space="0" w:color="auto"/>
              <w:bottom w:val="single" w:sz="4" w:space="0" w:color="auto"/>
            </w:tcBorders>
          </w:tcPr>
          <w:p w14:paraId="72684928" w14:textId="77777777" w:rsidR="00E52CAF" w:rsidRPr="004E3B58" w:rsidRDefault="00E52CAF" w:rsidP="004E3B58">
            <w:pPr>
              <w:pStyle w:val="TableText"/>
              <w:jc w:val="right"/>
              <w:rPr>
                <w:b/>
              </w:rPr>
            </w:pPr>
            <w:r w:rsidRPr="004E3B58">
              <w:rPr>
                <w:b/>
              </w:rPr>
              <w:t>Percent</w:t>
            </w:r>
          </w:p>
        </w:tc>
      </w:tr>
      <w:tr w:rsidR="00E52CAF" w14:paraId="3B69BC80" w14:textId="77777777" w:rsidTr="004E3B58">
        <w:trPr>
          <w:cantSplit/>
        </w:trPr>
        <w:tc>
          <w:tcPr>
            <w:tcW w:w="1843" w:type="dxa"/>
            <w:tcBorders>
              <w:top w:val="single" w:sz="4" w:space="0" w:color="auto"/>
            </w:tcBorders>
          </w:tcPr>
          <w:p w14:paraId="0C94E8F2" w14:textId="77777777" w:rsidR="00E52CAF" w:rsidRDefault="00E52CAF" w:rsidP="004E3B58">
            <w:pPr>
              <w:pStyle w:val="TableText"/>
            </w:pPr>
            <w:r>
              <w:t>Yes</w:t>
            </w:r>
          </w:p>
        </w:tc>
        <w:tc>
          <w:tcPr>
            <w:tcW w:w="1134" w:type="dxa"/>
            <w:tcBorders>
              <w:top w:val="single" w:sz="4" w:space="0" w:color="auto"/>
            </w:tcBorders>
          </w:tcPr>
          <w:p w14:paraId="47B93F51" w14:textId="77777777" w:rsidR="00E52CAF" w:rsidRDefault="00E52CAF" w:rsidP="004E3B58">
            <w:pPr>
              <w:pStyle w:val="TableText"/>
              <w:jc w:val="right"/>
            </w:pPr>
            <w:r>
              <w:t>15</w:t>
            </w:r>
          </w:p>
        </w:tc>
        <w:tc>
          <w:tcPr>
            <w:tcW w:w="1134" w:type="dxa"/>
            <w:tcBorders>
              <w:top w:val="single" w:sz="4" w:space="0" w:color="auto"/>
            </w:tcBorders>
          </w:tcPr>
          <w:p w14:paraId="28BED122" w14:textId="77777777" w:rsidR="00E52CAF" w:rsidRDefault="00E52CAF" w:rsidP="004E3B58">
            <w:pPr>
              <w:pStyle w:val="TableText"/>
              <w:jc w:val="right"/>
            </w:pPr>
            <w:r>
              <w:t>42.86%</w:t>
            </w:r>
          </w:p>
        </w:tc>
      </w:tr>
      <w:tr w:rsidR="00E52CAF" w14:paraId="544AB8DB" w14:textId="77777777" w:rsidTr="004E3B58">
        <w:trPr>
          <w:cantSplit/>
        </w:trPr>
        <w:tc>
          <w:tcPr>
            <w:tcW w:w="1843" w:type="dxa"/>
          </w:tcPr>
          <w:p w14:paraId="62714859" w14:textId="77777777" w:rsidR="00E52CAF" w:rsidRDefault="00E52CAF" w:rsidP="004E3B58">
            <w:pPr>
              <w:pStyle w:val="TableText"/>
            </w:pPr>
            <w:r>
              <w:t>No</w:t>
            </w:r>
          </w:p>
        </w:tc>
        <w:tc>
          <w:tcPr>
            <w:tcW w:w="1134" w:type="dxa"/>
          </w:tcPr>
          <w:p w14:paraId="2EF173F9" w14:textId="77777777" w:rsidR="00E52CAF" w:rsidRDefault="00E52CAF" w:rsidP="004E3B58">
            <w:pPr>
              <w:pStyle w:val="TableText"/>
              <w:jc w:val="right"/>
            </w:pPr>
            <w:r>
              <w:t>19</w:t>
            </w:r>
          </w:p>
        </w:tc>
        <w:tc>
          <w:tcPr>
            <w:tcW w:w="1134" w:type="dxa"/>
          </w:tcPr>
          <w:p w14:paraId="7FFAD1AC" w14:textId="77777777" w:rsidR="00E52CAF" w:rsidRDefault="00E52CAF" w:rsidP="004E3B58">
            <w:pPr>
              <w:pStyle w:val="TableText"/>
              <w:jc w:val="right"/>
            </w:pPr>
            <w:r>
              <w:t>54.29%</w:t>
            </w:r>
          </w:p>
        </w:tc>
      </w:tr>
      <w:tr w:rsidR="00E52CAF" w14:paraId="16F6DDD9" w14:textId="77777777" w:rsidTr="004E3B58">
        <w:trPr>
          <w:cantSplit/>
        </w:trPr>
        <w:tc>
          <w:tcPr>
            <w:tcW w:w="1843" w:type="dxa"/>
          </w:tcPr>
          <w:p w14:paraId="51A28FAF" w14:textId="77777777" w:rsidR="00E52CAF" w:rsidRDefault="00E52CAF" w:rsidP="00710B30">
            <w:pPr>
              <w:pStyle w:val="TableText"/>
            </w:pPr>
            <w:r>
              <w:t xml:space="preserve">Not </w:t>
            </w:r>
            <w:r w:rsidR="00710B30">
              <w:t>a</w:t>
            </w:r>
            <w:r>
              <w:t>nswered</w:t>
            </w:r>
          </w:p>
        </w:tc>
        <w:tc>
          <w:tcPr>
            <w:tcW w:w="1134" w:type="dxa"/>
          </w:tcPr>
          <w:p w14:paraId="646F1C84" w14:textId="77777777" w:rsidR="00E52CAF" w:rsidRDefault="00E52CAF" w:rsidP="004E3B58">
            <w:pPr>
              <w:pStyle w:val="TableText"/>
              <w:jc w:val="right"/>
            </w:pPr>
            <w:r>
              <w:t>1</w:t>
            </w:r>
          </w:p>
        </w:tc>
        <w:tc>
          <w:tcPr>
            <w:tcW w:w="1134" w:type="dxa"/>
          </w:tcPr>
          <w:p w14:paraId="15A5DC08" w14:textId="77777777" w:rsidR="00E52CAF" w:rsidRDefault="00E52CAF" w:rsidP="004E3B58">
            <w:pPr>
              <w:pStyle w:val="TableText"/>
              <w:jc w:val="right"/>
            </w:pPr>
            <w:r>
              <w:t>2.86%</w:t>
            </w:r>
          </w:p>
        </w:tc>
      </w:tr>
    </w:tbl>
    <w:p w14:paraId="17A9977D" w14:textId="77777777" w:rsidR="00E52CAF" w:rsidRDefault="00E52CAF" w:rsidP="00710B30"/>
    <w:p w14:paraId="60255F17" w14:textId="62ED89BD" w:rsidR="00C303B7" w:rsidRDefault="00E26F82" w:rsidP="00710B30">
      <w:r>
        <w:t>The</w:t>
      </w:r>
      <w:r w:rsidR="00E52CAF">
        <w:t xml:space="preserve"> majority of submitters and fertility providers thought that ECART review should </w:t>
      </w:r>
      <w:r w:rsidR="00E52CAF" w:rsidRPr="00C436D3">
        <w:rPr>
          <w:b/>
        </w:rPr>
        <w:t xml:space="preserve">not </w:t>
      </w:r>
      <w:r w:rsidR="00E52CAF">
        <w:t>be required for all posthumous uses of gametes or reproductive tissue.</w:t>
      </w:r>
    </w:p>
    <w:p w14:paraId="14BDD68A" w14:textId="77777777" w:rsidR="00E52CAF" w:rsidRDefault="00E52CAF" w:rsidP="00710B30"/>
    <w:p w14:paraId="51DC3629" w14:textId="0523C927" w:rsidR="00E52CAF" w:rsidRDefault="00E52CAF" w:rsidP="00710B30">
      <w:r>
        <w:t>Two submitters thought that in cases where people have given consent to the posthumous use of their gametes when they are not imminently dying, ethical review for the use should be required due to the change of circumstances (which might affect the validity of that person</w:t>
      </w:r>
      <w:r w:rsidR="00C303B7">
        <w:t>’</w:t>
      </w:r>
      <w:r>
        <w:t>s consent) that could have occurred in the intervening period.</w:t>
      </w:r>
    </w:p>
    <w:p w14:paraId="0816AE6C" w14:textId="77777777" w:rsidR="00E52CAF" w:rsidRDefault="00E52CAF" w:rsidP="00710B30"/>
    <w:p w14:paraId="692E0B72" w14:textId="7C7BB5B0" w:rsidR="00E52CAF" w:rsidRDefault="00E52CAF" w:rsidP="00710B30">
      <w:r>
        <w:t>Some submitters thought that ethical review should not be required because the use of gametes is a personal</w:t>
      </w:r>
      <w:r w:rsidR="00965B51">
        <w:t xml:space="preserve"> or </w:t>
      </w:r>
      <w:r>
        <w:t>family matter and not something that requires review by an external body.</w:t>
      </w:r>
    </w:p>
    <w:p w14:paraId="267A06AE" w14:textId="77777777" w:rsidR="00E52CAF" w:rsidRDefault="00E52CAF" w:rsidP="00710B30"/>
    <w:p w14:paraId="325F1B20" w14:textId="56637702" w:rsidR="00C303B7" w:rsidRDefault="00E52CAF" w:rsidP="00710B30">
      <w:pPr>
        <w:keepNext/>
        <w:keepLines/>
      </w:pPr>
      <w:r>
        <w:lastRenderedPageBreak/>
        <w:t>Some submitters also argued that ethical review by ECART would be an unfair and unjustifiable emotional and financial burden in cases where consent had been given to the use of gametes stored while the individual was alive. A few fertility providers</w:t>
      </w:r>
      <w:r w:rsidR="00965B51">
        <w:t xml:space="preserve"> and experts</w:t>
      </w:r>
      <w:r>
        <w:t xml:space="preserve"> thought that there would be nothing more to gain by requiring ethical review in the case of those people who had already undergone a robust consent process at the time of consent and where written consent had been provided before death.</w:t>
      </w:r>
    </w:p>
    <w:p w14:paraId="05A07345" w14:textId="77777777" w:rsidR="00E52CAF" w:rsidRDefault="00E52CAF" w:rsidP="00710B30"/>
    <w:p w14:paraId="7772CCF8" w14:textId="289EE48C" w:rsidR="00C303B7" w:rsidRDefault="00E52CAF" w:rsidP="00710B30">
      <w:r>
        <w:t>Some submitters agreed with ACART</w:t>
      </w:r>
      <w:r w:rsidR="00C303B7">
        <w:t>’</w:t>
      </w:r>
      <w:r>
        <w:t xml:space="preserve">s rationale for ethical review of all posthumous use: that posthumous use is an ethically complex procedure. One submitter thought that ethical review by ECART would be a valuable safeguard to check no coercion had been </w:t>
      </w:r>
      <w:proofErr w:type="gramStart"/>
      <w:r>
        <w:t>involved, and</w:t>
      </w:r>
      <w:proofErr w:type="gramEnd"/>
      <w:r>
        <w:t xml:space="preserve"> would give all parties involved the option for counselling. One submitter</w:t>
      </w:r>
      <w:r w:rsidR="00965B51">
        <w:t xml:space="preserve"> and two fertility providers </w:t>
      </w:r>
      <w:r>
        <w:t xml:space="preserve">noted that fertility provider counsellors are qualified to decide when a case should be referred to ECART, but that, otherwise, </w:t>
      </w:r>
      <w:r w:rsidR="00965B51">
        <w:t xml:space="preserve">the </w:t>
      </w:r>
      <w:r>
        <w:t xml:space="preserve">posthumous use </w:t>
      </w:r>
      <w:r w:rsidR="00965B51">
        <w:t xml:space="preserve">of </w:t>
      </w:r>
      <w:r>
        <w:t xml:space="preserve">material </w:t>
      </w:r>
      <w:r w:rsidR="00965B51">
        <w:t xml:space="preserve">that </w:t>
      </w:r>
      <w:r>
        <w:t>has been stored during an individual</w:t>
      </w:r>
      <w:r w:rsidR="00C303B7">
        <w:t>’</w:t>
      </w:r>
      <w:r>
        <w:t>s life should be classed as an established procedure.</w:t>
      </w:r>
    </w:p>
    <w:p w14:paraId="0A2E3B0F" w14:textId="77777777" w:rsidR="00710B30" w:rsidRDefault="00710B30" w:rsidP="00710B30"/>
    <w:p w14:paraId="2A9C76C2" w14:textId="77777777" w:rsidR="00E52CAF" w:rsidRPr="004C59B6" w:rsidRDefault="00E52CAF" w:rsidP="00710B30">
      <w:pPr>
        <w:pStyle w:val="Heading3"/>
      </w:pPr>
      <w:r w:rsidRPr="004C59B6">
        <w:t xml:space="preserve">Question </w:t>
      </w:r>
      <w:r>
        <w:t>2</w:t>
      </w:r>
    </w:p>
    <w:p w14:paraId="4F84AED1" w14:textId="77777777" w:rsidR="00E52CAF" w:rsidRDefault="00E52CAF" w:rsidP="00710B30">
      <w:pPr>
        <w:pStyle w:val="Box"/>
      </w:pPr>
      <w:r w:rsidRPr="004C59B6">
        <w:t>Should ethical review by ECART always be required for the posthumous use of stored embryos, even if consent to specific use was given while the deceased person was alive?</w:t>
      </w:r>
    </w:p>
    <w:p w14:paraId="30336690" w14:textId="77777777" w:rsidR="00E52CAF" w:rsidRDefault="00E52CAF" w:rsidP="00710B30"/>
    <w:p w14:paraId="3EF26599" w14:textId="77777777" w:rsidR="00E52CAF" w:rsidRDefault="00E52CAF" w:rsidP="00710B30">
      <w:r>
        <w:t>There were 34 responses to this question.</w:t>
      </w:r>
    </w:p>
    <w:p w14:paraId="74307CC4" w14:textId="77777777" w:rsidR="00E52CAF" w:rsidRDefault="00E52CAF" w:rsidP="00710B30"/>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604AF546" w14:textId="77777777" w:rsidTr="00295848">
        <w:trPr>
          <w:cantSplit/>
        </w:trPr>
        <w:tc>
          <w:tcPr>
            <w:tcW w:w="1843" w:type="dxa"/>
            <w:tcBorders>
              <w:top w:val="single" w:sz="4" w:space="0" w:color="auto"/>
              <w:bottom w:val="single" w:sz="4" w:space="0" w:color="auto"/>
            </w:tcBorders>
          </w:tcPr>
          <w:p w14:paraId="032F5169"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4952D354"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0982217A" w14:textId="77777777" w:rsidR="00710B30" w:rsidRPr="004E3B58" w:rsidRDefault="00710B30" w:rsidP="00295848">
            <w:pPr>
              <w:pStyle w:val="TableText"/>
              <w:jc w:val="right"/>
              <w:rPr>
                <w:b/>
              </w:rPr>
            </w:pPr>
            <w:r w:rsidRPr="004E3B58">
              <w:rPr>
                <w:b/>
              </w:rPr>
              <w:t>Percent</w:t>
            </w:r>
          </w:p>
        </w:tc>
      </w:tr>
      <w:tr w:rsidR="00710B30" w14:paraId="4F9BF6E7" w14:textId="77777777" w:rsidTr="00295848">
        <w:trPr>
          <w:cantSplit/>
        </w:trPr>
        <w:tc>
          <w:tcPr>
            <w:tcW w:w="1843" w:type="dxa"/>
            <w:tcBorders>
              <w:top w:val="single" w:sz="4" w:space="0" w:color="auto"/>
            </w:tcBorders>
          </w:tcPr>
          <w:p w14:paraId="36B061DC" w14:textId="77777777" w:rsidR="00710B30" w:rsidRDefault="00710B30" w:rsidP="00295848">
            <w:pPr>
              <w:pStyle w:val="TableText"/>
            </w:pPr>
            <w:r>
              <w:t>Yes</w:t>
            </w:r>
          </w:p>
        </w:tc>
        <w:tc>
          <w:tcPr>
            <w:tcW w:w="1134" w:type="dxa"/>
            <w:tcBorders>
              <w:top w:val="single" w:sz="4" w:space="0" w:color="auto"/>
            </w:tcBorders>
          </w:tcPr>
          <w:p w14:paraId="27A71030" w14:textId="77777777" w:rsidR="00710B30" w:rsidRDefault="00710B30" w:rsidP="00295848">
            <w:pPr>
              <w:pStyle w:val="TableText"/>
              <w:jc w:val="right"/>
            </w:pPr>
            <w:r>
              <w:t>14</w:t>
            </w:r>
          </w:p>
        </w:tc>
        <w:tc>
          <w:tcPr>
            <w:tcW w:w="1134" w:type="dxa"/>
            <w:tcBorders>
              <w:top w:val="single" w:sz="4" w:space="0" w:color="auto"/>
            </w:tcBorders>
          </w:tcPr>
          <w:p w14:paraId="4F24BE0E" w14:textId="77777777" w:rsidR="00710B30" w:rsidRDefault="00710B30" w:rsidP="00295848">
            <w:pPr>
              <w:pStyle w:val="TableText"/>
              <w:jc w:val="right"/>
            </w:pPr>
            <w:r>
              <w:t>40.00%</w:t>
            </w:r>
          </w:p>
        </w:tc>
      </w:tr>
      <w:tr w:rsidR="00710B30" w14:paraId="78FB2C38" w14:textId="77777777" w:rsidTr="00295848">
        <w:trPr>
          <w:cantSplit/>
        </w:trPr>
        <w:tc>
          <w:tcPr>
            <w:tcW w:w="1843" w:type="dxa"/>
          </w:tcPr>
          <w:p w14:paraId="2D5BD143" w14:textId="77777777" w:rsidR="00710B30" w:rsidRDefault="00710B30" w:rsidP="00295848">
            <w:pPr>
              <w:pStyle w:val="TableText"/>
            </w:pPr>
            <w:r>
              <w:t>No</w:t>
            </w:r>
          </w:p>
        </w:tc>
        <w:tc>
          <w:tcPr>
            <w:tcW w:w="1134" w:type="dxa"/>
          </w:tcPr>
          <w:p w14:paraId="3677CCE9" w14:textId="77777777" w:rsidR="00710B30" w:rsidRDefault="00710B30" w:rsidP="00295848">
            <w:pPr>
              <w:pStyle w:val="TableText"/>
              <w:jc w:val="right"/>
            </w:pPr>
            <w:r>
              <w:t>20</w:t>
            </w:r>
          </w:p>
        </w:tc>
        <w:tc>
          <w:tcPr>
            <w:tcW w:w="1134" w:type="dxa"/>
          </w:tcPr>
          <w:p w14:paraId="2CFCCAC1" w14:textId="77777777" w:rsidR="00710B30" w:rsidRDefault="00710B30" w:rsidP="00295848">
            <w:pPr>
              <w:pStyle w:val="TableText"/>
              <w:jc w:val="right"/>
            </w:pPr>
            <w:r>
              <w:t>57.14%</w:t>
            </w:r>
          </w:p>
        </w:tc>
      </w:tr>
      <w:tr w:rsidR="00710B30" w14:paraId="330976D3" w14:textId="77777777" w:rsidTr="00295848">
        <w:trPr>
          <w:cantSplit/>
        </w:trPr>
        <w:tc>
          <w:tcPr>
            <w:tcW w:w="1843" w:type="dxa"/>
          </w:tcPr>
          <w:p w14:paraId="56DC65F1" w14:textId="77777777" w:rsidR="00710B30" w:rsidRDefault="00710B30" w:rsidP="00295848">
            <w:pPr>
              <w:pStyle w:val="TableText"/>
            </w:pPr>
            <w:r>
              <w:t>Not answered</w:t>
            </w:r>
          </w:p>
        </w:tc>
        <w:tc>
          <w:tcPr>
            <w:tcW w:w="1134" w:type="dxa"/>
          </w:tcPr>
          <w:p w14:paraId="603FA34B" w14:textId="77777777" w:rsidR="00710B30" w:rsidRDefault="00710B30" w:rsidP="00295848">
            <w:pPr>
              <w:pStyle w:val="TableText"/>
              <w:jc w:val="right"/>
            </w:pPr>
            <w:r>
              <w:t>1</w:t>
            </w:r>
          </w:p>
        </w:tc>
        <w:tc>
          <w:tcPr>
            <w:tcW w:w="1134" w:type="dxa"/>
          </w:tcPr>
          <w:p w14:paraId="04685ECC" w14:textId="77777777" w:rsidR="00710B30" w:rsidRDefault="00710B30" w:rsidP="00295848">
            <w:pPr>
              <w:pStyle w:val="TableText"/>
              <w:jc w:val="right"/>
            </w:pPr>
            <w:r>
              <w:t>2.86%</w:t>
            </w:r>
          </w:p>
        </w:tc>
      </w:tr>
    </w:tbl>
    <w:p w14:paraId="0D2057C5" w14:textId="77777777" w:rsidR="00710B30" w:rsidRDefault="00710B30" w:rsidP="00710B30"/>
    <w:p w14:paraId="2CD3CF40" w14:textId="77777777" w:rsidR="00C303B7" w:rsidRDefault="00E52CAF" w:rsidP="00710B30">
      <w:r>
        <w:t>Submitters answered this question similarly to question 1, which might indicate that those who thought that a clear and robust consent process in deciding on the use of embryos while a person was still alive might eliminate the need for ethical review by ECART.</w:t>
      </w:r>
    </w:p>
    <w:p w14:paraId="54C283F2" w14:textId="77777777" w:rsidR="00E52CAF" w:rsidRDefault="00E52CAF" w:rsidP="00710B30"/>
    <w:p w14:paraId="454CAF82" w14:textId="77777777" w:rsidR="00E52CAF" w:rsidRDefault="00E52CAF" w:rsidP="00710B30">
      <w:r>
        <w:t>Similarly, all fertility providers thought that ethical review by ECART was not needed for the approval to use stored embryos after the death of one gamete provider unless that use involved a third person (for example, where a surrogate would be needed to carry the pregnancy).</w:t>
      </w:r>
    </w:p>
    <w:p w14:paraId="29F5EAD7" w14:textId="77777777" w:rsidR="00E52CAF" w:rsidRDefault="00E52CAF" w:rsidP="00710B30"/>
    <w:p w14:paraId="5A3F0110" w14:textId="77777777" w:rsidR="00E52CAF" w:rsidRDefault="00E52CAF" w:rsidP="00710B30">
      <w:pPr>
        <w:keepNext/>
        <w:keepLines/>
      </w:pPr>
      <w:r w:rsidRPr="00367285">
        <w:t>Alternatively, ECART</w:t>
      </w:r>
      <w:r>
        <w:t xml:space="preserve"> was of the view that all applications should come before ECART for its consideration with the exception of the situation when a man is dying and gives specific consent to the use of an embryo after his death to a specified person within a specified timeframe. ECART noted that the guidelines should draw a distinction between this situation and the situation in which a man makes such a decision and he is not imminently dying.</w:t>
      </w:r>
    </w:p>
    <w:p w14:paraId="3E189D2D" w14:textId="77777777" w:rsidR="00E52CAF" w:rsidRDefault="00E52CAF" w:rsidP="00710B30"/>
    <w:p w14:paraId="5152A36F" w14:textId="77777777" w:rsidR="00C303B7" w:rsidRDefault="00E52CAF" w:rsidP="00710B30">
      <w:r>
        <w:lastRenderedPageBreak/>
        <w:t>Some submitters wished to note that even though they thought that ethical review should not be mandatory, they agreed that in complex situations ECART review could be useful. A few submitters reiterated that they thought ECART approval was needed in cases where the specific use was not clearly agreed to in the original consent, or where situations had drastically changed from when the consent was given.</w:t>
      </w:r>
    </w:p>
    <w:p w14:paraId="6A54BC3A" w14:textId="77777777" w:rsidR="00E52CAF" w:rsidRDefault="00E52CAF" w:rsidP="00710B30"/>
    <w:p w14:paraId="4FC5F448" w14:textId="77777777" w:rsidR="00E52CAF" w:rsidRDefault="00E52CAF" w:rsidP="00710B30">
      <w:r>
        <w:t>One submitter said that even if the deceased had noted they wanted the embryos destroyed in the event of their death, ECART should still consider their use so the embryos can be given a chance at life.</w:t>
      </w:r>
    </w:p>
    <w:p w14:paraId="7839479E" w14:textId="77777777" w:rsidR="00E52CAF" w:rsidRDefault="00E52CAF" w:rsidP="00710B30"/>
    <w:p w14:paraId="487D73F4" w14:textId="77777777" w:rsidR="00E52CAF" w:rsidRDefault="00E52CAF" w:rsidP="00710B30">
      <w:r>
        <w:t>A few submitters reiterated that use of embryos is a family matter, and ECART should not be involved in ultimate decisions about it.</w:t>
      </w:r>
    </w:p>
    <w:p w14:paraId="0FD645B7" w14:textId="77777777" w:rsidR="00E52CAF" w:rsidRDefault="00E52CAF" w:rsidP="00710B30"/>
    <w:p w14:paraId="2A3D2A70" w14:textId="77777777" w:rsidR="00E52CAF" w:rsidRPr="004C59B6" w:rsidRDefault="00E52CAF" w:rsidP="00710B30">
      <w:pPr>
        <w:pStyle w:val="Heading3"/>
      </w:pPr>
      <w:r w:rsidRPr="004C59B6">
        <w:t xml:space="preserve">Question </w:t>
      </w:r>
      <w:r>
        <w:t>3</w:t>
      </w:r>
    </w:p>
    <w:p w14:paraId="0791E3EE" w14:textId="77777777" w:rsidR="00C303B7" w:rsidRDefault="00E52CAF" w:rsidP="00710B30">
      <w:pPr>
        <w:pStyle w:val="Box"/>
      </w:pPr>
      <w:r w:rsidRPr="004C59B6">
        <w:t xml:space="preserve">Do you agree that ACART should recommend a change to the </w:t>
      </w:r>
      <w:r>
        <w:t>[</w:t>
      </w:r>
      <w:r w:rsidRPr="001A3A1B">
        <w:t>Human Assisted Reproductive Technology</w:t>
      </w:r>
      <w:r>
        <w:t>]</w:t>
      </w:r>
      <w:r w:rsidRPr="001A3A1B">
        <w:t xml:space="preserve"> </w:t>
      </w:r>
      <w:r w:rsidRPr="004C59B6">
        <w:t>Order 2005 to ensure all posthumous use is considered by ECART?</w:t>
      </w:r>
    </w:p>
    <w:p w14:paraId="02E1E1C1" w14:textId="77777777" w:rsidR="00E52CAF" w:rsidRDefault="00E52CAF" w:rsidP="00710B30"/>
    <w:p w14:paraId="2E9E56BF" w14:textId="77777777" w:rsidR="00E52CAF" w:rsidRDefault="00E52CAF" w:rsidP="00710B30">
      <w:r>
        <w:t>There were 35 responses to this question.</w:t>
      </w:r>
    </w:p>
    <w:p w14:paraId="0B72A89F" w14:textId="77777777" w:rsidR="00E52CAF" w:rsidRDefault="00E52CAF" w:rsidP="00710B30"/>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7CF45C57" w14:textId="77777777" w:rsidTr="00295848">
        <w:trPr>
          <w:cantSplit/>
        </w:trPr>
        <w:tc>
          <w:tcPr>
            <w:tcW w:w="1843" w:type="dxa"/>
            <w:tcBorders>
              <w:top w:val="single" w:sz="4" w:space="0" w:color="auto"/>
              <w:bottom w:val="single" w:sz="4" w:space="0" w:color="auto"/>
            </w:tcBorders>
          </w:tcPr>
          <w:p w14:paraId="48BB8DF7"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5E420B07"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26AE04A1" w14:textId="77777777" w:rsidR="00710B30" w:rsidRPr="004E3B58" w:rsidRDefault="00710B30" w:rsidP="00295848">
            <w:pPr>
              <w:pStyle w:val="TableText"/>
              <w:jc w:val="right"/>
              <w:rPr>
                <w:b/>
              </w:rPr>
            </w:pPr>
            <w:r w:rsidRPr="004E3B58">
              <w:rPr>
                <w:b/>
              </w:rPr>
              <w:t>Percent</w:t>
            </w:r>
          </w:p>
        </w:tc>
      </w:tr>
      <w:tr w:rsidR="00710B30" w14:paraId="768918A5" w14:textId="77777777" w:rsidTr="00295848">
        <w:trPr>
          <w:cantSplit/>
        </w:trPr>
        <w:tc>
          <w:tcPr>
            <w:tcW w:w="1843" w:type="dxa"/>
            <w:tcBorders>
              <w:top w:val="single" w:sz="4" w:space="0" w:color="auto"/>
            </w:tcBorders>
          </w:tcPr>
          <w:p w14:paraId="45877D3A" w14:textId="77777777" w:rsidR="00710B30" w:rsidRDefault="00710B30" w:rsidP="00295848">
            <w:pPr>
              <w:pStyle w:val="TableText"/>
            </w:pPr>
            <w:r>
              <w:t>Yes</w:t>
            </w:r>
          </w:p>
        </w:tc>
        <w:tc>
          <w:tcPr>
            <w:tcW w:w="1134" w:type="dxa"/>
            <w:tcBorders>
              <w:top w:val="single" w:sz="4" w:space="0" w:color="auto"/>
            </w:tcBorders>
          </w:tcPr>
          <w:p w14:paraId="79DBEB37" w14:textId="77777777" w:rsidR="00710B30" w:rsidRDefault="00710B30" w:rsidP="00295848">
            <w:pPr>
              <w:pStyle w:val="TableText"/>
              <w:jc w:val="right"/>
            </w:pPr>
            <w:r>
              <w:t>22</w:t>
            </w:r>
          </w:p>
        </w:tc>
        <w:tc>
          <w:tcPr>
            <w:tcW w:w="1134" w:type="dxa"/>
            <w:tcBorders>
              <w:top w:val="single" w:sz="4" w:space="0" w:color="auto"/>
            </w:tcBorders>
          </w:tcPr>
          <w:p w14:paraId="04DB9252" w14:textId="77777777" w:rsidR="00710B30" w:rsidRDefault="00710B30" w:rsidP="00295848">
            <w:pPr>
              <w:pStyle w:val="TableText"/>
              <w:jc w:val="right"/>
            </w:pPr>
            <w:r>
              <w:t>62.86%</w:t>
            </w:r>
          </w:p>
        </w:tc>
      </w:tr>
      <w:tr w:rsidR="00710B30" w14:paraId="50EF9A9A" w14:textId="77777777" w:rsidTr="00295848">
        <w:trPr>
          <w:cantSplit/>
        </w:trPr>
        <w:tc>
          <w:tcPr>
            <w:tcW w:w="1843" w:type="dxa"/>
          </w:tcPr>
          <w:p w14:paraId="04836F60" w14:textId="77777777" w:rsidR="00710B30" w:rsidRDefault="00710B30" w:rsidP="00295848">
            <w:pPr>
              <w:pStyle w:val="TableText"/>
            </w:pPr>
            <w:r>
              <w:t>No</w:t>
            </w:r>
          </w:p>
        </w:tc>
        <w:tc>
          <w:tcPr>
            <w:tcW w:w="1134" w:type="dxa"/>
          </w:tcPr>
          <w:p w14:paraId="41546C0C" w14:textId="77777777" w:rsidR="00710B30" w:rsidRDefault="00710B30" w:rsidP="00295848">
            <w:pPr>
              <w:pStyle w:val="TableText"/>
              <w:jc w:val="right"/>
            </w:pPr>
            <w:r>
              <w:t>13</w:t>
            </w:r>
          </w:p>
        </w:tc>
        <w:tc>
          <w:tcPr>
            <w:tcW w:w="1134" w:type="dxa"/>
          </w:tcPr>
          <w:p w14:paraId="5EC1EEB6" w14:textId="77777777" w:rsidR="00710B30" w:rsidRDefault="00710B30" w:rsidP="00295848">
            <w:pPr>
              <w:pStyle w:val="TableText"/>
              <w:jc w:val="right"/>
            </w:pPr>
            <w:r>
              <w:t>37.14%</w:t>
            </w:r>
          </w:p>
        </w:tc>
      </w:tr>
      <w:tr w:rsidR="00710B30" w14:paraId="65577798" w14:textId="77777777" w:rsidTr="00295848">
        <w:trPr>
          <w:cantSplit/>
        </w:trPr>
        <w:tc>
          <w:tcPr>
            <w:tcW w:w="1843" w:type="dxa"/>
          </w:tcPr>
          <w:p w14:paraId="130AE1A9" w14:textId="77777777" w:rsidR="00710B30" w:rsidRDefault="00710B30" w:rsidP="00295848">
            <w:pPr>
              <w:pStyle w:val="TableText"/>
            </w:pPr>
            <w:r>
              <w:t>Not answered</w:t>
            </w:r>
          </w:p>
        </w:tc>
        <w:tc>
          <w:tcPr>
            <w:tcW w:w="1134" w:type="dxa"/>
          </w:tcPr>
          <w:p w14:paraId="237FD076" w14:textId="77777777" w:rsidR="00710B30" w:rsidRDefault="00710B30" w:rsidP="00295848">
            <w:pPr>
              <w:pStyle w:val="TableText"/>
              <w:jc w:val="right"/>
            </w:pPr>
            <w:r>
              <w:t>0</w:t>
            </w:r>
          </w:p>
        </w:tc>
        <w:tc>
          <w:tcPr>
            <w:tcW w:w="1134" w:type="dxa"/>
          </w:tcPr>
          <w:p w14:paraId="796CFDF4" w14:textId="77777777" w:rsidR="00710B30" w:rsidRDefault="00710B30" w:rsidP="00295848">
            <w:pPr>
              <w:pStyle w:val="TableText"/>
              <w:jc w:val="right"/>
            </w:pPr>
            <w:r>
              <w:t>0.00%</w:t>
            </w:r>
          </w:p>
        </w:tc>
      </w:tr>
    </w:tbl>
    <w:p w14:paraId="6793E918" w14:textId="77777777" w:rsidR="00710B30" w:rsidRDefault="00710B30" w:rsidP="00710B30"/>
    <w:p w14:paraId="3062269F" w14:textId="77777777" w:rsidR="00C303B7" w:rsidRDefault="00E52CAF" w:rsidP="00710B30">
      <w:r>
        <w:t>Most people who said yes to questions 1 and 2 consistently said yes to question 3, and vice versa.</w:t>
      </w:r>
    </w:p>
    <w:p w14:paraId="407060A0" w14:textId="77777777" w:rsidR="00E52CAF" w:rsidRDefault="00E52CAF" w:rsidP="00710B30"/>
    <w:p w14:paraId="3237C32D" w14:textId="77777777" w:rsidR="00C303B7" w:rsidRDefault="00E52CAF" w:rsidP="00710B30">
      <w:r>
        <w:t xml:space="preserve">Many submitters said that no change should be made to the </w:t>
      </w:r>
      <w:r w:rsidRPr="001A3A1B">
        <w:t xml:space="preserve">Human Assisted Reproductive Technology </w:t>
      </w:r>
      <w:r>
        <w:t>HART Order 2005 (the HART Order) because that would capture cases where consent was given before death, and they did not agree that those cases required ethical review.</w:t>
      </w:r>
    </w:p>
    <w:p w14:paraId="20476227" w14:textId="77777777" w:rsidR="00E52CAF" w:rsidRDefault="00E52CAF" w:rsidP="00710B30"/>
    <w:p w14:paraId="6D8D2C9C" w14:textId="77777777" w:rsidR="00C303B7" w:rsidRDefault="00E52CAF" w:rsidP="00710B30">
      <w:pPr>
        <w:keepNext/>
        <w:keepLines/>
      </w:pPr>
      <w:r>
        <w:t>However, some of the commentary provided on this question indicated that a few submitters did not understand the implications of the question. For example, some people who answered no to questions 1 and 2 then answered yes to question 3. Taking into account the reasons these submitters gave for answering inconsistently, it appears that some people agreed that a change should be made, and thought this meant that making a change to the HART Order would at least allow a chance for them to try and use their loved one</w:t>
      </w:r>
      <w:r w:rsidR="00C303B7">
        <w:t>’</w:t>
      </w:r>
      <w:r>
        <w:t>s gametes (that were frozen for the child</w:t>
      </w:r>
      <w:r w:rsidR="00C303B7">
        <w:t>’</w:t>
      </w:r>
      <w:r>
        <w:t>s own fertility preservation) or embryo – even though these same submitters had noted previously that they thought ECART should have no role in the consideration of use, and that the issue was a family matter.</w:t>
      </w:r>
    </w:p>
    <w:p w14:paraId="5BF55096" w14:textId="77777777" w:rsidR="00E52CAF" w:rsidRDefault="00E52CAF" w:rsidP="00710B30"/>
    <w:p w14:paraId="6D216454" w14:textId="77777777" w:rsidR="00E52CAF" w:rsidRPr="004C59B6" w:rsidRDefault="00E52CAF" w:rsidP="00710B30">
      <w:pPr>
        <w:pStyle w:val="Heading3"/>
      </w:pPr>
      <w:r w:rsidRPr="00B3315B">
        <w:lastRenderedPageBreak/>
        <w:t>Question 4</w:t>
      </w:r>
    </w:p>
    <w:p w14:paraId="3512E28D" w14:textId="77777777" w:rsidR="00E52CAF" w:rsidRDefault="00E52CAF" w:rsidP="00710B30">
      <w:pPr>
        <w:pStyle w:val="Box"/>
      </w:pPr>
      <w:r w:rsidRPr="004C59B6">
        <w:t>Do you agree that the guidelines should allow for the posthumous use of clinic donor sperm or eggs, if there is already a child from the person who donated those gametes and the new child will be in the same family?</w:t>
      </w:r>
    </w:p>
    <w:p w14:paraId="308A14C3" w14:textId="77777777" w:rsidR="00E52CAF" w:rsidRDefault="00E52CAF" w:rsidP="00710B30"/>
    <w:p w14:paraId="3C4B5901" w14:textId="77777777" w:rsidR="00E52CAF" w:rsidRDefault="00E52CAF" w:rsidP="00710B30">
      <w:r>
        <w:t>There were 33 responses to this question.</w:t>
      </w:r>
    </w:p>
    <w:p w14:paraId="31A23EE0" w14:textId="77777777" w:rsidR="00710B30" w:rsidRDefault="00710B30" w:rsidP="00710B30"/>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5F691630" w14:textId="77777777" w:rsidTr="00295848">
        <w:trPr>
          <w:cantSplit/>
        </w:trPr>
        <w:tc>
          <w:tcPr>
            <w:tcW w:w="1843" w:type="dxa"/>
            <w:tcBorders>
              <w:top w:val="single" w:sz="4" w:space="0" w:color="auto"/>
              <w:bottom w:val="single" w:sz="4" w:space="0" w:color="auto"/>
            </w:tcBorders>
          </w:tcPr>
          <w:p w14:paraId="3852E41A"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5F059348"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73F02930" w14:textId="77777777" w:rsidR="00710B30" w:rsidRPr="004E3B58" w:rsidRDefault="00710B30" w:rsidP="00295848">
            <w:pPr>
              <w:pStyle w:val="TableText"/>
              <w:jc w:val="right"/>
              <w:rPr>
                <w:b/>
              </w:rPr>
            </w:pPr>
            <w:r w:rsidRPr="004E3B58">
              <w:rPr>
                <w:b/>
              </w:rPr>
              <w:t>Percent</w:t>
            </w:r>
          </w:p>
        </w:tc>
      </w:tr>
      <w:tr w:rsidR="00710B30" w14:paraId="2F430A94" w14:textId="77777777" w:rsidTr="00295848">
        <w:trPr>
          <w:cantSplit/>
        </w:trPr>
        <w:tc>
          <w:tcPr>
            <w:tcW w:w="1843" w:type="dxa"/>
            <w:tcBorders>
              <w:top w:val="single" w:sz="4" w:space="0" w:color="auto"/>
            </w:tcBorders>
          </w:tcPr>
          <w:p w14:paraId="5D852419" w14:textId="77777777" w:rsidR="00710B30" w:rsidRDefault="00710B30" w:rsidP="00295848">
            <w:pPr>
              <w:pStyle w:val="TableText"/>
            </w:pPr>
            <w:r>
              <w:t>Yes</w:t>
            </w:r>
          </w:p>
        </w:tc>
        <w:tc>
          <w:tcPr>
            <w:tcW w:w="1134" w:type="dxa"/>
            <w:tcBorders>
              <w:top w:val="single" w:sz="4" w:space="0" w:color="auto"/>
            </w:tcBorders>
          </w:tcPr>
          <w:p w14:paraId="57C6CC2A" w14:textId="77777777" w:rsidR="00710B30" w:rsidRDefault="00710B30" w:rsidP="00295848">
            <w:pPr>
              <w:pStyle w:val="TableText"/>
              <w:jc w:val="right"/>
            </w:pPr>
            <w:r>
              <w:t>31</w:t>
            </w:r>
          </w:p>
        </w:tc>
        <w:tc>
          <w:tcPr>
            <w:tcW w:w="1134" w:type="dxa"/>
            <w:tcBorders>
              <w:top w:val="single" w:sz="4" w:space="0" w:color="auto"/>
            </w:tcBorders>
          </w:tcPr>
          <w:p w14:paraId="0093557B" w14:textId="77777777" w:rsidR="00710B30" w:rsidRDefault="00710B30" w:rsidP="00295848">
            <w:pPr>
              <w:pStyle w:val="TableText"/>
              <w:jc w:val="right"/>
            </w:pPr>
            <w:r>
              <w:t>88.57%</w:t>
            </w:r>
          </w:p>
        </w:tc>
      </w:tr>
      <w:tr w:rsidR="00710B30" w14:paraId="2D59B9FC" w14:textId="77777777" w:rsidTr="00295848">
        <w:trPr>
          <w:cantSplit/>
        </w:trPr>
        <w:tc>
          <w:tcPr>
            <w:tcW w:w="1843" w:type="dxa"/>
          </w:tcPr>
          <w:p w14:paraId="39F9A0C4" w14:textId="77777777" w:rsidR="00710B30" w:rsidRDefault="00710B30" w:rsidP="00295848">
            <w:pPr>
              <w:pStyle w:val="TableText"/>
            </w:pPr>
            <w:r>
              <w:t>No</w:t>
            </w:r>
          </w:p>
        </w:tc>
        <w:tc>
          <w:tcPr>
            <w:tcW w:w="1134" w:type="dxa"/>
          </w:tcPr>
          <w:p w14:paraId="38994BBE" w14:textId="77777777" w:rsidR="00710B30" w:rsidRDefault="00710B30" w:rsidP="00295848">
            <w:pPr>
              <w:pStyle w:val="TableText"/>
              <w:jc w:val="right"/>
            </w:pPr>
            <w:r>
              <w:t>2</w:t>
            </w:r>
          </w:p>
        </w:tc>
        <w:tc>
          <w:tcPr>
            <w:tcW w:w="1134" w:type="dxa"/>
          </w:tcPr>
          <w:p w14:paraId="6BFB9395" w14:textId="77777777" w:rsidR="00710B30" w:rsidRDefault="00710B30" w:rsidP="00295848">
            <w:pPr>
              <w:pStyle w:val="TableText"/>
              <w:jc w:val="right"/>
            </w:pPr>
            <w:r>
              <w:t>5.71%</w:t>
            </w:r>
          </w:p>
        </w:tc>
      </w:tr>
      <w:tr w:rsidR="00710B30" w14:paraId="5A129DA7" w14:textId="77777777" w:rsidTr="00295848">
        <w:trPr>
          <w:cantSplit/>
        </w:trPr>
        <w:tc>
          <w:tcPr>
            <w:tcW w:w="1843" w:type="dxa"/>
          </w:tcPr>
          <w:p w14:paraId="6640BFF4" w14:textId="77777777" w:rsidR="00710B30" w:rsidRDefault="00710B30" w:rsidP="00295848">
            <w:pPr>
              <w:pStyle w:val="TableText"/>
            </w:pPr>
            <w:r>
              <w:t>Not answered</w:t>
            </w:r>
          </w:p>
        </w:tc>
        <w:tc>
          <w:tcPr>
            <w:tcW w:w="1134" w:type="dxa"/>
          </w:tcPr>
          <w:p w14:paraId="5D10D173" w14:textId="77777777" w:rsidR="00710B30" w:rsidRDefault="00710B30" w:rsidP="00295848">
            <w:pPr>
              <w:pStyle w:val="TableText"/>
              <w:jc w:val="right"/>
            </w:pPr>
            <w:r>
              <w:t>2</w:t>
            </w:r>
          </w:p>
        </w:tc>
        <w:tc>
          <w:tcPr>
            <w:tcW w:w="1134" w:type="dxa"/>
          </w:tcPr>
          <w:p w14:paraId="69401280" w14:textId="77777777" w:rsidR="00710B30" w:rsidRDefault="00710B30" w:rsidP="00295848">
            <w:pPr>
              <w:pStyle w:val="TableText"/>
              <w:jc w:val="right"/>
            </w:pPr>
            <w:r>
              <w:t>5.71%</w:t>
            </w:r>
          </w:p>
        </w:tc>
      </w:tr>
    </w:tbl>
    <w:p w14:paraId="1736F1C0" w14:textId="77777777" w:rsidR="00710B30" w:rsidRDefault="00710B30" w:rsidP="00710B30"/>
    <w:p w14:paraId="31E523AC" w14:textId="77777777" w:rsidR="00C303B7" w:rsidRDefault="00E52CAF" w:rsidP="00710B30">
      <w:r>
        <w:t>Most submitters agreed that this guideline should be carried over from the current guidelines (written in 2000), and that ACART</w:t>
      </w:r>
      <w:r w:rsidR="00C303B7">
        <w:t>’</w:t>
      </w:r>
      <w:r>
        <w:t>s guidelines on this should be inclusive of eggs also.</w:t>
      </w:r>
    </w:p>
    <w:p w14:paraId="3E965DEB" w14:textId="77777777" w:rsidR="00E52CAF" w:rsidRDefault="00E52CAF" w:rsidP="00BC4BBF">
      <w:pPr>
        <w:spacing w:before="220"/>
      </w:pPr>
      <w:r>
        <w:t>A few submitters considered that there should not be an automatic approval without checking that there was donor consent to the gametes being used after the death of the person concerned.</w:t>
      </w:r>
    </w:p>
    <w:p w14:paraId="299DD172" w14:textId="54880926" w:rsidR="00E52CAF" w:rsidRDefault="00E52CAF" w:rsidP="00BC4BBF">
      <w:pPr>
        <w:spacing w:before="220"/>
      </w:pPr>
      <w:r>
        <w:t xml:space="preserve">One submitter and one fertility provider also suggested that </w:t>
      </w:r>
      <w:r w:rsidR="00965B51">
        <w:t xml:space="preserve">the </w:t>
      </w:r>
      <w:r>
        <w:t>approval to use the gamete should not hinge on the fact that there is an existing child who will be a full biological sibling.</w:t>
      </w:r>
    </w:p>
    <w:p w14:paraId="2678CA6C" w14:textId="77777777" w:rsidR="00E52CAF" w:rsidRDefault="00E52CAF" w:rsidP="00BC4BBF">
      <w:pPr>
        <w:spacing w:before="220"/>
      </w:pPr>
      <w:r>
        <w:t>ECART suggested that this provision be widened to include use of:</w:t>
      </w:r>
    </w:p>
    <w:p w14:paraId="02FA5A12" w14:textId="77777777" w:rsidR="00E52CAF" w:rsidRDefault="00E52CAF" w:rsidP="00710B30">
      <w:pPr>
        <w:pStyle w:val="Bullet"/>
      </w:pPr>
      <w:r>
        <w:t>embryos already created with donated gametes which have not been used where a child does not yet exist</w:t>
      </w:r>
    </w:p>
    <w:p w14:paraId="595E06EE" w14:textId="77777777" w:rsidR="00E52CAF" w:rsidRDefault="00E52CAF" w:rsidP="00710B30">
      <w:pPr>
        <w:pStyle w:val="Bullet"/>
      </w:pPr>
      <w:r>
        <w:t>sperm from a personal sperm donor who has consented to posthumous use but where there are no offspring in the recipient family at the time the donor dies (that is, cases where the donor has consented to be a personal sperm donor and says in his consent form, signed after implications counselling, that he consents to the use of the sperm in the event of his death).</w:t>
      </w:r>
    </w:p>
    <w:p w14:paraId="073CC09E" w14:textId="172406F4" w:rsidR="00E52CAF" w:rsidRDefault="00E52CAF" w:rsidP="00BC4BBF">
      <w:pPr>
        <w:spacing w:before="240"/>
      </w:pPr>
      <w:r>
        <w:t>One submission from a fertility provider also suggested that this provision should include embryos already created using the donor sperm or eggs but not yet used.</w:t>
      </w:r>
    </w:p>
    <w:p w14:paraId="40B623F2" w14:textId="77777777" w:rsidR="00E52CAF" w:rsidRDefault="00E52CAF" w:rsidP="00710B30"/>
    <w:p w14:paraId="268DDDBF" w14:textId="77777777" w:rsidR="00C303B7" w:rsidRPr="001D6D23" w:rsidRDefault="00E52CAF" w:rsidP="00B25B12">
      <w:pPr>
        <w:pStyle w:val="Heading2"/>
        <w:numPr>
          <w:ilvl w:val="0"/>
          <w:numId w:val="38"/>
        </w:numPr>
      </w:pPr>
      <w:bookmarkStart w:id="31" w:name="_Toc57205603"/>
      <w:r>
        <w:rPr>
          <w:noProof/>
        </w:rPr>
        <w:t>Consent must be to a specific use</w:t>
      </w:r>
      <w:bookmarkEnd w:id="31"/>
    </w:p>
    <w:p w14:paraId="2B80B245" w14:textId="77777777" w:rsidR="00C303B7" w:rsidRDefault="00E52CAF" w:rsidP="00295848">
      <w:pPr>
        <w:pStyle w:val="Heading3"/>
      </w:pPr>
      <w:r w:rsidRPr="004C59B6">
        <w:t>Question 5</w:t>
      </w:r>
    </w:p>
    <w:p w14:paraId="0343B84B" w14:textId="77777777" w:rsidR="00C303B7" w:rsidRDefault="00E52CAF" w:rsidP="00295848">
      <w:pPr>
        <w:pStyle w:val="Box"/>
      </w:pPr>
      <w:r w:rsidRPr="004C59B6">
        <w:t>Do you agree that the deceased person must have consented to a specific use?</w:t>
      </w:r>
    </w:p>
    <w:p w14:paraId="5801C3B3" w14:textId="77777777" w:rsidR="00E52CAF" w:rsidRDefault="00E52CAF" w:rsidP="00295848"/>
    <w:p w14:paraId="56BD9B8C" w14:textId="77777777" w:rsidR="00E52CAF" w:rsidRDefault="00E52CAF" w:rsidP="00295848">
      <w:r>
        <w:lastRenderedPageBreak/>
        <w:t>There were 34 responses to this question.</w:t>
      </w:r>
    </w:p>
    <w:p w14:paraId="43051B75"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27A6EE66" w14:textId="77777777" w:rsidTr="00295848">
        <w:trPr>
          <w:cantSplit/>
        </w:trPr>
        <w:tc>
          <w:tcPr>
            <w:tcW w:w="1843" w:type="dxa"/>
            <w:tcBorders>
              <w:top w:val="single" w:sz="4" w:space="0" w:color="auto"/>
              <w:bottom w:val="single" w:sz="4" w:space="0" w:color="auto"/>
            </w:tcBorders>
          </w:tcPr>
          <w:p w14:paraId="35FB29ED"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7F843B71"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0EE94FCC" w14:textId="77777777" w:rsidR="00710B30" w:rsidRPr="004E3B58" w:rsidRDefault="00710B30" w:rsidP="00295848">
            <w:pPr>
              <w:pStyle w:val="TableText"/>
              <w:jc w:val="right"/>
              <w:rPr>
                <w:b/>
              </w:rPr>
            </w:pPr>
            <w:r w:rsidRPr="004E3B58">
              <w:rPr>
                <w:b/>
              </w:rPr>
              <w:t>Percent</w:t>
            </w:r>
          </w:p>
        </w:tc>
      </w:tr>
      <w:tr w:rsidR="00295848" w14:paraId="15F730FA" w14:textId="77777777" w:rsidTr="00295848">
        <w:trPr>
          <w:cantSplit/>
        </w:trPr>
        <w:tc>
          <w:tcPr>
            <w:tcW w:w="1843" w:type="dxa"/>
            <w:tcBorders>
              <w:top w:val="single" w:sz="4" w:space="0" w:color="auto"/>
            </w:tcBorders>
          </w:tcPr>
          <w:p w14:paraId="4A1475C1" w14:textId="77777777" w:rsidR="00295848" w:rsidRDefault="00295848" w:rsidP="00295848">
            <w:pPr>
              <w:pStyle w:val="TableText"/>
            </w:pPr>
            <w:r>
              <w:t>Yes</w:t>
            </w:r>
          </w:p>
        </w:tc>
        <w:tc>
          <w:tcPr>
            <w:tcW w:w="1134" w:type="dxa"/>
            <w:tcBorders>
              <w:top w:val="single" w:sz="4" w:space="0" w:color="auto"/>
            </w:tcBorders>
          </w:tcPr>
          <w:p w14:paraId="0DF63785" w14:textId="77777777" w:rsidR="00295848" w:rsidRDefault="00295848" w:rsidP="00295848">
            <w:pPr>
              <w:pStyle w:val="TableText"/>
              <w:jc w:val="right"/>
            </w:pPr>
            <w:r>
              <w:t>23</w:t>
            </w:r>
          </w:p>
        </w:tc>
        <w:tc>
          <w:tcPr>
            <w:tcW w:w="1134" w:type="dxa"/>
            <w:tcBorders>
              <w:top w:val="single" w:sz="4" w:space="0" w:color="auto"/>
            </w:tcBorders>
          </w:tcPr>
          <w:p w14:paraId="39BCAAF4" w14:textId="77777777" w:rsidR="00295848" w:rsidRDefault="00295848" w:rsidP="00295848">
            <w:pPr>
              <w:pStyle w:val="TableText"/>
              <w:jc w:val="right"/>
            </w:pPr>
            <w:r>
              <w:t>65.71%</w:t>
            </w:r>
          </w:p>
        </w:tc>
      </w:tr>
      <w:tr w:rsidR="00295848" w14:paraId="64979641" w14:textId="77777777" w:rsidTr="00295848">
        <w:trPr>
          <w:cantSplit/>
        </w:trPr>
        <w:tc>
          <w:tcPr>
            <w:tcW w:w="1843" w:type="dxa"/>
          </w:tcPr>
          <w:p w14:paraId="471EB499" w14:textId="77777777" w:rsidR="00295848" w:rsidRDefault="00295848" w:rsidP="00295848">
            <w:pPr>
              <w:pStyle w:val="TableText"/>
            </w:pPr>
            <w:r>
              <w:t>No</w:t>
            </w:r>
          </w:p>
        </w:tc>
        <w:tc>
          <w:tcPr>
            <w:tcW w:w="1134" w:type="dxa"/>
          </w:tcPr>
          <w:p w14:paraId="000319E4" w14:textId="77777777" w:rsidR="00295848" w:rsidRDefault="00295848" w:rsidP="00295848">
            <w:pPr>
              <w:pStyle w:val="TableText"/>
              <w:jc w:val="right"/>
            </w:pPr>
            <w:r>
              <w:t>11</w:t>
            </w:r>
          </w:p>
        </w:tc>
        <w:tc>
          <w:tcPr>
            <w:tcW w:w="1134" w:type="dxa"/>
          </w:tcPr>
          <w:p w14:paraId="1204FE2C" w14:textId="77777777" w:rsidR="00295848" w:rsidRDefault="00295848" w:rsidP="00295848">
            <w:pPr>
              <w:pStyle w:val="TableText"/>
              <w:jc w:val="right"/>
            </w:pPr>
            <w:r>
              <w:t>31.43%</w:t>
            </w:r>
          </w:p>
        </w:tc>
      </w:tr>
      <w:tr w:rsidR="00295848" w14:paraId="35316402" w14:textId="77777777" w:rsidTr="00295848">
        <w:trPr>
          <w:cantSplit/>
        </w:trPr>
        <w:tc>
          <w:tcPr>
            <w:tcW w:w="1843" w:type="dxa"/>
          </w:tcPr>
          <w:p w14:paraId="266C3317" w14:textId="77777777" w:rsidR="00295848" w:rsidRDefault="00295848" w:rsidP="00295848">
            <w:pPr>
              <w:pStyle w:val="TableText"/>
            </w:pPr>
            <w:r>
              <w:t>Not answered</w:t>
            </w:r>
          </w:p>
        </w:tc>
        <w:tc>
          <w:tcPr>
            <w:tcW w:w="1134" w:type="dxa"/>
          </w:tcPr>
          <w:p w14:paraId="1FF0B1B4" w14:textId="77777777" w:rsidR="00295848" w:rsidRDefault="00295848" w:rsidP="00295848">
            <w:pPr>
              <w:pStyle w:val="TableText"/>
              <w:jc w:val="right"/>
            </w:pPr>
            <w:r>
              <w:t>1</w:t>
            </w:r>
          </w:p>
        </w:tc>
        <w:tc>
          <w:tcPr>
            <w:tcW w:w="1134" w:type="dxa"/>
          </w:tcPr>
          <w:p w14:paraId="6FDE10A4" w14:textId="77777777" w:rsidR="00295848" w:rsidRDefault="00295848" w:rsidP="00295848">
            <w:pPr>
              <w:pStyle w:val="TableText"/>
              <w:jc w:val="right"/>
            </w:pPr>
            <w:r>
              <w:t>2.86%</w:t>
            </w:r>
          </w:p>
        </w:tc>
      </w:tr>
    </w:tbl>
    <w:p w14:paraId="42D66117" w14:textId="77777777" w:rsidR="00710B30" w:rsidRDefault="00710B30" w:rsidP="00E52CAF"/>
    <w:p w14:paraId="35578A52" w14:textId="77777777" w:rsidR="00E52CAF" w:rsidRDefault="00E52CAF" w:rsidP="00295848">
      <w:r w:rsidRPr="00865029">
        <w:t>Most submitters agreed</w:t>
      </w:r>
      <w:r>
        <w:t xml:space="preserve"> that it was important that an individual had consented to the use of their gametes or indicated how they would like their gametes to be used after their death</w:t>
      </w:r>
      <w:r w:rsidRPr="00865029">
        <w:t>.</w:t>
      </w:r>
    </w:p>
    <w:p w14:paraId="7A6232E5" w14:textId="77777777" w:rsidR="00295848" w:rsidRDefault="00295848" w:rsidP="00295848"/>
    <w:p w14:paraId="2447637E" w14:textId="4E566D6E" w:rsidR="00C303B7" w:rsidRDefault="00E52CAF" w:rsidP="00295848">
      <w:r>
        <w:t>One submission from a fertility provider also suggested that, with the exception of donor sperm, deceased individuals should have consented to use by a named person.</w:t>
      </w:r>
    </w:p>
    <w:p w14:paraId="61C0AC9E" w14:textId="77777777" w:rsidR="00295848" w:rsidRDefault="00295848" w:rsidP="00295848"/>
    <w:p w14:paraId="37AB0D0E" w14:textId="77777777" w:rsidR="00C303B7" w:rsidRDefault="00E52CAF" w:rsidP="00295848">
      <w:r>
        <w:t>Those who thought that ethical approval by ECART for use should not be required seemed to be more liberal in their answer to this question, saying that consent for use does not need to be so specific.</w:t>
      </w:r>
    </w:p>
    <w:p w14:paraId="38209BE4" w14:textId="77777777" w:rsidR="00295848" w:rsidRDefault="00295848" w:rsidP="00295848"/>
    <w:p w14:paraId="56095072" w14:textId="77777777" w:rsidR="00C303B7" w:rsidRDefault="00E52CAF" w:rsidP="00295848">
      <w:r>
        <w:t>Some submitters appeared to be of the view that if ethical review by ECART is not always required, then it is more important that consent to use be specific.</w:t>
      </w:r>
    </w:p>
    <w:p w14:paraId="3E5FFE5B" w14:textId="77777777" w:rsidR="00295848" w:rsidRDefault="00295848" w:rsidP="00295848"/>
    <w:p w14:paraId="03ADB3D7" w14:textId="77777777" w:rsidR="00E52CAF" w:rsidRDefault="00E52CAF" w:rsidP="00295848">
      <w:r>
        <w:t>Two individual submitters who have gametes stored on behalf of their now deceased children suggested that the wording in this question was too restrictive, and both recalled their relevant experiences, including that there had been no discussion with them or their child about potential uses of the gametes/tissue at the time of freezing. Because applications for use of gametes stored for a child</w:t>
      </w:r>
      <w:r w:rsidR="00C303B7">
        <w:t>’</w:t>
      </w:r>
      <w:r>
        <w:t>s own fertility preservation (prior to their death) would not be able to be approved by ECART under the existing HART Act and ACART</w:t>
      </w:r>
      <w:r w:rsidR="00C303B7">
        <w:t>’</w:t>
      </w:r>
      <w:r>
        <w:t xml:space="preserve">s proposed guidelines, these submitters suggested the wording be less restrictive and more in line with the purpose of the HART Act: to </w:t>
      </w:r>
      <w:r w:rsidR="00C303B7">
        <w:t>‘</w:t>
      </w:r>
      <w:r>
        <w:t>provide a robust and flexible framework f</w:t>
      </w:r>
      <w:r w:rsidRPr="001A3A1B">
        <w:t>or regulating and guiding the performance of assisted reproductive procedures</w:t>
      </w:r>
      <w:r w:rsidR="00C303B7">
        <w:t>’</w:t>
      </w:r>
      <w:r>
        <w:t>.</w:t>
      </w:r>
    </w:p>
    <w:p w14:paraId="39D8FD39" w14:textId="77777777" w:rsidR="00C303B7" w:rsidRDefault="00E52CAF" w:rsidP="00295848">
      <w:pPr>
        <w:spacing w:before="240"/>
      </w:pPr>
      <w:r>
        <w:t>A few submitters asked for clarity on what constitutes consent to specific use, and how to prove that had been obtained. There were also concerns that in the absence of clear guidelines for this, use might be unable to be approved by ECART or a review-type process.</w:t>
      </w:r>
    </w:p>
    <w:p w14:paraId="54773D70" w14:textId="77777777" w:rsidR="00295848" w:rsidRDefault="00295848" w:rsidP="00295848"/>
    <w:p w14:paraId="7D7CC155" w14:textId="77777777" w:rsidR="00C303B7" w:rsidRDefault="00E52CAF" w:rsidP="00295848">
      <w:pPr>
        <w:pStyle w:val="Heading3"/>
      </w:pPr>
      <w:r w:rsidRPr="00BE7D8A">
        <w:t>Question 6</w:t>
      </w:r>
    </w:p>
    <w:p w14:paraId="3611DD4E" w14:textId="77777777" w:rsidR="00E52CAF" w:rsidRDefault="00E52CAF" w:rsidP="00295848">
      <w:pPr>
        <w:pStyle w:val="Box"/>
      </w:pPr>
      <w:r w:rsidRPr="00BE7D8A">
        <w:t xml:space="preserve">Do you agree with ACART, that the definition of specific use should mean </w:t>
      </w:r>
      <w:r w:rsidR="00C303B7">
        <w:t>‘</w:t>
      </w:r>
      <w:r w:rsidRPr="00BE7D8A">
        <w:t>consent to use by a specific person/s</w:t>
      </w:r>
      <w:r w:rsidR="00C303B7">
        <w:t>’</w:t>
      </w:r>
      <w:r w:rsidRPr="00BE7D8A">
        <w:t>?</w:t>
      </w:r>
    </w:p>
    <w:p w14:paraId="6663C3E3" w14:textId="77777777" w:rsidR="00295848" w:rsidRDefault="00295848" w:rsidP="00295848"/>
    <w:p w14:paraId="1C5ED168" w14:textId="77777777" w:rsidR="00E52CAF" w:rsidRDefault="00E52CAF" w:rsidP="00295848">
      <w:r>
        <w:t>There were 33 responses to this question.</w:t>
      </w:r>
    </w:p>
    <w:p w14:paraId="7C943282"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44FF1822" w14:textId="77777777" w:rsidTr="00295848">
        <w:trPr>
          <w:cantSplit/>
        </w:trPr>
        <w:tc>
          <w:tcPr>
            <w:tcW w:w="1843" w:type="dxa"/>
            <w:tcBorders>
              <w:top w:val="single" w:sz="4" w:space="0" w:color="auto"/>
              <w:bottom w:val="single" w:sz="4" w:space="0" w:color="auto"/>
            </w:tcBorders>
          </w:tcPr>
          <w:p w14:paraId="5C629A1D"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4DBF3229"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3AF430C0" w14:textId="77777777" w:rsidR="00710B30" w:rsidRPr="004E3B58" w:rsidRDefault="00710B30" w:rsidP="00295848">
            <w:pPr>
              <w:pStyle w:val="TableText"/>
              <w:jc w:val="right"/>
              <w:rPr>
                <w:b/>
              </w:rPr>
            </w:pPr>
            <w:r w:rsidRPr="004E3B58">
              <w:rPr>
                <w:b/>
              </w:rPr>
              <w:t>Percent</w:t>
            </w:r>
          </w:p>
        </w:tc>
      </w:tr>
      <w:tr w:rsidR="00295848" w14:paraId="6DD5B20A" w14:textId="77777777" w:rsidTr="00295848">
        <w:trPr>
          <w:cantSplit/>
        </w:trPr>
        <w:tc>
          <w:tcPr>
            <w:tcW w:w="1843" w:type="dxa"/>
            <w:tcBorders>
              <w:top w:val="single" w:sz="4" w:space="0" w:color="auto"/>
            </w:tcBorders>
          </w:tcPr>
          <w:p w14:paraId="094D96CA" w14:textId="77777777" w:rsidR="00295848" w:rsidRDefault="00295848" w:rsidP="00295848">
            <w:pPr>
              <w:pStyle w:val="TableText"/>
            </w:pPr>
            <w:r>
              <w:t>Yes</w:t>
            </w:r>
          </w:p>
        </w:tc>
        <w:tc>
          <w:tcPr>
            <w:tcW w:w="1134" w:type="dxa"/>
            <w:tcBorders>
              <w:top w:val="single" w:sz="4" w:space="0" w:color="auto"/>
            </w:tcBorders>
          </w:tcPr>
          <w:p w14:paraId="009E6CF9" w14:textId="77777777" w:rsidR="00295848" w:rsidRDefault="00295848" w:rsidP="00295848">
            <w:pPr>
              <w:pStyle w:val="TableText"/>
              <w:jc w:val="right"/>
            </w:pPr>
            <w:r>
              <w:t>18</w:t>
            </w:r>
          </w:p>
        </w:tc>
        <w:tc>
          <w:tcPr>
            <w:tcW w:w="1134" w:type="dxa"/>
            <w:tcBorders>
              <w:top w:val="single" w:sz="4" w:space="0" w:color="auto"/>
            </w:tcBorders>
          </w:tcPr>
          <w:p w14:paraId="58C738AA" w14:textId="77777777" w:rsidR="00295848" w:rsidRDefault="00295848" w:rsidP="00295848">
            <w:pPr>
              <w:pStyle w:val="TableText"/>
              <w:jc w:val="right"/>
            </w:pPr>
            <w:r>
              <w:t>51.43%</w:t>
            </w:r>
          </w:p>
        </w:tc>
      </w:tr>
      <w:tr w:rsidR="00295848" w14:paraId="7C5AA841" w14:textId="77777777" w:rsidTr="00295848">
        <w:trPr>
          <w:cantSplit/>
        </w:trPr>
        <w:tc>
          <w:tcPr>
            <w:tcW w:w="1843" w:type="dxa"/>
          </w:tcPr>
          <w:p w14:paraId="3A1C1E99" w14:textId="77777777" w:rsidR="00295848" w:rsidRDefault="00295848" w:rsidP="00295848">
            <w:pPr>
              <w:pStyle w:val="TableText"/>
            </w:pPr>
            <w:r>
              <w:lastRenderedPageBreak/>
              <w:t>No</w:t>
            </w:r>
          </w:p>
        </w:tc>
        <w:tc>
          <w:tcPr>
            <w:tcW w:w="1134" w:type="dxa"/>
          </w:tcPr>
          <w:p w14:paraId="63CE9BE3" w14:textId="77777777" w:rsidR="00295848" w:rsidRDefault="00295848" w:rsidP="00295848">
            <w:pPr>
              <w:pStyle w:val="TableText"/>
              <w:jc w:val="right"/>
            </w:pPr>
            <w:r>
              <w:t>15</w:t>
            </w:r>
          </w:p>
        </w:tc>
        <w:tc>
          <w:tcPr>
            <w:tcW w:w="1134" w:type="dxa"/>
          </w:tcPr>
          <w:p w14:paraId="083F382C" w14:textId="77777777" w:rsidR="00295848" w:rsidRDefault="00295848" w:rsidP="00295848">
            <w:pPr>
              <w:pStyle w:val="TableText"/>
              <w:jc w:val="right"/>
            </w:pPr>
            <w:r>
              <w:t>42.86%</w:t>
            </w:r>
          </w:p>
        </w:tc>
      </w:tr>
      <w:tr w:rsidR="00295848" w14:paraId="5C9AE76E" w14:textId="77777777" w:rsidTr="00295848">
        <w:trPr>
          <w:cantSplit/>
        </w:trPr>
        <w:tc>
          <w:tcPr>
            <w:tcW w:w="1843" w:type="dxa"/>
          </w:tcPr>
          <w:p w14:paraId="3CF5AF43" w14:textId="77777777" w:rsidR="00295848" w:rsidRDefault="00295848" w:rsidP="00295848">
            <w:pPr>
              <w:pStyle w:val="TableText"/>
            </w:pPr>
            <w:r>
              <w:t>Not answered</w:t>
            </w:r>
          </w:p>
        </w:tc>
        <w:tc>
          <w:tcPr>
            <w:tcW w:w="1134" w:type="dxa"/>
          </w:tcPr>
          <w:p w14:paraId="38517BAD" w14:textId="77777777" w:rsidR="00295848" w:rsidRDefault="00295848" w:rsidP="00295848">
            <w:pPr>
              <w:pStyle w:val="TableText"/>
              <w:jc w:val="right"/>
            </w:pPr>
            <w:r>
              <w:t>2</w:t>
            </w:r>
          </w:p>
        </w:tc>
        <w:tc>
          <w:tcPr>
            <w:tcW w:w="1134" w:type="dxa"/>
          </w:tcPr>
          <w:p w14:paraId="290269A0" w14:textId="77777777" w:rsidR="00295848" w:rsidRDefault="00295848" w:rsidP="00295848">
            <w:pPr>
              <w:pStyle w:val="TableText"/>
              <w:jc w:val="right"/>
            </w:pPr>
            <w:r>
              <w:t>5.71%</w:t>
            </w:r>
          </w:p>
        </w:tc>
      </w:tr>
    </w:tbl>
    <w:p w14:paraId="3DAD4BAA" w14:textId="77777777" w:rsidR="00710B30" w:rsidRDefault="00710B30" w:rsidP="00295848"/>
    <w:p w14:paraId="3C3C9765" w14:textId="77777777" w:rsidR="00E52CAF" w:rsidRDefault="00E52CAF" w:rsidP="00295848">
      <w:r>
        <w:t>One submitter noted that it was important that a named person was stated, to avoid abuse or misuse of gametes or embryos.</w:t>
      </w:r>
    </w:p>
    <w:p w14:paraId="7B88C0F9" w14:textId="77777777" w:rsidR="00295848" w:rsidRDefault="00295848" w:rsidP="00295848"/>
    <w:p w14:paraId="48601501" w14:textId="77777777" w:rsidR="00E52CAF" w:rsidRPr="00865029" w:rsidRDefault="00E52CAF" w:rsidP="00295848">
      <w:r>
        <w:t>Two submitters noted they particularly disagreed with the idea that the specified person must intend to parent the resulting child themselves.</w:t>
      </w:r>
    </w:p>
    <w:p w14:paraId="2912ADA4" w14:textId="77777777" w:rsidR="00295848" w:rsidRDefault="00295848" w:rsidP="00295848"/>
    <w:p w14:paraId="4C9C4418" w14:textId="34040690" w:rsidR="00C303B7" w:rsidRDefault="00E52CAF" w:rsidP="00295848">
      <w:r w:rsidRPr="00502046">
        <w:t>One fertility provider agreed</w:t>
      </w:r>
      <w:r>
        <w:t xml:space="preserve"> with ACART</w:t>
      </w:r>
      <w:r w:rsidR="00C303B7">
        <w:t>’</w:t>
      </w:r>
      <w:r>
        <w:t xml:space="preserve">s </w:t>
      </w:r>
      <w:proofErr w:type="gramStart"/>
      <w:r>
        <w:t>proposal, and</w:t>
      </w:r>
      <w:proofErr w:type="gramEnd"/>
      <w:r>
        <w:t xml:space="preserve"> reiterated that the specified person should be the partner of the person who dies, and that that person should also intend to parent any resulting child. The provider noted that this did not prohibit donating gametes to another individual, but also commented that a robust consent process for donation should take place before death, at the time of storage.</w:t>
      </w:r>
    </w:p>
    <w:p w14:paraId="21ED2C8E" w14:textId="77777777" w:rsidR="00295848" w:rsidRDefault="00295848" w:rsidP="00295848"/>
    <w:p w14:paraId="22D30347" w14:textId="77777777" w:rsidR="00E52CAF" w:rsidRDefault="00E52CAF" w:rsidP="00295848">
      <w:r>
        <w:t>Feedback from other fertility providers was mixed; there was a general theme that the more specific the individual who dies has been about their wishes in regard to the use of their gametes after their death, the better.</w:t>
      </w:r>
    </w:p>
    <w:p w14:paraId="14317D68" w14:textId="77777777" w:rsidR="00295848" w:rsidRDefault="00295848" w:rsidP="00295848"/>
    <w:p w14:paraId="49A4C49D" w14:textId="77777777" w:rsidR="00E52CAF" w:rsidRDefault="00E52CAF" w:rsidP="00295848">
      <w:r>
        <w:t xml:space="preserve">Some submitters noted that the use of the word </w:t>
      </w:r>
      <w:r w:rsidR="00C303B7">
        <w:t>‘</w:t>
      </w:r>
      <w:r>
        <w:t>must</w:t>
      </w:r>
      <w:r w:rsidR="00C303B7">
        <w:t>’</w:t>
      </w:r>
      <w:r>
        <w:t xml:space="preserve"> and the idea of naming a specific individual and a specific use could not take into account all of the situations in which a gamete or embryo might be used (for example, by a surrogate or a new partner). Some submitters voiced their concerns that this would mean that their consent could be invalidated by ECART.</w:t>
      </w:r>
    </w:p>
    <w:p w14:paraId="51179FF6" w14:textId="77777777" w:rsidR="00E52CAF" w:rsidRPr="0028634E" w:rsidRDefault="00E52CAF" w:rsidP="00295848"/>
    <w:p w14:paraId="126093E9" w14:textId="77777777" w:rsidR="00C303B7" w:rsidRDefault="00E52CAF" w:rsidP="00B25B12">
      <w:pPr>
        <w:pStyle w:val="Heading2"/>
        <w:numPr>
          <w:ilvl w:val="0"/>
          <w:numId w:val="38"/>
        </w:numPr>
        <w:rPr>
          <w:noProof/>
        </w:rPr>
      </w:pPr>
      <w:bookmarkStart w:id="32" w:name="_Toc57205604"/>
      <w:r>
        <w:rPr>
          <w:noProof/>
        </w:rPr>
        <w:t>Consent to use must be proven</w:t>
      </w:r>
      <w:bookmarkEnd w:id="32"/>
    </w:p>
    <w:p w14:paraId="1E170892" w14:textId="77777777" w:rsidR="00E52CAF" w:rsidRPr="00BE7D8A" w:rsidRDefault="00E52CAF" w:rsidP="00295848">
      <w:pPr>
        <w:pStyle w:val="Heading3"/>
      </w:pPr>
      <w:r w:rsidRPr="00BE7D8A">
        <w:t>Question 7</w:t>
      </w:r>
    </w:p>
    <w:p w14:paraId="74B081FB" w14:textId="77777777" w:rsidR="00C303B7" w:rsidRDefault="00E52CAF" w:rsidP="00295848">
      <w:pPr>
        <w:pStyle w:val="Box"/>
      </w:pPr>
      <w:r w:rsidRPr="00BE7D8A">
        <w:t>Do you agree that the intending parent(s) must provide evidence of consent to posthumous use in order to use gametes, reproductive tissue or stored embryos from a deceased person?</w:t>
      </w:r>
    </w:p>
    <w:p w14:paraId="32777C2F" w14:textId="77777777" w:rsidR="00295848" w:rsidRDefault="00295848" w:rsidP="00295848"/>
    <w:p w14:paraId="2CE3F69C" w14:textId="77777777" w:rsidR="00E52CAF" w:rsidRDefault="00E52CAF" w:rsidP="00295848">
      <w:r>
        <w:t>There were 34 responses to this question.</w:t>
      </w:r>
    </w:p>
    <w:p w14:paraId="407888DA"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78B5B286" w14:textId="77777777" w:rsidTr="00295848">
        <w:trPr>
          <w:cantSplit/>
        </w:trPr>
        <w:tc>
          <w:tcPr>
            <w:tcW w:w="1843" w:type="dxa"/>
            <w:tcBorders>
              <w:top w:val="single" w:sz="4" w:space="0" w:color="auto"/>
              <w:bottom w:val="single" w:sz="4" w:space="0" w:color="auto"/>
            </w:tcBorders>
          </w:tcPr>
          <w:p w14:paraId="6B26E64A"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4E5D8F95"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765A13C7" w14:textId="77777777" w:rsidR="00710B30" w:rsidRPr="004E3B58" w:rsidRDefault="00710B30" w:rsidP="00295848">
            <w:pPr>
              <w:pStyle w:val="TableText"/>
              <w:jc w:val="right"/>
              <w:rPr>
                <w:b/>
              </w:rPr>
            </w:pPr>
            <w:r w:rsidRPr="004E3B58">
              <w:rPr>
                <w:b/>
              </w:rPr>
              <w:t>Percent</w:t>
            </w:r>
          </w:p>
        </w:tc>
      </w:tr>
      <w:tr w:rsidR="00295848" w14:paraId="2E26853C" w14:textId="77777777" w:rsidTr="00295848">
        <w:trPr>
          <w:cantSplit/>
        </w:trPr>
        <w:tc>
          <w:tcPr>
            <w:tcW w:w="1843" w:type="dxa"/>
            <w:tcBorders>
              <w:top w:val="single" w:sz="4" w:space="0" w:color="auto"/>
            </w:tcBorders>
          </w:tcPr>
          <w:p w14:paraId="6D8EBAFC" w14:textId="77777777" w:rsidR="00295848" w:rsidRDefault="00295848" w:rsidP="00295848">
            <w:pPr>
              <w:pStyle w:val="TableText"/>
            </w:pPr>
            <w:r>
              <w:t>Yes</w:t>
            </w:r>
          </w:p>
        </w:tc>
        <w:tc>
          <w:tcPr>
            <w:tcW w:w="1134" w:type="dxa"/>
            <w:tcBorders>
              <w:top w:val="single" w:sz="4" w:space="0" w:color="auto"/>
            </w:tcBorders>
          </w:tcPr>
          <w:p w14:paraId="17A83C93" w14:textId="77777777" w:rsidR="00295848" w:rsidRDefault="00295848" w:rsidP="00295848">
            <w:pPr>
              <w:pStyle w:val="TableText"/>
              <w:jc w:val="right"/>
            </w:pPr>
            <w:r>
              <w:t>26</w:t>
            </w:r>
          </w:p>
        </w:tc>
        <w:tc>
          <w:tcPr>
            <w:tcW w:w="1134" w:type="dxa"/>
            <w:tcBorders>
              <w:top w:val="single" w:sz="4" w:space="0" w:color="auto"/>
            </w:tcBorders>
          </w:tcPr>
          <w:p w14:paraId="2C28A3F4" w14:textId="77777777" w:rsidR="00295848" w:rsidRDefault="00295848" w:rsidP="00295848">
            <w:pPr>
              <w:pStyle w:val="TableText"/>
              <w:jc w:val="right"/>
            </w:pPr>
            <w:r>
              <w:t>74.29%</w:t>
            </w:r>
          </w:p>
        </w:tc>
      </w:tr>
      <w:tr w:rsidR="00295848" w14:paraId="0AD97702" w14:textId="77777777" w:rsidTr="00295848">
        <w:trPr>
          <w:cantSplit/>
        </w:trPr>
        <w:tc>
          <w:tcPr>
            <w:tcW w:w="1843" w:type="dxa"/>
          </w:tcPr>
          <w:p w14:paraId="16D20E1D" w14:textId="77777777" w:rsidR="00295848" w:rsidRDefault="00295848" w:rsidP="00295848">
            <w:pPr>
              <w:pStyle w:val="TableText"/>
            </w:pPr>
            <w:r>
              <w:t>No</w:t>
            </w:r>
          </w:p>
        </w:tc>
        <w:tc>
          <w:tcPr>
            <w:tcW w:w="1134" w:type="dxa"/>
          </w:tcPr>
          <w:p w14:paraId="137434AC" w14:textId="77777777" w:rsidR="00295848" w:rsidRDefault="00295848" w:rsidP="00295848">
            <w:pPr>
              <w:pStyle w:val="TableText"/>
              <w:jc w:val="right"/>
            </w:pPr>
            <w:r>
              <w:t>8</w:t>
            </w:r>
          </w:p>
        </w:tc>
        <w:tc>
          <w:tcPr>
            <w:tcW w:w="1134" w:type="dxa"/>
          </w:tcPr>
          <w:p w14:paraId="6C155E8F" w14:textId="77777777" w:rsidR="00295848" w:rsidRDefault="00295848" w:rsidP="00295848">
            <w:pPr>
              <w:pStyle w:val="TableText"/>
              <w:jc w:val="right"/>
            </w:pPr>
            <w:r>
              <w:t>22.86%</w:t>
            </w:r>
          </w:p>
        </w:tc>
      </w:tr>
      <w:tr w:rsidR="00295848" w14:paraId="3B235168" w14:textId="77777777" w:rsidTr="00295848">
        <w:trPr>
          <w:cantSplit/>
        </w:trPr>
        <w:tc>
          <w:tcPr>
            <w:tcW w:w="1843" w:type="dxa"/>
          </w:tcPr>
          <w:p w14:paraId="53B7404C" w14:textId="77777777" w:rsidR="00295848" w:rsidRDefault="00295848" w:rsidP="00295848">
            <w:pPr>
              <w:pStyle w:val="TableText"/>
            </w:pPr>
            <w:r>
              <w:t>Not answered</w:t>
            </w:r>
          </w:p>
        </w:tc>
        <w:tc>
          <w:tcPr>
            <w:tcW w:w="1134" w:type="dxa"/>
          </w:tcPr>
          <w:p w14:paraId="382A82C5" w14:textId="77777777" w:rsidR="00295848" w:rsidRDefault="00295848" w:rsidP="00295848">
            <w:pPr>
              <w:pStyle w:val="TableText"/>
              <w:jc w:val="right"/>
            </w:pPr>
            <w:r>
              <w:t>1</w:t>
            </w:r>
          </w:p>
        </w:tc>
        <w:tc>
          <w:tcPr>
            <w:tcW w:w="1134" w:type="dxa"/>
          </w:tcPr>
          <w:p w14:paraId="51E78D44" w14:textId="77777777" w:rsidR="00295848" w:rsidRDefault="00295848" w:rsidP="00295848">
            <w:pPr>
              <w:pStyle w:val="TableText"/>
              <w:jc w:val="right"/>
            </w:pPr>
            <w:r>
              <w:t>2.86%</w:t>
            </w:r>
          </w:p>
        </w:tc>
      </w:tr>
    </w:tbl>
    <w:p w14:paraId="54F6C53E" w14:textId="77777777" w:rsidR="00710B30" w:rsidRDefault="00710B30" w:rsidP="00295848"/>
    <w:p w14:paraId="19F9B9C9" w14:textId="04A62B12" w:rsidR="00E52CAF" w:rsidRDefault="00E52CAF" w:rsidP="00295848">
      <w:r>
        <w:t xml:space="preserve">While the majority of submitters agreed that evidence of consent was required, most people noted that they were unclear about what that would actually entail, as written or oral consent </w:t>
      </w:r>
      <w:r>
        <w:lastRenderedPageBreak/>
        <w:t>is unlikely for most cases of unexpected death. Further, two fertility groups suggested that the guidelines should include guidance on what constitutes sufficient evidence from someone who did not leave written consent.</w:t>
      </w:r>
    </w:p>
    <w:p w14:paraId="1C591AD4" w14:textId="77777777" w:rsidR="00295848" w:rsidRDefault="00295848" w:rsidP="00295848"/>
    <w:p w14:paraId="21670372" w14:textId="1F0AD037" w:rsidR="00E52CAF" w:rsidRDefault="00E52CAF" w:rsidP="00295848">
      <w:r>
        <w:t xml:space="preserve">One fertility provider </w:t>
      </w:r>
      <w:r w:rsidRPr="006F4F42">
        <w:t>agreed with the proposal</w:t>
      </w:r>
      <w:r>
        <w:t xml:space="preserve"> and noted that, in its opinion, r</w:t>
      </w:r>
      <w:r w:rsidRPr="006F4F42">
        <w:t xml:space="preserve">etrieval </w:t>
      </w:r>
      <w:r>
        <w:t xml:space="preserve">of gametes or tissue </w:t>
      </w:r>
      <w:r w:rsidRPr="006F4F42">
        <w:t xml:space="preserve">after death </w:t>
      </w:r>
      <w:r>
        <w:t xml:space="preserve">could not meet the threshold of informed consent in almost all cases, and noted its concerns </w:t>
      </w:r>
      <w:r w:rsidRPr="006F4F42">
        <w:t xml:space="preserve">that </w:t>
      </w:r>
      <w:r>
        <w:t xml:space="preserve">the guidelines would allow </w:t>
      </w:r>
      <w:r w:rsidRPr="006F4F42">
        <w:t xml:space="preserve">gametes retrieved after death without explicit consent </w:t>
      </w:r>
      <w:r>
        <w:t xml:space="preserve">to </w:t>
      </w:r>
      <w:r w:rsidRPr="006F4F42">
        <w:t>be used</w:t>
      </w:r>
      <w:r>
        <w:t xml:space="preserve"> to create a child without the deceased person</w:t>
      </w:r>
      <w:r w:rsidR="00C303B7">
        <w:t>’</w:t>
      </w:r>
      <w:r>
        <w:t>s consent</w:t>
      </w:r>
      <w:r w:rsidRPr="006F4F42">
        <w:t>.</w:t>
      </w:r>
    </w:p>
    <w:p w14:paraId="07FBEA62" w14:textId="77777777" w:rsidR="00295848" w:rsidRDefault="00295848" w:rsidP="00295848"/>
    <w:p w14:paraId="665B6D64" w14:textId="77777777" w:rsidR="00E52CAF" w:rsidRDefault="00E52CAF" w:rsidP="00295848">
      <w:r>
        <w:t>One submitter who agreed with this proposal also argued for the partner of the deceased person to be the only one who could provide evidence of consent.</w:t>
      </w:r>
    </w:p>
    <w:p w14:paraId="5C809395" w14:textId="77777777" w:rsidR="00295848" w:rsidRDefault="00295848" w:rsidP="00295848"/>
    <w:p w14:paraId="4BAA9771" w14:textId="77777777" w:rsidR="00E52CAF" w:rsidRDefault="00E52CAF" w:rsidP="00295848">
      <w:r>
        <w:t>A few other submitters suggested that it will not always be the intending parent/partner seeking to use the gametes, and accordingly ethical oversight is important.</w:t>
      </w:r>
    </w:p>
    <w:p w14:paraId="6A809B7F" w14:textId="77777777" w:rsidR="00295848" w:rsidRDefault="00295848" w:rsidP="00295848"/>
    <w:p w14:paraId="62DA41FC" w14:textId="197CA273" w:rsidR="00E52CAF" w:rsidRDefault="00E52CAF" w:rsidP="00295848">
      <w:r>
        <w:t xml:space="preserve">Those who did not agree with this proposal gave reasons for not requiring evidence of consent, stating that this would set the bar too high and would not allow parents and </w:t>
      </w:r>
      <w:proofErr w:type="spellStart"/>
      <w:r>
        <w:t>wh</w:t>
      </w:r>
      <w:r w:rsidRPr="00B87E99">
        <w:t>ā</w:t>
      </w:r>
      <w:r>
        <w:t>nau</w:t>
      </w:r>
      <w:proofErr w:type="spellEnd"/>
      <w:r>
        <w:t xml:space="preserve"> to have access to their deceased children</w:t>
      </w:r>
      <w:r w:rsidR="00C303B7">
        <w:t>’</w:t>
      </w:r>
      <w:r>
        <w:t>s stored gametes. They noted that the wor</w:t>
      </w:r>
      <w:r w:rsidR="00224AFE">
        <w:t>d</w:t>
      </w:r>
      <w:r>
        <w:t xml:space="preserve"> </w:t>
      </w:r>
      <w:r w:rsidR="00C303B7">
        <w:t>‘</w:t>
      </w:r>
      <w:r>
        <w:t>must</w:t>
      </w:r>
      <w:r w:rsidR="00C303B7">
        <w:t>’</w:t>
      </w:r>
      <w:r>
        <w:t xml:space="preserve"> should be removed from this section.</w:t>
      </w:r>
    </w:p>
    <w:p w14:paraId="6A223B22" w14:textId="77777777" w:rsidR="00295848" w:rsidRDefault="00295848" w:rsidP="00295848"/>
    <w:p w14:paraId="3E437858" w14:textId="77777777" w:rsidR="00E52CAF" w:rsidRDefault="00E52CAF" w:rsidP="00295848">
      <w:r>
        <w:t xml:space="preserve">A few submissions noted </w:t>
      </w:r>
      <w:r w:rsidRPr="0028634E">
        <w:t xml:space="preserve">that a distinction exists between situations where there is a provision of consent at the time of storage and situations where </w:t>
      </w:r>
      <w:r>
        <w:t xml:space="preserve">a court authorises </w:t>
      </w:r>
      <w:r w:rsidRPr="0028634E">
        <w:t>posthumous retrieval</w:t>
      </w:r>
      <w:r>
        <w:t>. One submitter s</w:t>
      </w:r>
      <w:r w:rsidRPr="0028634E">
        <w:t xml:space="preserve">uggested that </w:t>
      </w:r>
      <w:r>
        <w:t xml:space="preserve">the guidelines should grant </w:t>
      </w:r>
      <w:r w:rsidRPr="0028634E">
        <w:t>ECART discretion to decide what constitutes sufficient evidence in either situation.</w:t>
      </w:r>
    </w:p>
    <w:p w14:paraId="3D6C9E83" w14:textId="77777777" w:rsidR="00295848" w:rsidRDefault="00295848" w:rsidP="00295848"/>
    <w:p w14:paraId="0B09D991" w14:textId="77777777" w:rsidR="00C303B7" w:rsidRDefault="00B25B12" w:rsidP="001D6D23">
      <w:pPr>
        <w:pStyle w:val="Heading2"/>
        <w:rPr>
          <w:noProof/>
        </w:rPr>
      </w:pPr>
      <w:bookmarkStart w:id="33" w:name="_Toc57205605"/>
      <w:r>
        <w:rPr>
          <w:noProof/>
        </w:rPr>
        <w:t>D</w:t>
      </w:r>
      <w:r w:rsidR="001D6D23">
        <w:rPr>
          <w:noProof/>
        </w:rPr>
        <w:t>.</w:t>
      </w:r>
      <w:r w:rsidR="001D6D23">
        <w:rPr>
          <w:noProof/>
        </w:rPr>
        <w:tab/>
      </w:r>
      <w:r w:rsidR="00E52CAF" w:rsidRPr="00BE7D8A">
        <w:rPr>
          <w:noProof/>
        </w:rPr>
        <w:t>The evidence of consent may be written or oral</w:t>
      </w:r>
      <w:bookmarkEnd w:id="33"/>
    </w:p>
    <w:p w14:paraId="13EC3837" w14:textId="77777777" w:rsidR="00E52CAF" w:rsidRPr="00BE7D8A" w:rsidRDefault="00E52CAF" w:rsidP="00295848">
      <w:pPr>
        <w:pStyle w:val="Heading3"/>
      </w:pPr>
      <w:r w:rsidRPr="00BE7D8A">
        <w:t>Question 8</w:t>
      </w:r>
    </w:p>
    <w:p w14:paraId="683553B8" w14:textId="77777777" w:rsidR="00C303B7" w:rsidRDefault="00E52CAF" w:rsidP="00295848">
      <w:pPr>
        <w:pStyle w:val="Box"/>
      </w:pPr>
      <w:r w:rsidRPr="00BE7D8A">
        <w:t>Do you agree that oral consent is acceptable?</w:t>
      </w:r>
    </w:p>
    <w:p w14:paraId="60D9AD75" w14:textId="77777777" w:rsidR="00295848" w:rsidRDefault="00295848" w:rsidP="00295848"/>
    <w:p w14:paraId="19E045C3" w14:textId="77777777" w:rsidR="00E52CAF" w:rsidRDefault="00E52CAF" w:rsidP="00295848">
      <w:r>
        <w:t>There were 32 responses to this question.</w:t>
      </w:r>
    </w:p>
    <w:p w14:paraId="4BE0FEAA"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7ADDD977" w14:textId="77777777" w:rsidTr="00295848">
        <w:trPr>
          <w:cantSplit/>
        </w:trPr>
        <w:tc>
          <w:tcPr>
            <w:tcW w:w="1843" w:type="dxa"/>
            <w:tcBorders>
              <w:top w:val="single" w:sz="4" w:space="0" w:color="auto"/>
              <w:bottom w:val="single" w:sz="4" w:space="0" w:color="auto"/>
            </w:tcBorders>
          </w:tcPr>
          <w:p w14:paraId="11969BC6"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59E2B081"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689A19D4" w14:textId="77777777" w:rsidR="00710B30" w:rsidRPr="004E3B58" w:rsidRDefault="00710B30" w:rsidP="00295848">
            <w:pPr>
              <w:pStyle w:val="TableText"/>
              <w:jc w:val="right"/>
              <w:rPr>
                <w:b/>
              </w:rPr>
            </w:pPr>
            <w:r w:rsidRPr="004E3B58">
              <w:rPr>
                <w:b/>
              </w:rPr>
              <w:t>Percent</w:t>
            </w:r>
          </w:p>
        </w:tc>
      </w:tr>
      <w:tr w:rsidR="00295848" w14:paraId="12F794BB" w14:textId="77777777" w:rsidTr="00295848">
        <w:trPr>
          <w:cantSplit/>
        </w:trPr>
        <w:tc>
          <w:tcPr>
            <w:tcW w:w="1843" w:type="dxa"/>
            <w:tcBorders>
              <w:top w:val="single" w:sz="4" w:space="0" w:color="auto"/>
            </w:tcBorders>
          </w:tcPr>
          <w:p w14:paraId="2BECA94F" w14:textId="77777777" w:rsidR="00295848" w:rsidRDefault="00295848" w:rsidP="00295848">
            <w:pPr>
              <w:pStyle w:val="TableText"/>
            </w:pPr>
            <w:r>
              <w:t>Yes</w:t>
            </w:r>
          </w:p>
        </w:tc>
        <w:tc>
          <w:tcPr>
            <w:tcW w:w="1134" w:type="dxa"/>
            <w:tcBorders>
              <w:top w:val="single" w:sz="4" w:space="0" w:color="auto"/>
            </w:tcBorders>
          </w:tcPr>
          <w:p w14:paraId="312817F0" w14:textId="77777777" w:rsidR="00295848" w:rsidRDefault="00295848" w:rsidP="00295848">
            <w:pPr>
              <w:pStyle w:val="TableText"/>
              <w:jc w:val="right"/>
            </w:pPr>
            <w:r>
              <w:t>24</w:t>
            </w:r>
          </w:p>
        </w:tc>
        <w:tc>
          <w:tcPr>
            <w:tcW w:w="1134" w:type="dxa"/>
            <w:tcBorders>
              <w:top w:val="single" w:sz="4" w:space="0" w:color="auto"/>
            </w:tcBorders>
          </w:tcPr>
          <w:p w14:paraId="6A2B1CAA" w14:textId="77777777" w:rsidR="00295848" w:rsidRDefault="00295848" w:rsidP="00295848">
            <w:pPr>
              <w:pStyle w:val="TableText"/>
              <w:jc w:val="right"/>
            </w:pPr>
            <w:r>
              <w:t>68.57%</w:t>
            </w:r>
          </w:p>
        </w:tc>
      </w:tr>
      <w:tr w:rsidR="00295848" w14:paraId="158747AB" w14:textId="77777777" w:rsidTr="00295848">
        <w:trPr>
          <w:cantSplit/>
        </w:trPr>
        <w:tc>
          <w:tcPr>
            <w:tcW w:w="1843" w:type="dxa"/>
          </w:tcPr>
          <w:p w14:paraId="3F117DC9" w14:textId="77777777" w:rsidR="00295848" w:rsidRDefault="00295848" w:rsidP="00295848">
            <w:pPr>
              <w:pStyle w:val="TableText"/>
            </w:pPr>
            <w:r>
              <w:t>No</w:t>
            </w:r>
          </w:p>
        </w:tc>
        <w:tc>
          <w:tcPr>
            <w:tcW w:w="1134" w:type="dxa"/>
          </w:tcPr>
          <w:p w14:paraId="1D13562C" w14:textId="77777777" w:rsidR="00295848" w:rsidRDefault="00295848" w:rsidP="00295848">
            <w:pPr>
              <w:pStyle w:val="TableText"/>
              <w:jc w:val="right"/>
            </w:pPr>
            <w:r>
              <w:t>8</w:t>
            </w:r>
          </w:p>
        </w:tc>
        <w:tc>
          <w:tcPr>
            <w:tcW w:w="1134" w:type="dxa"/>
          </w:tcPr>
          <w:p w14:paraId="09DD9AC6" w14:textId="77777777" w:rsidR="00295848" w:rsidRDefault="00295848" w:rsidP="00295848">
            <w:pPr>
              <w:pStyle w:val="TableText"/>
              <w:jc w:val="right"/>
            </w:pPr>
            <w:r>
              <w:t>22.86%</w:t>
            </w:r>
          </w:p>
        </w:tc>
      </w:tr>
      <w:tr w:rsidR="00295848" w14:paraId="68E155A3" w14:textId="77777777" w:rsidTr="00295848">
        <w:trPr>
          <w:cantSplit/>
        </w:trPr>
        <w:tc>
          <w:tcPr>
            <w:tcW w:w="1843" w:type="dxa"/>
          </w:tcPr>
          <w:p w14:paraId="01D52545" w14:textId="77777777" w:rsidR="00295848" w:rsidRDefault="00295848" w:rsidP="00295848">
            <w:pPr>
              <w:pStyle w:val="TableText"/>
            </w:pPr>
            <w:r>
              <w:t>Not answered</w:t>
            </w:r>
          </w:p>
        </w:tc>
        <w:tc>
          <w:tcPr>
            <w:tcW w:w="1134" w:type="dxa"/>
          </w:tcPr>
          <w:p w14:paraId="690379BE" w14:textId="77777777" w:rsidR="00295848" w:rsidRDefault="00295848" w:rsidP="00295848">
            <w:pPr>
              <w:pStyle w:val="TableText"/>
              <w:jc w:val="right"/>
            </w:pPr>
            <w:r>
              <w:t>3</w:t>
            </w:r>
          </w:p>
        </w:tc>
        <w:tc>
          <w:tcPr>
            <w:tcW w:w="1134" w:type="dxa"/>
          </w:tcPr>
          <w:p w14:paraId="45625846" w14:textId="77777777" w:rsidR="00295848" w:rsidRDefault="00295848" w:rsidP="00295848">
            <w:pPr>
              <w:pStyle w:val="TableText"/>
              <w:jc w:val="right"/>
            </w:pPr>
            <w:r>
              <w:t>8.57%</w:t>
            </w:r>
          </w:p>
        </w:tc>
      </w:tr>
    </w:tbl>
    <w:p w14:paraId="279F30BF" w14:textId="77777777" w:rsidR="00E52CAF" w:rsidRDefault="00E52CAF" w:rsidP="00295848"/>
    <w:p w14:paraId="211DE3C2" w14:textId="02EF62FD" w:rsidR="00E52CAF" w:rsidRDefault="00E52CAF" w:rsidP="00295848">
      <w:r>
        <w:t>Two fertility provider</w:t>
      </w:r>
      <w:r w:rsidR="00965B51">
        <w:t>s</w:t>
      </w:r>
      <w:r>
        <w:t xml:space="preserve"> did not agree that oral consent for posthumous use of gametes or tissue was </w:t>
      </w:r>
      <w:proofErr w:type="gramStart"/>
      <w:r>
        <w:t>acceptable, and</w:t>
      </w:r>
      <w:proofErr w:type="gramEnd"/>
      <w:r>
        <w:t xml:space="preserve"> thought that consent should always be in writing. Two other fertility providers thought that oral consent could be acceptable, but along with a number of </w:t>
      </w:r>
      <w:r>
        <w:lastRenderedPageBreak/>
        <w:t>other submitters reiterated the need for</w:t>
      </w:r>
      <w:r w:rsidRPr="00BD31D9">
        <w:t xml:space="preserve"> clearer guidance on what constitutes sufficient oral consent</w:t>
      </w:r>
      <w:r>
        <w:t>.</w:t>
      </w:r>
    </w:p>
    <w:p w14:paraId="12B75130" w14:textId="77777777" w:rsidR="00E52CAF" w:rsidRDefault="00E52CAF" w:rsidP="00295848"/>
    <w:p w14:paraId="1DB24B66" w14:textId="77777777" w:rsidR="00C303B7" w:rsidRDefault="00E52CAF" w:rsidP="00295848">
      <w:r>
        <w:t>Three submitters did not agree with this proposal for the reason that they did not believe that oral consent can meet the requirements of informed consent, and said although oral consent is allowed in other areas of health care, it is not appropriate for posthumous retrieval and use of gametes and tissue.</w:t>
      </w:r>
    </w:p>
    <w:p w14:paraId="5C033AEE" w14:textId="77777777" w:rsidR="00E52CAF" w:rsidRDefault="00E52CAF" w:rsidP="00295848"/>
    <w:p w14:paraId="02F8A31E" w14:textId="77777777" w:rsidR="00C303B7" w:rsidRDefault="00E52CAF" w:rsidP="00295848">
      <w:r>
        <w:t>A few submitters suggested that the guidelines should allow ECART to decide on this issue on a case-by-case basis, stating that they did not want to see some individuals miss out because in their cases there had not been time to obtain written consent.</w:t>
      </w:r>
    </w:p>
    <w:p w14:paraId="17966388" w14:textId="77777777" w:rsidR="00E52CAF" w:rsidRPr="00F172C3" w:rsidRDefault="00E52CAF" w:rsidP="00295848"/>
    <w:p w14:paraId="7F7523A2" w14:textId="77777777" w:rsidR="00E52CAF" w:rsidRPr="00BE7D8A" w:rsidRDefault="00E52CAF" w:rsidP="00295848">
      <w:pPr>
        <w:pStyle w:val="Heading3"/>
      </w:pPr>
      <w:r w:rsidRPr="00BE7D8A">
        <w:t>Question 9</w:t>
      </w:r>
    </w:p>
    <w:p w14:paraId="4BE4FCC8" w14:textId="77777777" w:rsidR="00E52CAF" w:rsidRDefault="00E52CAF" w:rsidP="00295848">
      <w:pPr>
        <w:pStyle w:val="Box"/>
      </w:pPr>
      <w:r w:rsidRPr="00BE7D8A">
        <w:t>Do you agree that there must be evidence of oral consent for that consent to be acceptable?</w:t>
      </w:r>
    </w:p>
    <w:p w14:paraId="2AC2531C" w14:textId="77777777" w:rsidR="00295848" w:rsidRDefault="00295848" w:rsidP="00295848"/>
    <w:p w14:paraId="7BFB1376" w14:textId="77777777" w:rsidR="00E52CAF" w:rsidRDefault="00E52CAF" w:rsidP="00295848">
      <w:r>
        <w:t>There were 29 responses to this question.</w:t>
      </w:r>
    </w:p>
    <w:p w14:paraId="6A26A235"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008AAB61" w14:textId="77777777" w:rsidTr="00295848">
        <w:trPr>
          <w:cantSplit/>
        </w:trPr>
        <w:tc>
          <w:tcPr>
            <w:tcW w:w="1843" w:type="dxa"/>
            <w:tcBorders>
              <w:top w:val="single" w:sz="4" w:space="0" w:color="auto"/>
              <w:bottom w:val="single" w:sz="4" w:space="0" w:color="auto"/>
            </w:tcBorders>
          </w:tcPr>
          <w:p w14:paraId="6729AD55"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44EB8D2A"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1B9364B1" w14:textId="77777777" w:rsidR="00710B30" w:rsidRPr="004E3B58" w:rsidRDefault="00710B30" w:rsidP="00295848">
            <w:pPr>
              <w:pStyle w:val="TableText"/>
              <w:jc w:val="right"/>
              <w:rPr>
                <w:b/>
              </w:rPr>
            </w:pPr>
            <w:r w:rsidRPr="004E3B58">
              <w:rPr>
                <w:b/>
              </w:rPr>
              <w:t>Percent</w:t>
            </w:r>
          </w:p>
        </w:tc>
      </w:tr>
      <w:tr w:rsidR="00295848" w14:paraId="50C13A21" w14:textId="77777777" w:rsidTr="00295848">
        <w:trPr>
          <w:cantSplit/>
        </w:trPr>
        <w:tc>
          <w:tcPr>
            <w:tcW w:w="1843" w:type="dxa"/>
            <w:tcBorders>
              <w:top w:val="single" w:sz="4" w:space="0" w:color="auto"/>
            </w:tcBorders>
          </w:tcPr>
          <w:p w14:paraId="62DD49E1" w14:textId="77777777" w:rsidR="00295848" w:rsidRDefault="00295848" w:rsidP="00295848">
            <w:pPr>
              <w:pStyle w:val="TableText"/>
            </w:pPr>
            <w:r>
              <w:t>Yes</w:t>
            </w:r>
          </w:p>
        </w:tc>
        <w:tc>
          <w:tcPr>
            <w:tcW w:w="1134" w:type="dxa"/>
            <w:tcBorders>
              <w:top w:val="single" w:sz="4" w:space="0" w:color="auto"/>
            </w:tcBorders>
          </w:tcPr>
          <w:p w14:paraId="5E682BEE" w14:textId="77777777" w:rsidR="00295848" w:rsidRDefault="00295848" w:rsidP="00295848">
            <w:pPr>
              <w:pStyle w:val="TableText"/>
              <w:jc w:val="right"/>
            </w:pPr>
            <w:r>
              <w:t>25</w:t>
            </w:r>
          </w:p>
        </w:tc>
        <w:tc>
          <w:tcPr>
            <w:tcW w:w="1134" w:type="dxa"/>
            <w:tcBorders>
              <w:top w:val="single" w:sz="4" w:space="0" w:color="auto"/>
            </w:tcBorders>
          </w:tcPr>
          <w:p w14:paraId="5D6A440B" w14:textId="77777777" w:rsidR="00295848" w:rsidRDefault="00295848" w:rsidP="00295848">
            <w:pPr>
              <w:pStyle w:val="TableText"/>
              <w:jc w:val="right"/>
            </w:pPr>
            <w:r>
              <w:t>71.43%</w:t>
            </w:r>
          </w:p>
        </w:tc>
      </w:tr>
      <w:tr w:rsidR="00295848" w14:paraId="6C716567" w14:textId="77777777" w:rsidTr="00295848">
        <w:trPr>
          <w:cantSplit/>
        </w:trPr>
        <w:tc>
          <w:tcPr>
            <w:tcW w:w="1843" w:type="dxa"/>
          </w:tcPr>
          <w:p w14:paraId="1FDFDF8E" w14:textId="77777777" w:rsidR="00295848" w:rsidRDefault="00295848" w:rsidP="00295848">
            <w:pPr>
              <w:pStyle w:val="TableText"/>
            </w:pPr>
            <w:r>
              <w:t>No</w:t>
            </w:r>
          </w:p>
        </w:tc>
        <w:tc>
          <w:tcPr>
            <w:tcW w:w="1134" w:type="dxa"/>
          </w:tcPr>
          <w:p w14:paraId="6A8FFCB6" w14:textId="77777777" w:rsidR="00295848" w:rsidRDefault="00295848" w:rsidP="00295848">
            <w:pPr>
              <w:pStyle w:val="TableText"/>
              <w:jc w:val="right"/>
            </w:pPr>
            <w:r>
              <w:t>4</w:t>
            </w:r>
          </w:p>
        </w:tc>
        <w:tc>
          <w:tcPr>
            <w:tcW w:w="1134" w:type="dxa"/>
          </w:tcPr>
          <w:p w14:paraId="30DEBFD0" w14:textId="77777777" w:rsidR="00295848" w:rsidRDefault="00295848" w:rsidP="00295848">
            <w:pPr>
              <w:pStyle w:val="TableText"/>
              <w:jc w:val="right"/>
            </w:pPr>
            <w:r>
              <w:t>11.43%</w:t>
            </w:r>
          </w:p>
        </w:tc>
      </w:tr>
      <w:tr w:rsidR="00295848" w14:paraId="05B728D0" w14:textId="77777777" w:rsidTr="00295848">
        <w:trPr>
          <w:cantSplit/>
        </w:trPr>
        <w:tc>
          <w:tcPr>
            <w:tcW w:w="1843" w:type="dxa"/>
          </w:tcPr>
          <w:p w14:paraId="554C0E43" w14:textId="77777777" w:rsidR="00295848" w:rsidRDefault="00295848" w:rsidP="00295848">
            <w:pPr>
              <w:pStyle w:val="TableText"/>
            </w:pPr>
            <w:r>
              <w:t>Not answered</w:t>
            </w:r>
          </w:p>
        </w:tc>
        <w:tc>
          <w:tcPr>
            <w:tcW w:w="1134" w:type="dxa"/>
          </w:tcPr>
          <w:p w14:paraId="61CC0544" w14:textId="77777777" w:rsidR="00295848" w:rsidRDefault="00295848" w:rsidP="00295848">
            <w:pPr>
              <w:pStyle w:val="TableText"/>
              <w:jc w:val="right"/>
            </w:pPr>
            <w:r>
              <w:t>6</w:t>
            </w:r>
          </w:p>
        </w:tc>
        <w:tc>
          <w:tcPr>
            <w:tcW w:w="1134" w:type="dxa"/>
          </w:tcPr>
          <w:p w14:paraId="6AF2F53E" w14:textId="77777777" w:rsidR="00295848" w:rsidRDefault="00295848" w:rsidP="00295848">
            <w:pPr>
              <w:pStyle w:val="TableText"/>
              <w:jc w:val="right"/>
            </w:pPr>
            <w:r>
              <w:t>17.14%</w:t>
            </w:r>
          </w:p>
        </w:tc>
      </w:tr>
    </w:tbl>
    <w:p w14:paraId="5EA56C95" w14:textId="77777777" w:rsidR="00E52CAF" w:rsidRDefault="00E52CAF" w:rsidP="00295848">
      <w:pPr>
        <w:spacing w:before="240"/>
      </w:pPr>
      <w:r>
        <w:t xml:space="preserve">Where submitters thought that </w:t>
      </w:r>
      <w:r w:rsidRPr="001B4AC7">
        <w:t xml:space="preserve">oral consent </w:t>
      </w:r>
      <w:r>
        <w:t xml:space="preserve">was </w:t>
      </w:r>
      <w:r w:rsidRPr="001B4AC7">
        <w:t xml:space="preserve">acceptable, </w:t>
      </w:r>
      <w:r>
        <w:t xml:space="preserve">they generally saw a need </w:t>
      </w:r>
      <w:r w:rsidRPr="001B4AC7">
        <w:t>for evidence of that consent</w:t>
      </w:r>
      <w:r>
        <w:t>; most</w:t>
      </w:r>
      <w:r w:rsidRPr="001B4AC7">
        <w:t xml:space="preserve"> </w:t>
      </w:r>
      <w:r>
        <w:t xml:space="preserve">submitters </w:t>
      </w:r>
      <w:r w:rsidRPr="001B4AC7">
        <w:t>agree</w:t>
      </w:r>
      <w:r>
        <w:t>d</w:t>
      </w:r>
      <w:r w:rsidRPr="001B4AC7">
        <w:t xml:space="preserve"> that evidence of oral consent of some kind was</w:t>
      </w:r>
      <w:r>
        <w:t xml:space="preserve"> required. Some submitters reiterated that they found it difficult to answer the question without clear proposals of what evidence of oral consent might entail.</w:t>
      </w:r>
    </w:p>
    <w:p w14:paraId="0B4372BD" w14:textId="77777777" w:rsidR="00295848" w:rsidRDefault="00295848" w:rsidP="00295848"/>
    <w:p w14:paraId="359571A3" w14:textId="4DDA9AC8" w:rsidR="00C303B7" w:rsidRDefault="00E52CAF" w:rsidP="00295848">
      <w:r>
        <w:t xml:space="preserve">ACART heard that evidence of the oral consent should be required for the consent to be recognised as valid – otherwise that consent was simply </w:t>
      </w:r>
      <w:r w:rsidR="00C303B7">
        <w:t>‘</w:t>
      </w:r>
      <w:r>
        <w:t>inferred</w:t>
      </w:r>
      <w:r w:rsidR="00C303B7">
        <w:t>’</w:t>
      </w:r>
      <w:r>
        <w:t xml:space="preserve">. A few submitters stated that oral consent </w:t>
      </w:r>
      <w:r w:rsidRPr="00336E57">
        <w:rPr>
          <w:i/>
          <w:iCs/>
        </w:rPr>
        <w:t>was</w:t>
      </w:r>
      <w:r>
        <w:t xml:space="preserve"> inferred consent, rather than true and robust consent. One fertility provider reiterated its concern that oral consent was not acceptable as it cannot be informed, and two other fertility providers thought that there should be a level of formality to oral consent, such as an affidavit or an independent witness.</w:t>
      </w:r>
    </w:p>
    <w:p w14:paraId="41353DCD" w14:textId="77777777" w:rsidR="00295848" w:rsidRDefault="00295848" w:rsidP="00295848"/>
    <w:p w14:paraId="3290B52B" w14:textId="339C9562" w:rsidR="00C303B7" w:rsidRDefault="00E52CAF" w:rsidP="00295848">
      <w:r>
        <w:t>Many people thought that family and friends should be able to vouch for the oral consent. In particular, one submitter</w:t>
      </w:r>
      <w:r w:rsidR="00965B51">
        <w:t xml:space="preserve"> </w:t>
      </w:r>
      <w:r>
        <w:t xml:space="preserve">suggested the evidence could be informal, such as text or email proof, or statements corroborated by someone who was close to the person. This line of reasoning is in keeping with a theme that emerged in the stage one consultation, that </w:t>
      </w:r>
      <w:r w:rsidR="00C303B7">
        <w:t>‘</w:t>
      </w:r>
      <w:r>
        <w:t>family knows the person best</w:t>
      </w:r>
      <w:r w:rsidR="00C303B7">
        <w:t>’</w:t>
      </w:r>
      <w:r>
        <w:t>. However, some submitters specifically noted that the evidence needed to be from someone independent from the person who would benefit from using a deceased person</w:t>
      </w:r>
      <w:r w:rsidR="00C303B7">
        <w:t>’</w:t>
      </w:r>
      <w:r>
        <w:t>s gametes, to allow objective proof of the consent, and to mitigate any conflicts of interest.</w:t>
      </w:r>
    </w:p>
    <w:p w14:paraId="74830856" w14:textId="77777777" w:rsidR="00295848" w:rsidRDefault="00295848" w:rsidP="00295848"/>
    <w:p w14:paraId="61E3C3A6" w14:textId="77777777" w:rsidR="00E52CAF" w:rsidRDefault="00E52CAF" w:rsidP="00295848">
      <w:r>
        <w:t>ECART reiterated that the guidelines should provide it with the discretion to decide what constitutes sufficient evidence for different situations.</w:t>
      </w:r>
    </w:p>
    <w:p w14:paraId="79D5B39C" w14:textId="77777777" w:rsidR="00295848" w:rsidRDefault="00295848" w:rsidP="00295848"/>
    <w:p w14:paraId="16584EA0" w14:textId="77777777" w:rsidR="00E52CAF" w:rsidRPr="0049118D" w:rsidRDefault="00B25B12" w:rsidP="001D6D23">
      <w:pPr>
        <w:pStyle w:val="Heading2"/>
        <w:ind w:left="567" w:hanging="567"/>
        <w:rPr>
          <w:noProof/>
        </w:rPr>
      </w:pPr>
      <w:bookmarkStart w:id="34" w:name="_Toc57205606"/>
      <w:r>
        <w:rPr>
          <w:noProof/>
        </w:rPr>
        <w:t>E</w:t>
      </w:r>
      <w:r w:rsidR="001D6D23">
        <w:rPr>
          <w:noProof/>
        </w:rPr>
        <w:t>.</w:t>
      </w:r>
      <w:r w:rsidR="001D6D23">
        <w:rPr>
          <w:noProof/>
        </w:rPr>
        <w:tab/>
      </w:r>
      <w:r w:rsidR="00E52CAF" w:rsidRPr="0049118D">
        <w:rPr>
          <w:noProof/>
        </w:rPr>
        <w:t>In most cases, the deceased</w:t>
      </w:r>
      <w:r w:rsidR="00C303B7">
        <w:rPr>
          <w:noProof/>
        </w:rPr>
        <w:t>’</w:t>
      </w:r>
      <w:r w:rsidR="00E52CAF" w:rsidRPr="0049118D">
        <w:rPr>
          <w:noProof/>
        </w:rPr>
        <w:t>s consent to retrieval can be inferred from their consent to posthumous use</w:t>
      </w:r>
      <w:bookmarkEnd w:id="34"/>
    </w:p>
    <w:p w14:paraId="54CD19C7" w14:textId="77777777" w:rsidR="00E52CAF" w:rsidRPr="00BE7D8A" w:rsidRDefault="00E52CAF" w:rsidP="00295848">
      <w:pPr>
        <w:pStyle w:val="Heading3"/>
      </w:pPr>
      <w:r w:rsidRPr="00BE7D8A">
        <w:t>Question 10</w:t>
      </w:r>
    </w:p>
    <w:p w14:paraId="5B62D656" w14:textId="77777777" w:rsidR="00C303B7" w:rsidRDefault="00E52CAF" w:rsidP="00295848">
      <w:pPr>
        <w:pStyle w:val="Box"/>
      </w:pPr>
      <w:r w:rsidRPr="00BE7D8A">
        <w:t>Do you agree that consent to posthumous use of gametes or reproductive tissue can be taken to imply consent to posthumous retrieval of the gametes or tissue?</w:t>
      </w:r>
    </w:p>
    <w:p w14:paraId="79C5826C" w14:textId="77777777" w:rsidR="00295848" w:rsidRDefault="00295848" w:rsidP="00295848"/>
    <w:p w14:paraId="292959A1" w14:textId="77777777" w:rsidR="00E52CAF" w:rsidRDefault="00E52CAF" w:rsidP="00295848">
      <w:r>
        <w:t>There were 32 responses to this question.</w:t>
      </w:r>
    </w:p>
    <w:p w14:paraId="32603AA6"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4FF7AC6F" w14:textId="77777777" w:rsidTr="00295848">
        <w:trPr>
          <w:cantSplit/>
        </w:trPr>
        <w:tc>
          <w:tcPr>
            <w:tcW w:w="1843" w:type="dxa"/>
            <w:tcBorders>
              <w:top w:val="single" w:sz="4" w:space="0" w:color="auto"/>
              <w:bottom w:val="single" w:sz="4" w:space="0" w:color="auto"/>
            </w:tcBorders>
          </w:tcPr>
          <w:p w14:paraId="30B6BEE2"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6DC5B000"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53FDF047" w14:textId="77777777" w:rsidR="00710B30" w:rsidRPr="004E3B58" w:rsidRDefault="00710B30" w:rsidP="00295848">
            <w:pPr>
              <w:pStyle w:val="TableText"/>
              <w:jc w:val="right"/>
              <w:rPr>
                <w:b/>
              </w:rPr>
            </w:pPr>
            <w:r w:rsidRPr="004E3B58">
              <w:rPr>
                <w:b/>
              </w:rPr>
              <w:t>Percent</w:t>
            </w:r>
          </w:p>
        </w:tc>
      </w:tr>
      <w:tr w:rsidR="00295848" w14:paraId="5B9AA7EC" w14:textId="77777777" w:rsidTr="00295848">
        <w:trPr>
          <w:cantSplit/>
        </w:trPr>
        <w:tc>
          <w:tcPr>
            <w:tcW w:w="1843" w:type="dxa"/>
            <w:tcBorders>
              <w:top w:val="single" w:sz="4" w:space="0" w:color="auto"/>
            </w:tcBorders>
          </w:tcPr>
          <w:p w14:paraId="6B9EF397" w14:textId="77777777" w:rsidR="00295848" w:rsidRDefault="00295848" w:rsidP="00295848">
            <w:pPr>
              <w:pStyle w:val="TableText"/>
            </w:pPr>
            <w:r>
              <w:t>Yes</w:t>
            </w:r>
          </w:p>
        </w:tc>
        <w:tc>
          <w:tcPr>
            <w:tcW w:w="1134" w:type="dxa"/>
            <w:tcBorders>
              <w:top w:val="single" w:sz="4" w:space="0" w:color="auto"/>
            </w:tcBorders>
          </w:tcPr>
          <w:p w14:paraId="4BF3DCD1" w14:textId="77777777" w:rsidR="00295848" w:rsidRDefault="00295848" w:rsidP="00295848">
            <w:pPr>
              <w:pStyle w:val="TableText"/>
              <w:jc w:val="right"/>
            </w:pPr>
            <w:r>
              <w:t>19</w:t>
            </w:r>
          </w:p>
        </w:tc>
        <w:tc>
          <w:tcPr>
            <w:tcW w:w="1134" w:type="dxa"/>
            <w:tcBorders>
              <w:top w:val="single" w:sz="4" w:space="0" w:color="auto"/>
            </w:tcBorders>
          </w:tcPr>
          <w:p w14:paraId="656B2C98" w14:textId="77777777" w:rsidR="00295848" w:rsidRDefault="00295848" w:rsidP="00295848">
            <w:pPr>
              <w:pStyle w:val="TableText"/>
              <w:jc w:val="right"/>
            </w:pPr>
            <w:r>
              <w:t>54.29%</w:t>
            </w:r>
          </w:p>
        </w:tc>
      </w:tr>
      <w:tr w:rsidR="00295848" w14:paraId="71398D72" w14:textId="77777777" w:rsidTr="00295848">
        <w:trPr>
          <w:cantSplit/>
        </w:trPr>
        <w:tc>
          <w:tcPr>
            <w:tcW w:w="1843" w:type="dxa"/>
          </w:tcPr>
          <w:p w14:paraId="5728E75E" w14:textId="77777777" w:rsidR="00295848" w:rsidRDefault="00295848" w:rsidP="00295848">
            <w:pPr>
              <w:pStyle w:val="TableText"/>
            </w:pPr>
            <w:r>
              <w:t>No</w:t>
            </w:r>
          </w:p>
        </w:tc>
        <w:tc>
          <w:tcPr>
            <w:tcW w:w="1134" w:type="dxa"/>
          </w:tcPr>
          <w:p w14:paraId="5740EACC" w14:textId="77777777" w:rsidR="00295848" w:rsidRDefault="00295848" w:rsidP="00295848">
            <w:pPr>
              <w:pStyle w:val="TableText"/>
              <w:jc w:val="right"/>
            </w:pPr>
            <w:r>
              <w:t>13</w:t>
            </w:r>
          </w:p>
        </w:tc>
        <w:tc>
          <w:tcPr>
            <w:tcW w:w="1134" w:type="dxa"/>
          </w:tcPr>
          <w:p w14:paraId="707C724B" w14:textId="77777777" w:rsidR="00295848" w:rsidRDefault="00295848" w:rsidP="00295848">
            <w:pPr>
              <w:pStyle w:val="TableText"/>
              <w:jc w:val="right"/>
            </w:pPr>
            <w:r>
              <w:t>37.14%</w:t>
            </w:r>
          </w:p>
        </w:tc>
      </w:tr>
      <w:tr w:rsidR="00295848" w14:paraId="24E7C570" w14:textId="77777777" w:rsidTr="00295848">
        <w:trPr>
          <w:cantSplit/>
        </w:trPr>
        <w:tc>
          <w:tcPr>
            <w:tcW w:w="1843" w:type="dxa"/>
          </w:tcPr>
          <w:p w14:paraId="47F44553" w14:textId="77777777" w:rsidR="00295848" w:rsidRDefault="00295848" w:rsidP="00295848">
            <w:pPr>
              <w:pStyle w:val="TableText"/>
            </w:pPr>
            <w:r>
              <w:t>Not answered</w:t>
            </w:r>
          </w:p>
        </w:tc>
        <w:tc>
          <w:tcPr>
            <w:tcW w:w="1134" w:type="dxa"/>
          </w:tcPr>
          <w:p w14:paraId="01146530" w14:textId="77777777" w:rsidR="00295848" w:rsidRDefault="00295848" w:rsidP="00295848">
            <w:pPr>
              <w:pStyle w:val="TableText"/>
              <w:jc w:val="right"/>
            </w:pPr>
            <w:r>
              <w:t>3</w:t>
            </w:r>
          </w:p>
        </w:tc>
        <w:tc>
          <w:tcPr>
            <w:tcW w:w="1134" w:type="dxa"/>
          </w:tcPr>
          <w:p w14:paraId="067A825C" w14:textId="77777777" w:rsidR="00295848" w:rsidRDefault="00295848" w:rsidP="00295848">
            <w:pPr>
              <w:pStyle w:val="TableText"/>
              <w:jc w:val="right"/>
            </w:pPr>
            <w:r>
              <w:t>8.57%</w:t>
            </w:r>
          </w:p>
        </w:tc>
      </w:tr>
    </w:tbl>
    <w:p w14:paraId="6A8E19A2" w14:textId="77777777" w:rsidR="00710B30" w:rsidRDefault="00710B30" w:rsidP="00295848"/>
    <w:p w14:paraId="687A4264" w14:textId="77777777" w:rsidR="00C303B7" w:rsidRDefault="00E52CAF" w:rsidP="00295848">
      <w:pPr>
        <w:keepNext/>
        <w:keepLines/>
      </w:pPr>
      <w:r>
        <w:t>Opinions were mixed on this question, but submitters</w:t>
      </w:r>
      <w:r w:rsidR="00C303B7">
        <w:t>’</w:t>
      </w:r>
      <w:r>
        <w:t xml:space="preserve"> comments indicated that they were mostly supportive of the proposal. Those that did not support the proposal commented along the theme that it was wrong to remove someone</w:t>
      </w:r>
      <w:r w:rsidR="00C303B7">
        <w:t>’</w:t>
      </w:r>
      <w:r>
        <w:t>s tissue after their death without their explicit consent to do so.</w:t>
      </w:r>
    </w:p>
    <w:p w14:paraId="3551D317" w14:textId="77777777" w:rsidR="00295848" w:rsidRDefault="00295848" w:rsidP="00295848"/>
    <w:p w14:paraId="1F1BEE40" w14:textId="77777777" w:rsidR="00C303B7" w:rsidRDefault="00E52CAF" w:rsidP="00295848">
      <w:r>
        <w:t>One submitter who agreed that consent for posthumous use would often imply a consent to retrieval further argued that ECART should look for evidence of the individual</w:t>
      </w:r>
      <w:r w:rsidR="00C303B7">
        <w:t>’</w:t>
      </w:r>
      <w:r>
        <w:t>s cultural and spiritual beliefs, to ensure that all relevant aspects of an individual</w:t>
      </w:r>
      <w:r w:rsidR="00C303B7">
        <w:t>’</w:t>
      </w:r>
      <w:r>
        <w:t xml:space="preserve">s value system were </w:t>
      </w:r>
      <w:proofErr w:type="gramStart"/>
      <w:r>
        <w:t>taken into account</w:t>
      </w:r>
      <w:proofErr w:type="gramEnd"/>
      <w:r>
        <w:t>.</w:t>
      </w:r>
    </w:p>
    <w:p w14:paraId="0D8FDF60" w14:textId="77777777" w:rsidR="00295848" w:rsidRDefault="00295848" w:rsidP="00295848"/>
    <w:p w14:paraId="63791C59" w14:textId="77777777" w:rsidR="00E52CAF" w:rsidRDefault="00E52CAF" w:rsidP="00295848">
      <w:r>
        <w:t>One submitter who agreed with the proposal also noted that there should be a provision in the guidelines for acceptable methods of retrieval that maintain the dignity of the deceased body.</w:t>
      </w:r>
    </w:p>
    <w:p w14:paraId="38415E32" w14:textId="77777777" w:rsidR="00295848" w:rsidRDefault="00295848" w:rsidP="00295848"/>
    <w:p w14:paraId="3EC7722A" w14:textId="5113D483" w:rsidR="00C303B7" w:rsidRDefault="00E52CAF" w:rsidP="00295848">
      <w:r w:rsidRPr="00D33AAF">
        <w:t>E</w:t>
      </w:r>
      <w:r>
        <w:t>CART</w:t>
      </w:r>
      <w:r w:rsidRPr="00D33AAF">
        <w:t xml:space="preserve"> </w:t>
      </w:r>
      <w:r>
        <w:t xml:space="preserve">thought that consent to use without having any frozen material </w:t>
      </w:r>
      <w:r w:rsidRPr="00D33AAF">
        <w:t>cannot be taken to infer</w:t>
      </w:r>
      <w:r>
        <w:t xml:space="preserve"> proper informed</w:t>
      </w:r>
      <w:r w:rsidRPr="00D33AAF">
        <w:t xml:space="preserve"> </w:t>
      </w:r>
      <w:proofErr w:type="gramStart"/>
      <w:r w:rsidRPr="00D33AAF">
        <w:t>consent</w:t>
      </w:r>
      <w:r>
        <w:t>,</w:t>
      </w:r>
      <w:r w:rsidRPr="00D33AAF">
        <w:t xml:space="preserve"> but</w:t>
      </w:r>
      <w:proofErr w:type="gramEnd"/>
      <w:r w:rsidRPr="00D33AAF">
        <w:t xml:space="preserve"> </w:t>
      </w:r>
      <w:r>
        <w:t xml:space="preserve">noted that </w:t>
      </w:r>
      <w:r w:rsidRPr="00D33AAF">
        <w:t xml:space="preserve">if retrieval has been authorised by the </w:t>
      </w:r>
      <w:r w:rsidR="00965B51">
        <w:t>C</w:t>
      </w:r>
      <w:r w:rsidRPr="00D33AAF">
        <w:t xml:space="preserve">ourt then </w:t>
      </w:r>
      <w:r>
        <w:t>ECART</w:t>
      </w:r>
      <w:r w:rsidRPr="00D33AAF">
        <w:t xml:space="preserve"> </w:t>
      </w:r>
      <w:r>
        <w:t>c</w:t>
      </w:r>
      <w:r w:rsidRPr="00D33AAF">
        <w:t>ould determine on a case</w:t>
      </w:r>
      <w:r>
        <w:t>-</w:t>
      </w:r>
      <w:r w:rsidRPr="00D33AAF">
        <w:t>by</w:t>
      </w:r>
      <w:r>
        <w:t>-</w:t>
      </w:r>
      <w:r w:rsidRPr="00D33AAF">
        <w:t>case basis whether consent could be inferred.</w:t>
      </w:r>
    </w:p>
    <w:p w14:paraId="04739279" w14:textId="77777777" w:rsidR="00295848" w:rsidRDefault="00295848" w:rsidP="00295848"/>
    <w:p w14:paraId="60C6DDEF" w14:textId="64D78719" w:rsidR="00C303B7" w:rsidRDefault="00E52CAF" w:rsidP="00295848">
      <w:r>
        <w:t>Two fertility providers</w:t>
      </w:r>
      <w:r w:rsidR="00965B51">
        <w:t xml:space="preserve"> </w:t>
      </w:r>
      <w:r>
        <w:t>thought that where an individual said that gametes could be used after their death knowing that they did not yet have any stored was consent to posthumous retrieval. Two other fertility providers did not share this view.</w:t>
      </w:r>
    </w:p>
    <w:p w14:paraId="483CF995" w14:textId="77777777" w:rsidR="00295848" w:rsidRDefault="00295848" w:rsidP="00295848"/>
    <w:p w14:paraId="663FA836" w14:textId="77777777" w:rsidR="00C303B7" w:rsidRDefault="00E52CAF" w:rsidP="00295848">
      <w:r>
        <w:lastRenderedPageBreak/>
        <w:t>One fertility provider distinguished the ethical acceptability of the posthumous retrieval of gametes, noting that it did not believe that consent to the use of stored embryos after a person</w:t>
      </w:r>
      <w:r w:rsidR="00C303B7">
        <w:t>’</w:t>
      </w:r>
      <w:r>
        <w:t>s death implied consent to the posthumous retrieval of further gametes.</w:t>
      </w:r>
    </w:p>
    <w:p w14:paraId="33250CB7" w14:textId="77777777" w:rsidR="00E52CAF" w:rsidRPr="00D33AAF" w:rsidRDefault="00E52CAF" w:rsidP="00295848"/>
    <w:p w14:paraId="2F658DF1" w14:textId="77777777" w:rsidR="00E52CAF" w:rsidRPr="00BE7D8A" w:rsidRDefault="00E52CAF" w:rsidP="00295848">
      <w:pPr>
        <w:pStyle w:val="Heading3"/>
      </w:pPr>
      <w:r w:rsidRPr="00BE7D8A">
        <w:t>Question 11</w:t>
      </w:r>
    </w:p>
    <w:p w14:paraId="660318A3" w14:textId="77777777" w:rsidR="00C303B7" w:rsidRDefault="00E52CAF" w:rsidP="00295848">
      <w:pPr>
        <w:pStyle w:val="Box"/>
      </w:pPr>
      <w:r w:rsidRPr="00BE7D8A">
        <w:t>Do you agree that there is no need to test whether the deceased person had a full understanding of the method of retrieval of the gametes or tissue?</w:t>
      </w:r>
    </w:p>
    <w:p w14:paraId="1FD50700" w14:textId="77777777" w:rsidR="00295848" w:rsidRDefault="00295848" w:rsidP="00295848"/>
    <w:p w14:paraId="4A7A400D" w14:textId="77777777" w:rsidR="00E52CAF" w:rsidRDefault="00E52CAF" w:rsidP="00295848">
      <w:r>
        <w:t>There were 32 responses to this question.</w:t>
      </w:r>
    </w:p>
    <w:p w14:paraId="4EF7FD47"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77B8E0FB" w14:textId="77777777" w:rsidTr="00295848">
        <w:trPr>
          <w:cantSplit/>
        </w:trPr>
        <w:tc>
          <w:tcPr>
            <w:tcW w:w="1843" w:type="dxa"/>
            <w:tcBorders>
              <w:top w:val="single" w:sz="4" w:space="0" w:color="auto"/>
              <w:bottom w:val="single" w:sz="4" w:space="0" w:color="auto"/>
            </w:tcBorders>
          </w:tcPr>
          <w:p w14:paraId="1ABC5C5F"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4730583E"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24B6110D" w14:textId="77777777" w:rsidR="00710B30" w:rsidRPr="004E3B58" w:rsidRDefault="00710B30" w:rsidP="00295848">
            <w:pPr>
              <w:pStyle w:val="TableText"/>
              <w:jc w:val="right"/>
              <w:rPr>
                <w:b/>
              </w:rPr>
            </w:pPr>
            <w:r w:rsidRPr="004E3B58">
              <w:rPr>
                <w:b/>
              </w:rPr>
              <w:t>Percent</w:t>
            </w:r>
          </w:p>
        </w:tc>
      </w:tr>
      <w:tr w:rsidR="00295848" w14:paraId="2339E003" w14:textId="77777777" w:rsidTr="00295848">
        <w:trPr>
          <w:cantSplit/>
        </w:trPr>
        <w:tc>
          <w:tcPr>
            <w:tcW w:w="1843" w:type="dxa"/>
            <w:tcBorders>
              <w:top w:val="single" w:sz="4" w:space="0" w:color="auto"/>
            </w:tcBorders>
          </w:tcPr>
          <w:p w14:paraId="0A9C0568" w14:textId="77777777" w:rsidR="00295848" w:rsidRDefault="00295848" w:rsidP="00295848">
            <w:pPr>
              <w:pStyle w:val="TableText"/>
            </w:pPr>
            <w:r>
              <w:t>Yes</w:t>
            </w:r>
          </w:p>
        </w:tc>
        <w:tc>
          <w:tcPr>
            <w:tcW w:w="1134" w:type="dxa"/>
            <w:tcBorders>
              <w:top w:val="single" w:sz="4" w:space="0" w:color="auto"/>
            </w:tcBorders>
          </w:tcPr>
          <w:p w14:paraId="1E8822F3" w14:textId="77777777" w:rsidR="00295848" w:rsidRDefault="00295848" w:rsidP="00295848">
            <w:pPr>
              <w:pStyle w:val="TableText"/>
              <w:jc w:val="right"/>
            </w:pPr>
            <w:r>
              <w:t>14</w:t>
            </w:r>
          </w:p>
        </w:tc>
        <w:tc>
          <w:tcPr>
            <w:tcW w:w="1134" w:type="dxa"/>
            <w:tcBorders>
              <w:top w:val="single" w:sz="4" w:space="0" w:color="auto"/>
            </w:tcBorders>
          </w:tcPr>
          <w:p w14:paraId="67B198A5" w14:textId="77777777" w:rsidR="00295848" w:rsidRDefault="00295848" w:rsidP="00295848">
            <w:pPr>
              <w:pStyle w:val="TableText"/>
              <w:jc w:val="right"/>
            </w:pPr>
            <w:r>
              <w:t>40.00%</w:t>
            </w:r>
          </w:p>
        </w:tc>
      </w:tr>
      <w:tr w:rsidR="00295848" w14:paraId="3E272A7B" w14:textId="77777777" w:rsidTr="00295848">
        <w:trPr>
          <w:cantSplit/>
        </w:trPr>
        <w:tc>
          <w:tcPr>
            <w:tcW w:w="1843" w:type="dxa"/>
          </w:tcPr>
          <w:p w14:paraId="7E53A668" w14:textId="77777777" w:rsidR="00295848" w:rsidRDefault="00295848" w:rsidP="00295848">
            <w:pPr>
              <w:pStyle w:val="TableText"/>
            </w:pPr>
            <w:r>
              <w:t>No</w:t>
            </w:r>
          </w:p>
        </w:tc>
        <w:tc>
          <w:tcPr>
            <w:tcW w:w="1134" w:type="dxa"/>
          </w:tcPr>
          <w:p w14:paraId="6A23E362" w14:textId="77777777" w:rsidR="00295848" w:rsidRDefault="00295848" w:rsidP="00295848">
            <w:pPr>
              <w:pStyle w:val="TableText"/>
              <w:jc w:val="right"/>
            </w:pPr>
            <w:r>
              <w:t>18</w:t>
            </w:r>
          </w:p>
        </w:tc>
        <w:tc>
          <w:tcPr>
            <w:tcW w:w="1134" w:type="dxa"/>
          </w:tcPr>
          <w:p w14:paraId="7DD70D53" w14:textId="77777777" w:rsidR="00295848" w:rsidRDefault="00295848" w:rsidP="00295848">
            <w:pPr>
              <w:pStyle w:val="TableText"/>
              <w:jc w:val="right"/>
            </w:pPr>
            <w:r>
              <w:t>51.43%</w:t>
            </w:r>
          </w:p>
        </w:tc>
      </w:tr>
      <w:tr w:rsidR="00295848" w14:paraId="6ADBADAC" w14:textId="77777777" w:rsidTr="00295848">
        <w:trPr>
          <w:cantSplit/>
        </w:trPr>
        <w:tc>
          <w:tcPr>
            <w:tcW w:w="1843" w:type="dxa"/>
          </w:tcPr>
          <w:p w14:paraId="7F9577F0" w14:textId="77777777" w:rsidR="00295848" w:rsidRDefault="00295848" w:rsidP="00295848">
            <w:pPr>
              <w:pStyle w:val="TableText"/>
            </w:pPr>
            <w:r>
              <w:t>Not answered</w:t>
            </w:r>
          </w:p>
        </w:tc>
        <w:tc>
          <w:tcPr>
            <w:tcW w:w="1134" w:type="dxa"/>
          </w:tcPr>
          <w:p w14:paraId="2427286D" w14:textId="77777777" w:rsidR="00295848" w:rsidRDefault="00295848" w:rsidP="00295848">
            <w:pPr>
              <w:pStyle w:val="TableText"/>
              <w:jc w:val="right"/>
            </w:pPr>
            <w:r>
              <w:t>3</w:t>
            </w:r>
          </w:p>
        </w:tc>
        <w:tc>
          <w:tcPr>
            <w:tcW w:w="1134" w:type="dxa"/>
          </w:tcPr>
          <w:p w14:paraId="0D46A95B" w14:textId="77777777" w:rsidR="00295848" w:rsidRDefault="00295848" w:rsidP="00295848">
            <w:pPr>
              <w:pStyle w:val="TableText"/>
              <w:jc w:val="right"/>
            </w:pPr>
            <w:r>
              <w:t>8.57%</w:t>
            </w:r>
          </w:p>
        </w:tc>
      </w:tr>
    </w:tbl>
    <w:p w14:paraId="08A2805F" w14:textId="77777777" w:rsidR="00710B30" w:rsidRDefault="00710B30" w:rsidP="00295848"/>
    <w:p w14:paraId="5D236ABE" w14:textId="77777777" w:rsidR="00E52CAF" w:rsidRDefault="00E52CAF" w:rsidP="00295848">
      <w:r>
        <w:t>Opinions were mixed on this question. Submitters</w:t>
      </w:r>
      <w:r w:rsidR="00C303B7">
        <w:t>’</w:t>
      </w:r>
      <w:r>
        <w:t xml:space="preserve"> commentary generally indicated that c</w:t>
      </w:r>
      <w:r w:rsidRPr="00C95562">
        <w:t xml:space="preserve">onsent should ideally illustrate that the </w:t>
      </w:r>
      <w:r>
        <w:t xml:space="preserve">deceased </w:t>
      </w:r>
      <w:r w:rsidRPr="00C95562">
        <w:t xml:space="preserve">person </w:t>
      </w:r>
      <w:proofErr w:type="gramStart"/>
      <w:r w:rsidRPr="00C95562">
        <w:t>had an understanding of</w:t>
      </w:r>
      <w:proofErr w:type="gramEnd"/>
      <w:r w:rsidRPr="00C95562">
        <w:t xml:space="preserve"> what retrieval involves.</w:t>
      </w:r>
      <w:r>
        <w:t xml:space="preserve"> One submitter noted that it depended on the situation.</w:t>
      </w:r>
    </w:p>
    <w:p w14:paraId="32C2D7A3" w14:textId="77777777" w:rsidR="00C303B7" w:rsidRDefault="00E52CAF" w:rsidP="00295848">
      <w:pPr>
        <w:spacing w:before="240"/>
      </w:pPr>
      <w:r>
        <w:t>One submitter noted that because posthumous retrieval of gametes or tissue is invasive, it should be demonstrated that the person had a good understanding of the method of retrieval.</w:t>
      </w:r>
    </w:p>
    <w:p w14:paraId="77D74F2B" w14:textId="77777777" w:rsidR="00295848" w:rsidRDefault="00295848" w:rsidP="00295848"/>
    <w:p w14:paraId="1A05255A" w14:textId="3B66ABB7" w:rsidR="00C303B7" w:rsidRDefault="00E52CAF" w:rsidP="00295848">
      <w:r>
        <w:t xml:space="preserve">One fertility provider thought that consent to retrieval after death where a person knew that they did not yet have any gametes or tissue stored inferred consent to whatever method of retrieval was most appropriate for that person and their </w:t>
      </w:r>
      <w:proofErr w:type="spellStart"/>
      <w:r>
        <w:t>wh</w:t>
      </w:r>
      <w:r w:rsidRPr="00B87E99">
        <w:t>ā</w:t>
      </w:r>
      <w:r>
        <w:t>nau</w:t>
      </w:r>
      <w:proofErr w:type="spellEnd"/>
      <w:r>
        <w:t>.</w:t>
      </w:r>
    </w:p>
    <w:p w14:paraId="5276A391" w14:textId="77777777" w:rsidR="00295848" w:rsidRDefault="00295848" w:rsidP="00295848"/>
    <w:p w14:paraId="2C6DE285" w14:textId="4C22B8F1" w:rsidR="00C303B7" w:rsidRDefault="00965B51" w:rsidP="00295848">
      <w:r>
        <w:t xml:space="preserve">One medical body </w:t>
      </w:r>
      <w:r w:rsidR="00E52CAF">
        <w:t>noted that some people might object to retrieval without consent on the basis of indignity, but said that this should be balanced against the indignity of not being able to contribute to creating a child in situations where it could not be demonstrated that the person fully understood the method of that retrieval.</w:t>
      </w:r>
    </w:p>
    <w:p w14:paraId="0E97D0ED" w14:textId="77777777" w:rsidR="00295848" w:rsidRDefault="00295848" w:rsidP="00295848"/>
    <w:p w14:paraId="7136C7F2" w14:textId="77777777" w:rsidR="00C303B7" w:rsidRDefault="00B25B12" w:rsidP="001D6D23">
      <w:pPr>
        <w:pStyle w:val="Heading2"/>
        <w:ind w:left="567" w:hanging="567"/>
        <w:rPr>
          <w:noProof/>
        </w:rPr>
      </w:pPr>
      <w:bookmarkStart w:id="35" w:name="_Toc57205607"/>
      <w:r>
        <w:rPr>
          <w:noProof/>
        </w:rPr>
        <w:lastRenderedPageBreak/>
        <w:t>F</w:t>
      </w:r>
      <w:r w:rsidR="001D6D23">
        <w:rPr>
          <w:noProof/>
        </w:rPr>
        <w:t>.</w:t>
      </w:r>
      <w:r w:rsidR="001D6D23">
        <w:rPr>
          <w:noProof/>
        </w:rPr>
        <w:tab/>
      </w:r>
      <w:r w:rsidR="00E52CAF">
        <w:rPr>
          <w:noProof/>
        </w:rPr>
        <w:t>ECART or the High Court will be able to authorise retrieval of gametes or reproductive tissue from a deceased person</w:t>
      </w:r>
      <w:bookmarkEnd w:id="35"/>
    </w:p>
    <w:p w14:paraId="5DA1836D" w14:textId="77777777" w:rsidR="00E52CAF" w:rsidRPr="00BE7D8A" w:rsidRDefault="00E52CAF" w:rsidP="00295848">
      <w:pPr>
        <w:pStyle w:val="Heading3"/>
      </w:pPr>
      <w:r w:rsidRPr="00BE7D8A">
        <w:t>Question 12</w:t>
      </w:r>
    </w:p>
    <w:p w14:paraId="183BD7D3" w14:textId="77777777" w:rsidR="00C303B7" w:rsidRDefault="00E52CAF" w:rsidP="00295848">
      <w:pPr>
        <w:pStyle w:val="Box"/>
      </w:pPr>
      <w:r w:rsidRPr="00BE7D8A">
        <w:t>Do you agree that ACART should recommend a change to the HART Order 2005 so that it is clear that posthumous retrieval is never an established procedure?</w:t>
      </w:r>
    </w:p>
    <w:p w14:paraId="4AD36A5B" w14:textId="77777777" w:rsidR="00295848" w:rsidRDefault="00295848" w:rsidP="00295848"/>
    <w:p w14:paraId="2BA40172" w14:textId="77777777" w:rsidR="00E52CAF" w:rsidRDefault="00E52CAF" w:rsidP="00295848">
      <w:r>
        <w:t>There were 33 responses to this question.</w:t>
      </w:r>
    </w:p>
    <w:p w14:paraId="4DD84AD4"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774E7A7E" w14:textId="77777777" w:rsidTr="00295848">
        <w:trPr>
          <w:cantSplit/>
        </w:trPr>
        <w:tc>
          <w:tcPr>
            <w:tcW w:w="1843" w:type="dxa"/>
            <w:tcBorders>
              <w:top w:val="single" w:sz="4" w:space="0" w:color="auto"/>
              <w:bottom w:val="single" w:sz="4" w:space="0" w:color="auto"/>
            </w:tcBorders>
          </w:tcPr>
          <w:p w14:paraId="7DBB8DBD"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1F398CFD"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7DE28D2A" w14:textId="77777777" w:rsidR="00710B30" w:rsidRPr="004E3B58" w:rsidRDefault="00710B30" w:rsidP="00295848">
            <w:pPr>
              <w:pStyle w:val="TableText"/>
              <w:jc w:val="right"/>
              <w:rPr>
                <w:b/>
              </w:rPr>
            </w:pPr>
            <w:r w:rsidRPr="004E3B58">
              <w:rPr>
                <w:b/>
              </w:rPr>
              <w:t>Percent</w:t>
            </w:r>
          </w:p>
        </w:tc>
      </w:tr>
      <w:tr w:rsidR="00295848" w14:paraId="7BC91340" w14:textId="77777777" w:rsidTr="00295848">
        <w:trPr>
          <w:cantSplit/>
        </w:trPr>
        <w:tc>
          <w:tcPr>
            <w:tcW w:w="1843" w:type="dxa"/>
            <w:tcBorders>
              <w:top w:val="single" w:sz="4" w:space="0" w:color="auto"/>
            </w:tcBorders>
          </w:tcPr>
          <w:p w14:paraId="18BE25E4" w14:textId="77777777" w:rsidR="00295848" w:rsidRDefault="00295848" w:rsidP="00295848">
            <w:pPr>
              <w:pStyle w:val="TableText"/>
            </w:pPr>
            <w:r>
              <w:t>Yes</w:t>
            </w:r>
          </w:p>
        </w:tc>
        <w:tc>
          <w:tcPr>
            <w:tcW w:w="1134" w:type="dxa"/>
            <w:tcBorders>
              <w:top w:val="single" w:sz="4" w:space="0" w:color="auto"/>
            </w:tcBorders>
          </w:tcPr>
          <w:p w14:paraId="51C067E1" w14:textId="77777777" w:rsidR="00295848" w:rsidRDefault="00295848" w:rsidP="00295848">
            <w:pPr>
              <w:pStyle w:val="TableText"/>
              <w:jc w:val="right"/>
            </w:pPr>
            <w:r>
              <w:t>29</w:t>
            </w:r>
          </w:p>
        </w:tc>
        <w:tc>
          <w:tcPr>
            <w:tcW w:w="1134" w:type="dxa"/>
            <w:tcBorders>
              <w:top w:val="single" w:sz="4" w:space="0" w:color="auto"/>
            </w:tcBorders>
          </w:tcPr>
          <w:p w14:paraId="5D5E0A96" w14:textId="77777777" w:rsidR="00295848" w:rsidRDefault="00295848" w:rsidP="00295848">
            <w:pPr>
              <w:pStyle w:val="TableText"/>
              <w:jc w:val="right"/>
            </w:pPr>
            <w:r>
              <w:t>82.86%</w:t>
            </w:r>
          </w:p>
        </w:tc>
      </w:tr>
      <w:tr w:rsidR="00295848" w14:paraId="76293964" w14:textId="77777777" w:rsidTr="00295848">
        <w:trPr>
          <w:cantSplit/>
        </w:trPr>
        <w:tc>
          <w:tcPr>
            <w:tcW w:w="1843" w:type="dxa"/>
          </w:tcPr>
          <w:p w14:paraId="6BF47AA1" w14:textId="77777777" w:rsidR="00295848" w:rsidRDefault="00295848" w:rsidP="00295848">
            <w:pPr>
              <w:pStyle w:val="TableText"/>
            </w:pPr>
            <w:r>
              <w:t>No</w:t>
            </w:r>
          </w:p>
        </w:tc>
        <w:tc>
          <w:tcPr>
            <w:tcW w:w="1134" w:type="dxa"/>
          </w:tcPr>
          <w:p w14:paraId="1D116069" w14:textId="77777777" w:rsidR="00295848" w:rsidRDefault="00295848" w:rsidP="00295848">
            <w:pPr>
              <w:pStyle w:val="TableText"/>
              <w:jc w:val="right"/>
            </w:pPr>
            <w:r>
              <w:t>4</w:t>
            </w:r>
          </w:p>
        </w:tc>
        <w:tc>
          <w:tcPr>
            <w:tcW w:w="1134" w:type="dxa"/>
          </w:tcPr>
          <w:p w14:paraId="3EAC619A" w14:textId="77777777" w:rsidR="00295848" w:rsidRDefault="00295848" w:rsidP="00295848">
            <w:pPr>
              <w:pStyle w:val="TableText"/>
              <w:jc w:val="right"/>
            </w:pPr>
            <w:r>
              <w:t>11.43%</w:t>
            </w:r>
          </w:p>
        </w:tc>
      </w:tr>
      <w:tr w:rsidR="00295848" w14:paraId="389192A4" w14:textId="77777777" w:rsidTr="00295848">
        <w:trPr>
          <w:cantSplit/>
        </w:trPr>
        <w:tc>
          <w:tcPr>
            <w:tcW w:w="1843" w:type="dxa"/>
          </w:tcPr>
          <w:p w14:paraId="268BB97A" w14:textId="77777777" w:rsidR="00295848" w:rsidRDefault="00295848" w:rsidP="00295848">
            <w:pPr>
              <w:pStyle w:val="TableText"/>
            </w:pPr>
            <w:r>
              <w:t>Not answered</w:t>
            </w:r>
          </w:p>
        </w:tc>
        <w:tc>
          <w:tcPr>
            <w:tcW w:w="1134" w:type="dxa"/>
          </w:tcPr>
          <w:p w14:paraId="59573271" w14:textId="77777777" w:rsidR="00295848" w:rsidRDefault="00295848" w:rsidP="00295848">
            <w:pPr>
              <w:pStyle w:val="TableText"/>
              <w:jc w:val="right"/>
            </w:pPr>
            <w:r>
              <w:t>2</w:t>
            </w:r>
          </w:p>
        </w:tc>
        <w:tc>
          <w:tcPr>
            <w:tcW w:w="1134" w:type="dxa"/>
          </w:tcPr>
          <w:p w14:paraId="013710F1" w14:textId="77777777" w:rsidR="00295848" w:rsidRDefault="00295848" w:rsidP="00295848">
            <w:pPr>
              <w:pStyle w:val="TableText"/>
              <w:jc w:val="right"/>
            </w:pPr>
            <w:r>
              <w:t>5.71%</w:t>
            </w:r>
          </w:p>
        </w:tc>
      </w:tr>
    </w:tbl>
    <w:p w14:paraId="43B3740C" w14:textId="77777777" w:rsidR="00710B30" w:rsidRDefault="00710B30" w:rsidP="00295848"/>
    <w:p w14:paraId="5677C6D3" w14:textId="25D09604" w:rsidR="00C303B7" w:rsidRDefault="00E52CAF" w:rsidP="00295848">
      <w:r>
        <w:t>A strong m</w:t>
      </w:r>
      <w:r w:rsidRPr="00D13E72">
        <w:t xml:space="preserve">ajority of </w:t>
      </w:r>
      <w:r>
        <w:t xml:space="preserve">individual </w:t>
      </w:r>
      <w:r w:rsidRPr="00D13E72">
        <w:t>submitters</w:t>
      </w:r>
      <w:r>
        <w:t>, as well as ECART and all fertility providers, agreed with this proposal.</w:t>
      </w:r>
    </w:p>
    <w:p w14:paraId="4C137E05" w14:textId="77777777" w:rsidR="00295848" w:rsidRDefault="00295848" w:rsidP="00295848"/>
    <w:p w14:paraId="22D658D7" w14:textId="77777777" w:rsidR="00C303B7" w:rsidRDefault="00E52CAF" w:rsidP="00295848">
      <w:r>
        <w:t xml:space="preserve">Submitters who thought that posthumous retrieval should never be an established procedure said that they felt this way because they </w:t>
      </w:r>
      <w:r w:rsidRPr="00214BC7">
        <w:t>believed that the legislation as it stood represented the crossing of cultural boundaries</w:t>
      </w:r>
      <w:r>
        <w:t>, and that important ethical considerations are overstepped if posthumous retrieval was a routine established procedure.</w:t>
      </w:r>
    </w:p>
    <w:p w14:paraId="141AED7A" w14:textId="77777777" w:rsidR="00295848" w:rsidRDefault="00295848" w:rsidP="00295848"/>
    <w:p w14:paraId="68150BBA" w14:textId="77777777" w:rsidR="00C303B7" w:rsidRDefault="00E52CAF" w:rsidP="00295848">
      <w:r w:rsidRPr="00D13E72">
        <w:t xml:space="preserve">One submitter suggested that if </w:t>
      </w:r>
      <w:r>
        <w:t xml:space="preserve">a person had stored </w:t>
      </w:r>
      <w:r w:rsidRPr="00D13E72">
        <w:t xml:space="preserve">gametes while alive, there could be a further option </w:t>
      </w:r>
      <w:r>
        <w:t xml:space="preserve">for them </w:t>
      </w:r>
      <w:r w:rsidRPr="00D13E72">
        <w:t xml:space="preserve">to consent to gametes being retrieved after </w:t>
      </w:r>
      <w:r>
        <w:t xml:space="preserve">their </w:t>
      </w:r>
      <w:r w:rsidRPr="00D13E72">
        <w:t>death also.</w:t>
      </w:r>
    </w:p>
    <w:p w14:paraId="0A6FD76F" w14:textId="77777777" w:rsidR="00295848" w:rsidRDefault="00295848" w:rsidP="00295848"/>
    <w:p w14:paraId="7FA87046" w14:textId="77777777" w:rsidR="00C303B7" w:rsidRDefault="00E52CAF" w:rsidP="00295848">
      <w:r>
        <w:t>A few submitters mentioned that whatever form the authorisation of retrieval took, it simply needed to be clear for the courts and for those who wished to retrieve, due to the small window of time available for viable posthumous retrieval.</w:t>
      </w:r>
    </w:p>
    <w:p w14:paraId="7BE81B0C" w14:textId="77777777" w:rsidR="00295848" w:rsidRDefault="00295848" w:rsidP="00295848"/>
    <w:p w14:paraId="126291AD" w14:textId="77777777" w:rsidR="00E52CAF" w:rsidRPr="00BE7D8A" w:rsidRDefault="00E52CAF" w:rsidP="00295848">
      <w:pPr>
        <w:pStyle w:val="Heading3"/>
      </w:pPr>
      <w:r w:rsidRPr="00BE7D8A">
        <w:t>Question 13</w:t>
      </w:r>
    </w:p>
    <w:p w14:paraId="6A7B4621" w14:textId="77777777" w:rsidR="00C303B7" w:rsidRDefault="00E52CAF" w:rsidP="00295848">
      <w:pPr>
        <w:pStyle w:val="Box"/>
      </w:pPr>
      <w:r w:rsidRPr="00BE7D8A">
        <w:t>Do you agree that, subject to the change to the HART Order 2005, ECART could authorise posthumous retrieval? (Note: This would seldom or never actually happen</w:t>
      </w:r>
      <w:r>
        <w:t>,</w:t>
      </w:r>
      <w:r w:rsidRPr="00BE7D8A">
        <w:t xml:space="preserve"> because retrieval cases would usually be decided by the High Court.)</w:t>
      </w:r>
    </w:p>
    <w:p w14:paraId="163E473E" w14:textId="77777777" w:rsidR="00295848" w:rsidRDefault="00295848" w:rsidP="00295848"/>
    <w:p w14:paraId="6E3FD489" w14:textId="77777777" w:rsidR="00E52CAF" w:rsidRDefault="00E52CAF" w:rsidP="00295848">
      <w:r>
        <w:t>There were 32 responses to this question.</w:t>
      </w:r>
    </w:p>
    <w:p w14:paraId="21C982C2"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718949AB" w14:textId="77777777" w:rsidTr="00295848">
        <w:trPr>
          <w:cantSplit/>
        </w:trPr>
        <w:tc>
          <w:tcPr>
            <w:tcW w:w="1843" w:type="dxa"/>
            <w:tcBorders>
              <w:top w:val="single" w:sz="4" w:space="0" w:color="auto"/>
              <w:bottom w:val="single" w:sz="4" w:space="0" w:color="auto"/>
            </w:tcBorders>
          </w:tcPr>
          <w:p w14:paraId="4AAA1109"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795C67D3"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6907F685" w14:textId="77777777" w:rsidR="00710B30" w:rsidRPr="004E3B58" w:rsidRDefault="00710B30" w:rsidP="00295848">
            <w:pPr>
              <w:pStyle w:val="TableText"/>
              <w:jc w:val="right"/>
              <w:rPr>
                <w:b/>
              </w:rPr>
            </w:pPr>
            <w:r w:rsidRPr="004E3B58">
              <w:rPr>
                <w:b/>
              </w:rPr>
              <w:t>Percent</w:t>
            </w:r>
          </w:p>
        </w:tc>
      </w:tr>
      <w:tr w:rsidR="00295848" w14:paraId="5E755242" w14:textId="77777777" w:rsidTr="00295848">
        <w:trPr>
          <w:cantSplit/>
        </w:trPr>
        <w:tc>
          <w:tcPr>
            <w:tcW w:w="1843" w:type="dxa"/>
            <w:tcBorders>
              <w:top w:val="single" w:sz="4" w:space="0" w:color="auto"/>
            </w:tcBorders>
          </w:tcPr>
          <w:p w14:paraId="3ADC20E7" w14:textId="77777777" w:rsidR="00295848" w:rsidRDefault="00295848" w:rsidP="00295848">
            <w:pPr>
              <w:pStyle w:val="TableText"/>
            </w:pPr>
            <w:r>
              <w:lastRenderedPageBreak/>
              <w:t>Yes</w:t>
            </w:r>
          </w:p>
        </w:tc>
        <w:tc>
          <w:tcPr>
            <w:tcW w:w="1134" w:type="dxa"/>
            <w:tcBorders>
              <w:top w:val="single" w:sz="4" w:space="0" w:color="auto"/>
            </w:tcBorders>
          </w:tcPr>
          <w:p w14:paraId="29E71A75" w14:textId="77777777" w:rsidR="00295848" w:rsidRDefault="00295848" w:rsidP="00295848">
            <w:pPr>
              <w:pStyle w:val="TableText"/>
              <w:jc w:val="right"/>
            </w:pPr>
            <w:r>
              <w:t>23</w:t>
            </w:r>
          </w:p>
        </w:tc>
        <w:tc>
          <w:tcPr>
            <w:tcW w:w="1134" w:type="dxa"/>
            <w:tcBorders>
              <w:top w:val="single" w:sz="4" w:space="0" w:color="auto"/>
            </w:tcBorders>
          </w:tcPr>
          <w:p w14:paraId="21EEBA7F" w14:textId="77777777" w:rsidR="00295848" w:rsidRDefault="00295848" w:rsidP="00295848">
            <w:pPr>
              <w:pStyle w:val="TableText"/>
              <w:jc w:val="right"/>
            </w:pPr>
            <w:r>
              <w:t>65.71%</w:t>
            </w:r>
          </w:p>
        </w:tc>
      </w:tr>
      <w:tr w:rsidR="00295848" w14:paraId="4566FFC0" w14:textId="77777777" w:rsidTr="00295848">
        <w:trPr>
          <w:cantSplit/>
        </w:trPr>
        <w:tc>
          <w:tcPr>
            <w:tcW w:w="1843" w:type="dxa"/>
          </w:tcPr>
          <w:p w14:paraId="55E189B0" w14:textId="77777777" w:rsidR="00295848" w:rsidRDefault="00295848" w:rsidP="00295848">
            <w:pPr>
              <w:pStyle w:val="TableText"/>
            </w:pPr>
            <w:r>
              <w:t>No</w:t>
            </w:r>
          </w:p>
        </w:tc>
        <w:tc>
          <w:tcPr>
            <w:tcW w:w="1134" w:type="dxa"/>
          </w:tcPr>
          <w:p w14:paraId="486C0B5D" w14:textId="77777777" w:rsidR="00295848" w:rsidRDefault="00295848" w:rsidP="00295848">
            <w:pPr>
              <w:pStyle w:val="TableText"/>
              <w:jc w:val="right"/>
            </w:pPr>
            <w:r>
              <w:t>9</w:t>
            </w:r>
          </w:p>
        </w:tc>
        <w:tc>
          <w:tcPr>
            <w:tcW w:w="1134" w:type="dxa"/>
          </w:tcPr>
          <w:p w14:paraId="73FCD43C" w14:textId="77777777" w:rsidR="00295848" w:rsidRDefault="00295848" w:rsidP="00295848">
            <w:pPr>
              <w:pStyle w:val="TableText"/>
              <w:jc w:val="right"/>
            </w:pPr>
            <w:r>
              <w:t>25.71%</w:t>
            </w:r>
          </w:p>
        </w:tc>
      </w:tr>
      <w:tr w:rsidR="00295848" w14:paraId="37AE03E8" w14:textId="77777777" w:rsidTr="00295848">
        <w:trPr>
          <w:cantSplit/>
        </w:trPr>
        <w:tc>
          <w:tcPr>
            <w:tcW w:w="1843" w:type="dxa"/>
          </w:tcPr>
          <w:p w14:paraId="1B6E4FA1" w14:textId="77777777" w:rsidR="00295848" w:rsidRDefault="00295848" w:rsidP="00295848">
            <w:pPr>
              <w:pStyle w:val="TableText"/>
            </w:pPr>
            <w:r>
              <w:t>Not answered</w:t>
            </w:r>
          </w:p>
        </w:tc>
        <w:tc>
          <w:tcPr>
            <w:tcW w:w="1134" w:type="dxa"/>
          </w:tcPr>
          <w:p w14:paraId="71F19606" w14:textId="77777777" w:rsidR="00295848" w:rsidRDefault="00295848" w:rsidP="00295848">
            <w:pPr>
              <w:pStyle w:val="TableText"/>
              <w:jc w:val="right"/>
            </w:pPr>
            <w:r>
              <w:t>3</w:t>
            </w:r>
          </w:p>
        </w:tc>
        <w:tc>
          <w:tcPr>
            <w:tcW w:w="1134" w:type="dxa"/>
          </w:tcPr>
          <w:p w14:paraId="5C154968" w14:textId="77777777" w:rsidR="00295848" w:rsidRDefault="00295848" w:rsidP="00295848">
            <w:pPr>
              <w:pStyle w:val="TableText"/>
              <w:jc w:val="right"/>
            </w:pPr>
            <w:r>
              <w:t>8.57%</w:t>
            </w:r>
          </w:p>
        </w:tc>
      </w:tr>
    </w:tbl>
    <w:p w14:paraId="29D8AF0E" w14:textId="77777777" w:rsidR="00710B30" w:rsidRDefault="00710B30" w:rsidP="00295848"/>
    <w:p w14:paraId="78C06268" w14:textId="77777777" w:rsidR="00C303B7" w:rsidRDefault="00E52CAF" w:rsidP="00295848">
      <w:r>
        <w:t>A number of submitters thought that it was better to keep posthumous retrieval as a matter for the High Court.</w:t>
      </w:r>
    </w:p>
    <w:p w14:paraId="078C2413" w14:textId="77777777" w:rsidR="00295848" w:rsidRDefault="00295848" w:rsidP="00295848"/>
    <w:p w14:paraId="26509CC9" w14:textId="4E17ECB9" w:rsidR="00C303B7" w:rsidRDefault="00E52CAF" w:rsidP="00295848">
      <w:r>
        <w:t>Two fertility providers thought that a single pathway through the High Court might make the process clearer and faster; people would not to wait for ECART to convene and decide on a case. They also noted that the cases that could be considered by ECART would be very few.</w:t>
      </w:r>
    </w:p>
    <w:p w14:paraId="7D9B811D" w14:textId="77777777" w:rsidR="00295848" w:rsidRDefault="00295848" w:rsidP="00295848"/>
    <w:p w14:paraId="51B53B48" w14:textId="77777777" w:rsidR="00C303B7" w:rsidRDefault="00E52CAF" w:rsidP="00295848">
      <w:r>
        <w:t>One submitter suggested that authorisation of posthumous retrieval by ECART would not be appropriate, as it could give people the impression that the use had been pre-emptively approved.</w:t>
      </w:r>
    </w:p>
    <w:p w14:paraId="30B01BD7" w14:textId="77777777" w:rsidR="00295848" w:rsidRDefault="00295848" w:rsidP="00295848"/>
    <w:p w14:paraId="6F28C30C" w14:textId="77777777" w:rsidR="00C303B7" w:rsidRDefault="00E52CAF" w:rsidP="00295848">
      <w:r>
        <w:t>A few submitters suggested that it did not matter which body did the authorising, as long as authorisation was ethically consistent and decision making transparent.</w:t>
      </w:r>
    </w:p>
    <w:p w14:paraId="09CF8931" w14:textId="77777777" w:rsidR="00295848" w:rsidRDefault="00295848" w:rsidP="00295848"/>
    <w:p w14:paraId="79CECA94" w14:textId="77777777" w:rsidR="00E52CAF" w:rsidRDefault="00E52CAF" w:rsidP="00295848">
      <w:r w:rsidRPr="009B3847">
        <w:t xml:space="preserve">ECART is strongly opposed to any suggestion that </w:t>
      </w:r>
      <w:r>
        <w:t>it</w:t>
      </w:r>
      <w:r w:rsidRPr="009B3847">
        <w:t xml:space="preserve"> could lawfully authorise the posthumous retrieval of gametes. ECART does not believe that the HART Act gives </w:t>
      </w:r>
      <w:r>
        <w:t xml:space="preserve">it this </w:t>
      </w:r>
      <w:r w:rsidRPr="009B3847">
        <w:t xml:space="preserve">power. </w:t>
      </w:r>
      <w:r>
        <w:t>The New Zealand Law Society</w:t>
      </w:r>
      <w:r w:rsidR="00C303B7">
        <w:t>’</w:t>
      </w:r>
      <w:r>
        <w:t>s submission also argued that t</w:t>
      </w:r>
      <w:r w:rsidRPr="008A23A4">
        <w:t xml:space="preserve">he relevant provisions of the Act and Order indicate </w:t>
      </w:r>
      <w:r>
        <w:t xml:space="preserve">that </w:t>
      </w:r>
      <w:r w:rsidRPr="008A23A4">
        <w:t>ECART</w:t>
      </w:r>
      <w:r w:rsidR="00C303B7">
        <w:t>’</w:t>
      </w:r>
      <w:r w:rsidRPr="008A23A4">
        <w:t>s functions extend only to the posthumous use – and not the posthumous retrieval – of gametes.</w:t>
      </w:r>
    </w:p>
    <w:p w14:paraId="0D3E8F4C" w14:textId="77777777" w:rsidR="00E52CAF" w:rsidRDefault="00E52CAF" w:rsidP="00295848"/>
    <w:p w14:paraId="340C1015" w14:textId="77777777" w:rsidR="00E52CAF" w:rsidRPr="001D6D23" w:rsidRDefault="00B25B12" w:rsidP="001D6D23">
      <w:pPr>
        <w:pStyle w:val="Heading2"/>
        <w:rPr>
          <w:rStyle w:val="Heading2Char"/>
        </w:rPr>
      </w:pPr>
      <w:bookmarkStart w:id="36" w:name="_Toc57205608"/>
      <w:r>
        <w:rPr>
          <w:noProof/>
        </w:rPr>
        <w:t>G</w:t>
      </w:r>
      <w:r w:rsidR="001D6D23">
        <w:rPr>
          <w:noProof/>
        </w:rPr>
        <w:t>.</w:t>
      </w:r>
      <w:r w:rsidR="001D6D23">
        <w:rPr>
          <w:noProof/>
        </w:rPr>
        <w:tab/>
      </w:r>
      <w:r w:rsidR="00E52CAF">
        <w:rPr>
          <w:noProof/>
        </w:rPr>
        <w:t>Prohibiting retrieval from deceased minors</w:t>
      </w:r>
      <w:bookmarkEnd w:id="36"/>
    </w:p>
    <w:p w14:paraId="4DD1B551" w14:textId="77777777" w:rsidR="00C303B7" w:rsidRDefault="00E52CAF" w:rsidP="00295848">
      <w:pPr>
        <w:pStyle w:val="Heading3"/>
      </w:pPr>
      <w:r w:rsidRPr="00BE7D8A">
        <w:t>Question 14</w:t>
      </w:r>
    </w:p>
    <w:p w14:paraId="0125CD68" w14:textId="77777777" w:rsidR="00C303B7" w:rsidRDefault="00E52CAF" w:rsidP="00295848">
      <w:pPr>
        <w:pStyle w:val="Box"/>
      </w:pPr>
      <w:r w:rsidRPr="00BE7D8A">
        <w:t>Do you agree that the retrieval of gametes and reproductive tissue from deceased minors, for reproduction, should be prohibited?</w:t>
      </w:r>
    </w:p>
    <w:p w14:paraId="2245AE41" w14:textId="77777777" w:rsidR="00295848" w:rsidRDefault="00295848" w:rsidP="00295848"/>
    <w:p w14:paraId="663AB22D" w14:textId="77777777" w:rsidR="00E52CAF" w:rsidRDefault="00E52CAF" w:rsidP="00295848">
      <w:r>
        <w:t>There were 32 responses to this question.</w:t>
      </w:r>
    </w:p>
    <w:p w14:paraId="74D26763"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0FE932A5" w14:textId="77777777" w:rsidTr="00295848">
        <w:trPr>
          <w:cantSplit/>
        </w:trPr>
        <w:tc>
          <w:tcPr>
            <w:tcW w:w="1843" w:type="dxa"/>
            <w:tcBorders>
              <w:top w:val="single" w:sz="4" w:space="0" w:color="auto"/>
              <w:bottom w:val="single" w:sz="4" w:space="0" w:color="auto"/>
            </w:tcBorders>
          </w:tcPr>
          <w:p w14:paraId="46D52CDD"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7B26E356"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1DEC5E45" w14:textId="77777777" w:rsidR="00710B30" w:rsidRPr="004E3B58" w:rsidRDefault="00710B30" w:rsidP="00295848">
            <w:pPr>
              <w:pStyle w:val="TableText"/>
              <w:jc w:val="right"/>
              <w:rPr>
                <w:b/>
              </w:rPr>
            </w:pPr>
            <w:r w:rsidRPr="004E3B58">
              <w:rPr>
                <w:b/>
              </w:rPr>
              <w:t>Percent</w:t>
            </w:r>
          </w:p>
        </w:tc>
      </w:tr>
      <w:tr w:rsidR="00295848" w14:paraId="08B479E6" w14:textId="77777777" w:rsidTr="00295848">
        <w:trPr>
          <w:cantSplit/>
        </w:trPr>
        <w:tc>
          <w:tcPr>
            <w:tcW w:w="1843" w:type="dxa"/>
            <w:tcBorders>
              <w:top w:val="single" w:sz="4" w:space="0" w:color="auto"/>
            </w:tcBorders>
          </w:tcPr>
          <w:p w14:paraId="0048928D" w14:textId="77777777" w:rsidR="00295848" w:rsidRDefault="00295848" w:rsidP="00295848">
            <w:pPr>
              <w:pStyle w:val="TableText"/>
            </w:pPr>
            <w:r>
              <w:t>Yes</w:t>
            </w:r>
          </w:p>
        </w:tc>
        <w:tc>
          <w:tcPr>
            <w:tcW w:w="1134" w:type="dxa"/>
            <w:tcBorders>
              <w:top w:val="single" w:sz="4" w:space="0" w:color="auto"/>
            </w:tcBorders>
          </w:tcPr>
          <w:p w14:paraId="7B2ADDF2" w14:textId="77777777" w:rsidR="00295848" w:rsidRDefault="00295848" w:rsidP="00295848">
            <w:pPr>
              <w:pStyle w:val="TableText"/>
              <w:jc w:val="right"/>
            </w:pPr>
            <w:r>
              <w:t>21</w:t>
            </w:r>
          </w:p>
        </w:tc>
        <w:tc>
          <w:tcPr>
            <w:tcW w:w="1134" w:type="dxa"/>
            <w:tcBorders>
              <w:top w:val="single" w:sz="4" w:space="0" w:color="auto"/>
            </w:tcBorders>
          </w:tcPr>
          <w:p w14:paraId="36918BFF" w14:textId="77777777" w:rsidR="00295848" w:rsidRDefault="00295848" w:rsidP="00295848">
            <w:pPr>
              <w:pStyle w:val="TableText"/>
              <w:jc w:val="right"/>
            </w:pPr>
            <w:r>
              <w:t>60.00%</w:t>
            </w:r>
          </w:p>
        </w:tc>
      </w:tr>
      <w:tr w:rsidR="00295848" w14:paraId="08C53D08" w14:textId="77777777" w:rsidTr="00295848">
        <w:trPr>
          <w:cantSplit/>
        </w:trPr>
        <w:tc>
          <w:tcPr>
            <w:tcW w:w="1843" w:type="dxa"/>
          </w:tcPr>
          <w:p w14:paraId="0EB5323E" w14:textId="77777777" w:rsidR="00295848" w:rsidRDefault="00295848" w:rsidP="00295848">
            <w:pPr>
              <w:pStyle w:val="TableText"/>
            </w:pPr>
            <w:r>
              <w:t>No</w:t>
            </w:r>
          </w:p>
        </w:tc>
        <w:tc>
          <w:tcPr>
            <w:tcW w:w="1134" w:type="dxa"/>
          </w:tcPr>
          <w:p w14:paraId="58552527" w14:textId="77777777" w:rsidR="00295848" w:rsidRDefault="00295848" w:rsidP="00295848">
            <w:pPr>
              <w:pStyle w:val="TableText"/>
              <w:jc w:val="right"/>
            </w:pPr>
            <w:r>
              <w:t>11</w:t>
            </w:r>
          </w:p>
        </w:tc>
        <w:tc>
          <w:tcPr>
            <w:tcW w:w="1134" w:type="dxa"/>
          </w:tcPr>
          <w:p w14:paraId="557F1E96" w14:textId="77777777" w:rsidR="00295848" w:rsidRDefault="00295848" w:rsidP="00295848">
            <w:pPr>
              <w:pStyle w:val="TableText"/>
              <w:jc w:val="right"/>
            </w:pPr>
            <w:r>
              <w:t>31.43%</w:t>
            </w:r>
          </w:p>
        </w:tc>
      </w:tr>
      <w:tr w:rsidR="00295848" w14:paraId="7F8F6A5F" w14:textId="77777777" w:rsidTr="00295848">
        <w:trPr>
          <w:cantSplit/>
        </w:trPr>
        <w:tc>
          <w:tcPr>
            <w:tcW w:w="1843" w:type="dxa"/>
          </w:tcPr>
          <w:p w14:paraId="11C31BE6" w14:textId="77777777" w:rsidR="00295848" w:rsidRDefault="00295848" w:rsidP="00295848">
            <w:pPr>
              <w:pStyle w:val="TableText"/>
            </w:pPr>
            <w:r>
              <w:t>Not answered</w:t>
            </w:r>
          </w:p>
        </w:tc>
        <w:tc>
          <w:tcPr>
            <w:tcW w:w="1134" w:type="dxa"/>
          </w:tcPr>
          <w:p w14:paraId="0511FEAE" w14:textId="77777777" w:rsidR="00295848" w:rsidRDefault="00295848" w:rsidP="00295848">
            <w:pPr>
              <w:pStyle w:val="TableText"/>
              <w:jc w:val="right"/>
            </w:pPr>
            <w:r>
              <w:t>3</w:t>
            </w:r>
          </w:p>
        </w:tc>
        <w:tc>
          <w:tcPr>
            <w:tcW w:w="1134" w:type="dxa"/>
          </w:tcPr>
          <w:p w14:paraId="1E640E90" w14:textId="77777777" w:rsidR="00295848" w:rsidRDefault="00295848" w:rsidP="00295848">
            <w:pPr>
              <w:pStyle w:val="TableText"/>
              <w:jc w:val="right"/>
            </w:pPr>
            <w:r>
              <w:t>8.57%</w:t>
            </w:r>
          </w:p>
        </w:tc>
      </w:tr>
    </w:tbl>
    <w:p w14:paraId="3BF0CA54" w14:textId="77777777" w:rsidR="00710B30" w:rsidRDefault="00710B30" w:rsidP="00295848"/>
    <w:p w14:paraId="1F8ED042" w14:textId="0C3BBF27" w:rsidR="00E52CAF" w:rsidRDefault="00E52CAF" w:rsidP="00295848">
      <w:r>
        <w:t>The m</w:t>
      </w:r>
      <w:r w:rsidRPr="00D13E72">
        <w:t xml:space="preserve">ajority of </w:t>
      </w:r>
      <w:r>
        <w:t xml:space="preserve">individual </w:t>
      </w:r>
      <w:r w:rsidRPr="00D13E72">
        <w:t>submitters</w:t>
      </w:r>
      <w:r>
        <w:t>, as well as ECART and all fertility providers,</w:t>
      </w:r>
      <w:r w:rsidRPr="00D13E72">
        <w:t xml:space="preserve"> </w:t>
      </w:r>
      <w:r>
        <w:t>agreed with this proposal.</w:t>
      </w:r>
    </w:p>
    <w:p w14:paraId="44D8425A" w14:textId="77777777" w:rsidR="00295848" w:rsidRDefault="00295848" w:rsidP="00295848"/>
    <w:p w14:paraId="37765063" w14:textId="6238EA5E" w:rsidR="00E52CAF" w:rsidRDefault="00E52CAF" w:rsidP="00295848">
      <w:r>
        <w:lastRenderedPageBreak/>
        <w:t xml:space="preserve">Two different submitters, who both have the gametes of their </w:t>
      </w:r>
      <w:r w:rsidR="00965B51">
        <w:t xml:space="preserve">tragically </w:t>
      </w:r>
      <w:r>
        <w:t>deceased children in storage, noted that although they agreed that gametes should not be posthumously taken from deceased minors, losing a child meant losing their future also. Th</w:t>
      </w:r>
      <w:r w:rsidR="00240423">
        <w:t>ey expressed that thi</w:t>
      </w:r>
      <w:r>
        <w:t>s can complicate the grief process.</w:t>
      </w:r>
    </w:p>
    <w:p w14:paraId="50F6A9B3" w14:textId="77777777" w:rsidR="00295848" w:rsidRDefault="00295848" w:rsidP="00295848"/>
    <w:p w14:paraId="21D919A9" w14:textId="16AD8E9E" w:rsidR="00E52CAF" w:rsidRDefault="00E52CAF" w:rsidP="00295848">
      <w:r>
        <w:t xml:space="preserve">One </w:t>
      </w:r>
      <w:r w:rsidR="00965B51">
        <w:t xml:space="preserve">fertility provider </w:t>
      </w:r>
      <w:r>
        <w:t xml:space="preserve">made the point that this proposal was consistent with the law that children under 16 are not legally able to have sex to create children. </w:t>
      </w:r>
      <w:r w:rsidR="00965B51">
        <w:t xml:space="preserve">Alternatively, </w:t>
      </w:r>
      <w:r>
        <w:t>another submitter noted that while the age of consent to sexual activity is 16, a minor of any age can consent to sexual and reproductive health care services; for example, contraception and abortion.</w:t>
      </w:r>
    </w:p>
    <w:p w14:paraId="20BA35DF" w14:textId="77777777" w:rsidR="00295848" w:rsidRDefault="00295848" w:rsidP="00295848"/>
    <w:p w14:paraId="22B17ECF" w14:textId="77777777" w:rsidR="00E52CAF" w:rsidRDefault="00E52CAF" w:rsidP="00295848">
      <w:r>
        <w:t xml:space="preserve">Similarly, a few submitters mentioned Gillick competence (a </w:t>
      </w:r>
      <w:r w:rsidRPr="00713354">
        <w:t xml:space="preserve">term used in medical law to decide whether a </w:t>
      </w:r>
      <w:r>
        <w:t xml:space="preserve">person aged </w:t>
      </w:r>
      <w:r w:rsidRPr="00713354">
        <w:t>under 16 is able to consent to their own treatment</w:t>
      </w:r>
      <w:r>
        <w:t>). Some noted that it would not seem fair for someone to miss out on being able to retrieve gametes or tissue posthumously if a deceased individual was, for example, almost 16.</w:t>
      </w:r>
    </w:p>
    <w:p w14:paraId="0E5A9A07" w14:textId="77777777" w:rsidR="00295848" w:rsidRPr="00D13E72" w:rsidRDefault="00295848" w:rsidP="00295848"/>
    <w:p w14:paraId="44D3B551" w14:textId="77777777" w:rsidR="00E52CAF" w:rsidRPr="00BE7D8A" w:rsidRDefault="00E52CAF" w:rsidP="00295848">
      <w:pPr>
        <w:pStyle w:val="Heading3"/>
      </w:pPr>
      <w:r w:rsidRPr="00BE7D8A">
        <w:t>Question 15</w:t>
      </w:r>
    </w:p>
    <w:p w14:paraId="08DFB5CD" w14:textId="77777777" w:rsidR="00C303B7" w:rsidRDefault="00E52CAF" w:rsidP="00E17DC4">
      <w:pPr>
        <w:pStyle w:val="Box"/>
        <w:keepNext/>
      </w:pPr>
      <w:r w:rsidRPr="00BE7D8A">
        <w:t>Do you agree that if a minor freezes gametes or reproductive tissue and dies before they can use those gametes or reproductive tissue (or can consent as an adult to another use), then the gametes or reproductive tissue are not able to be used by anyone else?</w:t>
      </w:r>
    </w:p>
    <w:p w14:paraId="094E36FE" w14:textId="77777777" w:rsidR="00295848" w:rsidRDefault="00295848" w:rsidP="00E17DC4">
      <w:pPr>
        <w:keepNext/>
      </w:pPr>
    </w:p>
    <w:p w14:paraId="18A0669F" w14:textId="77777777" w:rsidR="00E52CAF" w:rsidRDefault="00E52CAF" w:rsidP="00295848">
      <w:pPr>
        <w:keepNext/>
      </w:pPr>
      <w:r>
        <w:t>There were 33 responses to this question.</w:t>
      </w:r>
    </w:p>
    <w:p w14:paraId="5C8DAC04"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041670AD" w14:textId="77777777" w:rsidTr="00295848">
        <w:trPr>
          <w:cantSplit/>
        </w:trPr>
        <w:tc>
          <w:tcPr>
            <w:tcW w:w="1843" w:type="dxa"/>
            <w:tcBorders>
              <w:top w:val="single" w:sz="4" w:space="0" w:color="auto"/>
              <w:bottom w:val="single" w:sz="4" w:space="0" w:color="auto"/>
            </w:tcBorders>
          </w:tcPr>
          <w:p w14:paraId="420CEF84"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054D8189"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096F0B70" w14:textId="77777777" w:rsidR="00710B30" w:rsidRPr="004E3B58" w:rsidRDefault="00710B30" w:rsidP="00295848">
            <w:pPr>
              <w:pStyle w:val="TableText"/>
              <w:jc w:val="right"/>
              <w:rPr>
                <w:b/>
              </w:rPr>
            </w:pPr>
            <w:r w:rsidRPr="004E3B58">
              <w:rPr>
                <w:b/>
              </w:rPr>
              <w:t>Percent</w:t>
            </w:r>
          </w:p>
        </w:tc>
      </w:tr>
      <w:tr w:rsidR="00295848" w14:paraId="4C89DA33" w14:textId="77777777" w:rsidTr="00295848">
        <w:trPr>
          <w:cantSplit/>
        </w:trPr>
        <w:tc>
          <w:tcPr>
            <w:tcW w:w="1843" w:type="dxa"/>
            <w:tcBorders>
              <w:top w:val="single" w:sz="4" w:space="0" w:color="auto"/>
            </w:tcBorders>
          </w:tcPr>
          <w:p w14:paraId="6BED5E08" w14:textId="77777777" w:rsidR="00295848" w:rsidRDefault="00295848" w:rsidP="00295848">
            <w:pPr>
              <w:pStyle w:val="TableText"/>
            </w:pPr>
            <w:r>
              <w:t>Yes</w:t>
            </w:r>
          </w:p>
        </w:tc>
        <w:tc>
          <w:tcPr>
            <w:tcW w:w="1134" w:type="dxa"/>
            <w:tcBorders>
              <w:top w:val="single" w:sz="4" w:space="0" w:color="auto"/>
            </w:tcBorders>
          </w:tcPr>
          <w:p w14:paraId="0C3D5A29" w14:textId="77777777" w:rsidR="00295848" w:rsidRDefault="00295848" w:rsidP="00295848">
            <w:pPr>
              <w:pStyle w:val="TableText"/>
              <w:jc w:val="right"/>
            </w:pPr>
            <w:r>
              <w:t>18</w:t>
            </w:r>
          </w:p>
        </w:tc>
        <w:tc>
          <w:tcPr>
            <w:tcW w:w="1134" w:type="dxa"/>
            <w:tcBorders>
              <w:top w:val="single" w:sz="4" w:space="0" w:color="auto"/>
            </w:tcBorders>
          </w:tcPr>
          <w:p w14:paraId="28B8971C" w14:textId="77777777" w:rsidR="00295848" w:rsidRDefault="00295848" w:rsidP="00295848">
            <w:pPr>
              <w:pStyle w:val="TableText"/>
              <w:jc w:val="right"/>
            </w:pPr>
            <w:r>
              <w:t>51.43%</w:t>
            </w:r>
          </w:p>
        </w:tc>
      </w:tr>
      <w:tr w:rsidR="00295848" w14:paraId="554C411F" w14:textId="77777777" w:rsidTr="00295848">
        <w:trPr>
          <w:cantSplit/>
        </w:trPr>
        <w:tc>
          <w:tcPr>
            <w:tcW w:w="1843" w:type="dxa"/>
          </w:tcPr>
          <w:p w14:paraId="5F84A5E0" w14:textId="77777777" w:rsidR="00295848" w:rsidRDefault="00295848" w:rsidP="00295848">
            <w:pPr>
              <w:pStyle w:val="TableText"/>
            </w:pPr>
            <w:r>
              <w:t>No</w:t>
            </w:r>
          </w:p>
        </w:tc>
        <w:tc>
          <w:tcPr>
            <w:tcW w:w="1134" w:type="dxa"/>
          </w:tcPr>
          <w:p w14:paraId="7EDC69EC" w14:textId="77777777" w:rsidR="00295848" w:rsidRDefault="00295848" w:rsidP="00295848">
            <w:pPr>
              <w:pStyle w:val="TableText"/>
              <w:jc w:val="right"/>
            </w:pPr>
            <w:r>
              <w:t>15</w:t>
            </w:r>
          </w:p>
        </w:tc>
        <w:tc>
          <w:tcPr>
            <w:tcW w:w="1134" w:type="dxa"/>
          </w:tcPr>
          <w:p w14:paraId="68D883FC" w14:textId="77777777" w:rsidR="00295848" w:rsidRDefault="00295848" w:rsidP="00295848">
            <w:pPr>
              <w:pStyle w:val="TableText"/>
              <w:jc w:val="right"/>
            </w:pPr>
            <w:r>
              <w:t>42.86%</w:t>
            </w:r>
          </w:p>
        </w:tc>
      </w:tr>
      <w:tr w:rsidR="00295848" w14:paraId="594DED40" w14:textId="77777777" w:rsidTr="00295848">
        <w:trPr>
          <w:cantSplit/>
        </w:trPr>
        <w:tc>
          <w:tcPr>
            <w:tcW w:w="1843" w:type="dxa"/>
          </w:tcPr>
          <w:p w14:paraId="696B35A6" w14:textId="77777777" w:rsidR="00295848" w:rsidRDefault="00295848" w:rsidP="00295848">
            <w:pPr>
              <w:pStyle w:val="TableText"/>
            </w:pPr>
            <w:r>
              <w:t>Not answered</w:t>
            </w:r>
          </w:p>
        </w:tc>
        <w:tc>
          <w:tcPr>
            <w:tcW w:w="1134" w:type="dxa"/>
          </w:tcPr>
          <w:p w14:paraId="50F61704" w14:textId="77777777" w:rsidR="00295848" w:rsidRDefault="00295848" w:rsidP="00295848">
            <w:pPr>
              <w:pStyle w:val="TableText"/>
              <w:jc w:val="right"/>
            </w:pPr>
            <w:r>
              <w:t>2</w:t>
            </w:r>
          </w:p>
        </w:tc>
        <w:tc>
          <w:tcPr>
            <w:tcW w:w="1134" w:type="dxa"/>
          </w:tcPr>
          <w:p w14:paraId="0BDDDC02" w14:textId="77777777" w:rsidR="00295848" w:rsidRDefault="00295848" w:rsidP="00295848">
            <w:pPr>
              <w:pStyle w:val="TableText"/>
              <w:jc w:val="right"/>
            </w:pPr>
            <w:r>
              <w:t>5.71%</w:t>
            </w:r>
          </w:p>
        </w:tc>
      </w:tr>
    </w:tbl>
    <w:p w14:paraId="1D9396C1" w14:textId="77777777" w:rsidR="00E52CAF" w:rsidRDefault="00E52CAF" w:rsidP="00295848"/>
    <w:p w14:paraId="420B302C" w14:textId="301DEA5C" w:rsidR="00E52CAF" w:rsidRDefault="00E52CAF" w:rsidP="00295848">
      <w:r>
        <w:t>Just over half of</w:t>
      </w:r>
      <w:r w:rsidRPr="00D13E72">
        <w:t xml:space="preserve"> </w:t>
      </w:r>
      <w:r>
        <w:t xml:space="preserve">individual </w:t>
      </w:r>
      <w:r w:rsidRPr="00D13E72">
        <w:t>submitters</w:t>
      </w:r>
      <w:r>
        <w:t>, as well as ECART and all fertility providers,</w:t>
      </w:r>
      <w:r w:rsidRPr="00D13E72">
        <w:t xml:space="preserve"> </w:t>
      </w:r>
      <w:r>
        <w:t>agreed with this proposal.</w:t>
      </w:r>
    </w:p>
    <w:p w14:paraId="4243DB74" w14:textId="77777777" w:rsidR="00295848" w:rsidRDefault="00295848" w:rsidP="00295848"/>
    <w:p w14:paraId="4046D851" w14:textId="77777777" w:rsidR="00E52CAF" w:rsidRDefault="00E52CAF" w:rsidP="00295848">
      <w:r w:rsidRPr="00A6398A">
        <w:t xml:space="preserve">A number of submitters noted that they thought it was ethically </w:t>
      </w:r>
      <w:r>
        <w:t>unacceptable to use gametes previously stored by a minor where the original intention of storing the gametes of tissue is for that person</w:t>
      </w:r>
      <w:r w:rsidR="00C303B7">
        <w:t>’</w:t>
      </w:r>
      <w:r>
        <w:t>s own future fertility preservation. A number of other submitters thought that age did not matter here, and that minors could be mature enough to state their wishes for their stored gametes in the event that they would not be able to use them themselves.</w:t>
      </w:r>
    </w:p>
    <w:p w14:paraId="78E579D5" w14:textId="77777777" w:rsidR="00295848" w:rsidRDefault="00295848" w:rsidP="00295848"/>
    <w:p w14:paraId="167FDB7D" w14:textId="77777777" w:rsidR="00E52CAF" w:rsidRDefault="00E52CAF" w:rsidP="00295848">
      <w:r>
        <w:t>Some submitters thought that the gametes should be able to be used by someone else, and one submitter said that the posthumous use of a deceased minor</w:t>
      </w:r>
      <w:r w:rsidR="00C303B7">
        <w:t>’</w:t>
      </w:r>
      <w:r>
        <w:t xml:space="preserve">s gametes should be able to be used if their </w:t>
      </w:r>
      <w:proofErr w:type="spellStart"/>
      <w:r>
        <w:t>whānau</w:t>
      </w:r>
      <w:proofErr w:type="spellEnd"/>
      <w:r>
        <w:t xml:space="preserve"> were supportive.</w:t>
      </w:r>
    </w:p>
    <w:p w14:paraId="42140EAC" w14:textId="77777777" w:rsidR="00295848" w:rsidRDefault="00295848" w:rsidP="00295848"/>
    <w:p w14:paraId="1683A22C" w14:textId="77777777" w:rsidR="00C303B7" w:rsidRDefault="00E52CAF" w:rsidP="00295848">
      <w:r>
        <w:lastRenderedPageBreak/>
        <w:t xml:space="preserve">Two submitters noted that if a minor wished for their gametes to be used by someone else in the event of their death, or wished for a sibling in need to be able to use them, then that would be </w:t>
      </w:r>
      <w:r w:rsidR="00C303B7">
        <w:t>“</w:t>
      </w:r>
      <w:r>
        <w:t>special for the remaining family members</w:t>
      </w:r>
      <w:r w:rsidR="00C303B7">
        <w:t>”</w:t>
      </w:r>
      <w:r>
        <w:t>.</w:t>
      </w:r>
    </w:p>
    <w:p w14:paraId="52F1229D" w14:textId="77777777" w:rsidR="00295848" w:rsidRDefault="00295848" w:rsidP="00295848"/>
    <w:p w14:paraId="07C9B675" w14:textId="3C1BF007" w:rsidR="00C303B7" w:rsidRDefault="00C05905" w:rsidP="00295848">
      <w:r>
        <w:t>A medical body</w:t>
      </w:r>
      <w:r w:rsidR="00E52CAF">
        <w:t>, along with a number of other submitters, said that the ability of minors to consent to sexual and reproductive health services could be consistent with their ability to choose if they would like to donate their gametes to someone else in the event of their death.</w:t>
      </w:r>
    </w:p>
    <w:p w14:paraId="60695CAD" w14:textId="77777777" w:rsidR="00295848" w:rsidRDefault="00295848" w:rsidP="00295848"/>
    <w:p w14:paraId="45153F33" w14:textId="77777777" w:rsidR="00E52CAF" w:rsidRPr="00892A21" w:rsidRDefault="00B25B12" w:rsidP="001D6D23">
      <w:pPr>
        <w:pStyle w:val="Heading2"/>
        <w:ind w:left="567" w:hanging="567"/>
        <w:rPr>
          <w:noProof/>
        </w:rPr>
      </w:pPr>
      <w:bookmarkStart w:id="37" w:name="_Toc57205609"/>
      <w:r>
        <w:rPr>
          <w:noProof/>
        </w:rPr>
        <w:t>H</w:t>
      </w:r>
      <w:r w:rsidR="001D6D23">
        <w:rPr>
          <w:noProof/>
        </w:rPr>
        <w:t>.</w:t>
      </w:r>
      <w:r w:rsidR="001D6D23">
        <w:rPr>
          <w:noProof/>
        </w:rPr>
        <w:tab/>
      </w:r>
      <w:r w:rsidR="00E52CAF" w:rsidRPr="00892A21">
        <w:rPr>
          <w:noProof/>
        </w:rPr>
        <w:t>One change to the HART Act to enable minors to choose the use of their own gametes/tissue after they reach the age of 16 years</w:t>
      </w:r>
      <w:bookmarkEnd w:id="37"/>
    </w:p>
    <w:p w14:paraId="5B266603" w14:textId="77777777" w:rsidR="00E52CAF" w:rsidRPr="00BE7D8A" w:rsidRDefault="00E52CAF" w:rsidP="00295848">
      <w:pPr>
        <w:pStyle w:val="Heading3"/>
      </w:pPr>
      <w:r w:rsidRPr="00BE7D8A">
        <w:t>Question 16</w:t>
      </w:r>
    </w:p>
    <w:p w14:paraId="6B245CCD" w14:textId="77777777" w:rsidR="00C303B7" w:rsidRDefault="00E52CAF" w:rsidP="00295848">
      <w:pPr>
        <w:pStyle w:val="Box"/>
      </w:pPr>
      <w:r w:rsidRPr="00BE7D8A">
        <w:t>Do you agree that ACART should provide advice to the Minister to amend section 12 of the HART Act 2004 to enable people to choose the use of their own gametes/tissue after they reach the age of 16 years?</w:t>
      </w:r>
    </w:p>
    <w:p w14:paraId="6D090AE6" w14:textId="77777777" w:rsidR="00295848" w:rsidRDefault="00295848" w:rsidP="00295848"/>
    <w:p w14:paraId="0EF3FF16" w14:textId="77777777" w:rsidR="00E52CAF" w:rsidRDefault="00E52CAF" w:rsidP="00295848">
      <w:r>
        <w:t>There were 32 responses to this question.</w:t>
      </w:r>
    </w:p>
    <w:p w14:paraId="418DA743" w14:textId="77777777" w:rsidR="00710B30" w:rsidRDefault="00710B30" w:rsidP="00295848"/>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148CF228" w14:textId="77777777" w:rsidTr="00295848">
        <w:trPr>
          <w:cantSplit/>
        </w:trPr>
        <w:tc>
          <w:tcPr>
            <w:tcW w:w="1843" w:type="dxa"/>
            <w:tcBorders>
              <w:top w:val="single" w:sz="4" w:space="0" w:color="auto"/>
              <w:bottom w:val="single" w:sz="4" w:space="0" w:color="auto"/>
            </w:tcBorders>
          </w:tcPr>
          <w:p w14:paraId="72569EFC" w14:textId="77777777" w:rsidR="00710B30" w:rsidRPr="004E3B58" w:rsidRDefault="00710B30" w:rsidP="00295848">
            <w:pPr>
              <w:pStyle w:val="TableText"/>
              <w:rPr>
                <w:b/>
              </w:rPr>
            </w:pPr>
            <w:r w:rsidRPr="004E3B58">
              <w:rPr>
                <w:b/>
              </w:rPr>
              <w:t>Option</w:t>
            </w:r>
          </w:p>
        </w:tc>
        <w:tc>
          <w:tcPr>
            <w:tcW w:w="1134" w:type="dxa"/>
            <w:tcBorders>
              <w:top w:val="single" w:sz="4" w:space="0" w:color="auto"/>
              <w:bottom w:val="single" w:sz="4" w:space="0" w:color="auto"/>
            </w:tcBorders>
          </w:tcPr>
          <w:p w14:paraId="001E2E19" w14:textId="77777777" w:rsidR="00710B30" w:rsidRPr="004E3B58" w:rsidRDefault="00710B30" w:rsidP="00295848">
            <w:pPr>
              <w:pStyle w:val="TableText"/>
              <w:jc w:val="right"/>
              <w:rPr>
                <w:b/>
              </w:rPr>
            </w:pPr>
            <w:r w:rsidRPr="004E3B58">
              <w:rPr>
                <w:b/>
              </w:rPr>
              <w:t>Total</w:t>
            </w:r>
          </w:p>
        </w:tc>
        <w:tc>
          <w:tcPr>
            <w:tcW w:w="1134" w:type="dxa"/>
            <w:tcBorders>
              <w:top w:val="single" w:sz="4" w:space="0" w:color="auto"/>
              <w:bottom w:val="single" w:sz="4" w:space="0" w:color="auto"/>
            </w:tcBorders>
          </w:tcPr>
          <w:p w14:paraId="20DB3500" w14:textId="77777777" w:rsidR="00710B30" w:rsidRPr="004E3B58" w:rsidRDefault="00710B30" w:rsidP="00295848">
            <w:pPr>
              <w:pStyle w:val="TableText"/>
              <w:jc w:val="right"/>
              <w:rPr>
                <w:b/>
              </w:rPr>
            </w:pPr>
            <w:r w:rsidRPr="004E3B58">
              <w:rPr>
                <w:b/>
              </w:rPr>
              <w:t>Percent</w:t>
            </w:r>
          </w:p>
        </w:tc>
      </w:tr>
      <w:tr w:rsidR="00295848" w14:paraId="05CCCE9D" w14:textId="77777777" w:rsidTr="00295848">
        <w:trPr>
          <w:cantSplit/>
        </w:trPr>
        <w:tc>
          <w:tcPr>
            <w:tcW w:w="1843" w:type="dxa"/>
            <w:tcBorders>
              <w:top w:val="single" w:sz="4" w:space="0" w:color="auto"/>
            </w:tcBorders>
          </w:tcPr>
          <w:p w14:paraId="7E32B062" w14:textId="77777777" w:rsidR="00295848" w:rsidRDefault="00295848" w:rsidP="00295848">
            <w:pPr>
              <w:pStyle w:val="TableText"/>
            </w:pPr>
            <w:r>
              <w:t>Yes</w:t>
            </w:r>
          </w:p>
        </w:tc>
        <w:tc>
          <w:tcPr>
            <w:tcW w:w="1134" w:type="dxa"/>
            <w:tcBorders>
              <w:top w:val="single" w:sz="4" w:space="0" w:color="auto"/>
            </w:tcBorders>
          </w:tcPr>
          <w:p w14:paraId="79A5A738" w14:textId="77777777" w:rsidR="00295848" w:rsidRDefault="00295848" w:rsidP="00295848">
            <w:pPr>
              <w:pStyle w:val="TableText"/>
              <w:jc w:val="right"/>
            </w:pPr>
            <w:r>
              <w:t>30</w:t>
            </w:r>
          </w:p>
        </w:tc>
        <w:tc>
          <w:tcPr>
            <w:tcW w:w="1134" w:type="dxa"/>
            <w:tcBorders>
              <w:top w:val="single" w:sz="4" w:space="0" w:color="auto"/>
            </w:tcBorders>
          </w:tcPr>
          <w:p w14:paraId="630D06DA" w14:textId="77777777" w:rsidR="00295848" w:rsidRDefault="00295848" w:rsidP="00295848">
            <w:pPr>
              <w:pStyle w:val="TableText"/>
              <w:jc w:val="right"/>
            </w:pPr>
            <w:r>
              <w:t>85.71%</w:t>
            </w:r>
          </w:p>
        </w:tc>
      </w:tr>
      <w:tr w:rsidR="00295848" w14:paraId="7D50AFD5" w14:textId="77777777" w:rsidTr="00295848">
        <w:trPr>
          <w:cantSplit/>
        </w:trPr>
        <w:tc>
          <w:tcPr>
            <w:tcW w:w="1843" w:type="dxa"/>
          </w:tcPr>
          <w:p w14:paraId="1D1F025A" w14:textId="77777777" w:rsidR="00295848" w:rsidRDefault="00295848" w:rsidP="00295848">
            <w:pPr>
              <w:pStyle w:val="TableText"/>
            </w:pPr>
            <w:r>
              <w:t>No</w:t>
            </w:r>
          </w:p>
        </w:tc>
        <w:tc>
          <w:tcPr>
            <w:tcW w:w="1134" w:type="dxa"/>
          </w:tcPr>
          <w:p w14:paraId="49A9FBB4" w14:textId="77777777" w:rsidR="00295848" w:rsidRDefault="00295848" w:rsidP="00295848">
            <w:pPr>
              <w:pStyle w:val="TableText"/>
              <w:jc w:val="right"/>
            </w:pPr>
            <w:r>
              <w:t>2</w:t>
            </w:r>
          </w:p>
        </w:tc>
        <w:tc>
          <w:tcPr>
            <w:tcW w:w="1134" w:type="dxa"/>
          </w:tcPr>
          <w:p w14:paraId="192A0D66" w14:textId="77777777" w:rsidR="00295848" w:rsidRDefault="00295848" w:rsidP="00295848">
            <w:pPr>
              <w:pStyle w:val="TableText"/>
              <w:jc w:val="right"/>
            </w:pPr>
            <w:r>
              <w:t>5.71%</w:t>
            </w:r>
          </w:p>
        </w:tc>
      </w:tr>
      <w:tr w:rsidR="00295848" w14:paraId="020F1E79" w14:textId="77777777" w:rsidTr="00295848">
        <w:trPr>
          <w:cantSplit/>
        </w:trPr>
        <w:tc>
          <w:tcPr>
            <w:tcW w:w="1843" w:type="dxa"/>
          </w:tcPr>
          <w:p w14:paraId="1B767DE9" w14:textId="77777777" w:rsidR="00295848" w:rsidRDefault="00295848" w:rsidP="00295848">
            <w:pPr>
              <w:pStyle w:val="TableText"/>
            </w:pPr>
            <w:r>
              <w:t>Not answered</w:t>
            </w:r>
          </w:p>
        </w:tc>
        <w:tc>
          <w:tcPr>
            <w:tcW w:w="1134" w:type="dxa"/>
          </w:tcPr>
          <w:p w14:paraId="2BC90D1E" w14:textId="77777777" w:rsidR="00295848" w:rsidRDefault="00295848" w:rsidP="00295848">
            <w:pPr>
              <w:pStyle w:val="TableText"/>
              <w:jc w:val="right"/>
            </w:pPr>
            <w:r>
              <w:t>3</w:t>
            </w:r>
          </w:p>
        </w:tc>
        <w:tc>
          <w:tcPr>
            <w:tcW w:w="1134" w:type="dxa"/>
          </w:tcPr>
          <w:p w14:paraId="5B08F796" w14:textId="77777777" w:rsidR="00295848" w:rsidRDefault="00295848" w:rsidP="00295848">
            <w:pPr>
              <w:pStyle w:val="TableText"/>
              <w:jc w:val="right"/>
            </w:pPr>
            <w:r>
              <w:t>8.57%</w:t>
            </w:r>
          </w:p>
        </w:tc>
      </w:tr>
    </w:tbl>
    <w:p w14:paraId="1910A76E" w14:textId="77777777" w:rsidR="00E52CAF" w:rsidRDefault="00E52CAF" w:rsidP="00295848"/>
    <w:p w14:paraId="2EF3E588" w14:textId="4D9C6BD6" w:rsidR="00E52CAF" w:rsidRDefault="00E52CAF" w:rsidP="00295848">
      <w:r>
        <w:t>A strong m</w:t>
      </w:r>
      <w:r w:rsidRPr="00D13E72">
        <w:t>ajority of submitters</w:t>
      </w:r>
      <w:r>
        <w:t>, as well as ECART and all fertility providers,</w:t>
      </w:r>
      <w:r w:rsidRPr="00D13E72">
        <w:t xml:space="preserve"> </w:t>
      </w:r>
      <w:r>
        <w:t>agreed with this proposal.</w:t>
      </w:r>
    </w:p>
    <w:p w14:paraId="5DB95038" w14:textId="77777777" w:rsidR="00295848" w:rsidRDefault="00295848" w:rsidP="00295848"/>
    <w:p w14:paraId="29476EEE" w14:textId="19D01F6D" w:rsidR="00E52CAF" w:rsidRDefault="00E52CAF" w:rsidP="00295848">
      <w:r w:rsidRPr="006D3D4B">
        <w:t xml:space="preserve">The majority of submitters agreed that minors who </w:t>
      </w:r>
      <w:r>
        <w:t xml:space="preserve">stored gametes as children for their own fertility preservation and who then </w:t>
      </w:r>
      <w:r w:rsidRPr="006D3D4B">
        <w:t xml:space="preserve">reach adulthood should </w:t>
      </w:r>
      <w:r>
        <w:t xml:space="preserve">be able to place the </w:t>
      </w:r>
      <w:r w:rsidRPr="006D3D4B">
        <w:t>same conditions for th</w:t>
      </w:r>
      <w:r>
        <w:t>e</w:t>
      </w:r>
      <w:r w:rsidRPr="006D3D4B">
        <w:t>ir stored gametes as other adults.</w:t>
      </w:r>
      <w:r>
        <w:t xml:space="preserve"> One submitter thought that age 16 was still too young to make the decision to donate, and, further, two fertility providers noted a discrepancy with the age of donation, which is currently </w:t>
      </w:r>
      <w:r w:rsidR="00B25B12">
        <w:t xml:space="preserve">aged </w:t>
      </w:r>
      <w:r>
        <w:t>20.</w:t>
      </w:r>
    </w:p>
    <w:p w14:paraId="34775A3B" w14:textId="77777777" w:rsidR="00295848" w:rsidRDefault="00295848" w:rsidP="00295848"/>
    <w:p w14:paraId="61CD64FF" w14:textId="77777777" w:rsidR="00E52CAF" w:rsidRPr="001A401F" w:rsidRDefault="00B25B12" w:rsidP="001D6D23">
      <w:pPr>
        <w:pStyle w:val="Heading2"/>
        <w:rPr>
          <w:noProof/>
        </w:rPr>
      </w:pPr>
      <w:bookmarkStart w:id="38" w:name="_Toc57205610"/>
      <w:r>
        <w:rPr>
          <w:noProof/>
        </w:rPr>
        <w:lastRenderedPageBreak/>
        <w:t>I</w:t>
      </w:r>
      <w:r w:rsidR="001D6D23">
        <w:rPr>
          <w:noProof/>
        </w:rPr>
        <w:t>.</w:t>
      </w:r>
      <w:r w:rsidR="001D6D23">
        <w:rPr>
          <w:noProof/>
        </w:rPr>
        <w:tab/>
      </w:r>
      <w:r w:rsidR="00E52CAF" w:rsidRPr="001A401F">
        <w:rPr>
          <w:noProof/>
        </w:rPr>
        <w:t>No requirement for a specific stand-down period</w:t>
      </w:r>
      <w:bookmarkEnd w:id="38"/>
    </w:p>
    <w:p w14:paraId="1FA86321" w14:textId="77777777" w:rsidR="00E52CAF" w:rsidRPr="00BE7D8A" w:rsidRDefault="00E52CAF" w:rsidP="00295848">
      <w:pPr>
        <w:pStyle w:val="Heading3"/>
      </w:pPr>
      <w:r w:rsidRPr="00BE7D8A">
        <w:t>Question 17</w:t>
      </w:r>
    </w:p>
    <w:p w14:paraId="19EFB053" w14:textId="77777777" w:rsidR="00C303B7" w:rsidRDefault="00E52CAF" w:rsidP="00E17DC4">
      <w:pPr>
        <w:pStyle w:val="Box"/>
        <w:keepNext/>
      </w:pPr>
      <w:r w:rsidRPr="00BE7D8A">
        <w:t>Do you agree that there is no need for the guidelines to include a specific provision about a stand-down period?</w:t>
      </w:r>
    </w:p>
    <w:p w14:paraId="1B4C10A2" w14:textId="77777777" w:rsidR="00E52CAF" w:rsidRDefault="00E52CAF" w:rsidP="00E17DC4">
      <w:pPr>
        <w:keepNext/>
      </w:pPr>
    </w:p>
    <w:p w14:paraId="5026DE55" w14:textId="77777777" w:rsidR="00E52CAF" w:rsidRDefault="00E52CAF" w:rsidP="00E17DC4">
      <w:pPr>
        <w:keepNext/>
      </w:pPr>
      <w:r>
        <w:t>There were 32 responses to this question.</w:t>
      </w:r>
    </w:p>
    <w:p w14:paraId="7E2C47A7" w14:textId="77777777" w:rsidR="00710B30" w:rsidRDefault="00710B30" w:rsidP="00E17DC4">
      <w:pPr>
        <w:keepNext/>
      </w:pP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699ABCCA" w14:textId="77777777" w:rsidTr="00295848">
        <w:trPr>
          <w:cantSplit/>
        </w:trPr>
        <w:tc>
          <w:tcPr>
            <w:tcW w:w="1843" w:type="dxa"/>
            <w:tcBorders>
              <w:top w:val="single" w:sz="4" w:space="0" w:color="auto"/>
              <w:bottom w:val="single" w:sz="4" w:space="0" w:color="auto"/>
            </w:tcBorders>
          </w:tcPr>
          <w:p w14:paraId="03C5DDA3" w14:textId="77777777" w:rsidR="00710B30" w:rsidRPr="004E3B58" w:rsidRDefault="00710B30" w:rsidP="00E17DC4">
            <w:pPr>
              <w:pStyle w:val="TableText"/>
              <w:keepNext/>
              <w:rPr>
                <w:b/>
              </w:rPr>
            </w:pPr>
            <w:r w:rsidRPr="004E3B58">
              <w:rPr>
                <w:b/>
              </w:rPr>
              <w:t>Option</w:t>
            </w:r>
          </w:p>
        </w:tc>
        <w:tc>
          <w:tcPr>
            <w:tcW w:w="1134" w:type="dxa"/>
            <w:tcBorders>
              <w:top w:val="single" w:sz="4" w:space="0" w:color="auto"/>
              <w:bottom w:val="single" w:sz="4" w:space="0" w:color="auto"/>
            </w:tcBorders>
          </w:tcPr>
          <w:p w14:paraId="58D47561" w14:textId="77777777" w:rsidR="00710B30" w:rsidRPr="004E3B58" w:rsidRDefault="00710B30" w:rsidP="00E17DC4">
            <w:pPr>
              <w:pStyle w:val="TableText"/>
              <w:keepNext/>
              <w:jc w:val="right"/>
              <w:rPr>
                <w:b/>
              </w:rPr>
            </w:pPr>
            <w:r w:rsidRPr="004E3B58">
              <w:rPr>
                <w:b/>
              </w:rPr>
              <w:t>Total</w:t>
            </w:r>
          </w:p>
        </w:tc>
        <w:tc>
          <w:tcPr>
            <w:tcW w:w="1134" w:type="dxa"/>
            <w:tcBorders>
              <w:top w:val="single" w:sz="4" w:space="0" w:color="auto"/>
              <w:bottom w:val="single" w:sz="4" w:space="0" w:color="auto"/>
            </w:tcBorders>
          </w:tcPr>
          <w:p w14:paraId="69A7E8CC" w14:textId="77777777" w:rsidR="00710B30" w:rsidRPr="004E3B58" w:rsidRDefault="00710B30" w:rsidP="00E17DC4">
            <w:pPr>
              <w:pStyle w:val="TableText"/>
              <w:keepNext/>
              <w:jc w:val="right"/>
              <w:rPr>
                <w:b/>
              </w:rPr>
            </w:pPr>
            <w:r w:rsidRPr="004E3B58">
              <w:rPr>
                <w:b/>
              </w:rPr>
              <w:t>Percent</w:t>
            </w:r>
          </w:p>
        </w:tc>
      </w:tr>
      <w:tr w:rsidR="00295848" w14:paraId="640E227F" w14:textId="77777777" w:rsidTr="00295848">
        <w:trPr>
          <w:cantSplit/>
        </w:trPr>
        <w:tc>
          <w:tcPr>
            <w:tcW w:w="1843" w:type="dxa"/>
            <w:tcBorders>
              <w:top w:val="single" w:sz="4" w:space="0" w:color="auto"/>
            </w:tcBorders>
          </w:tcPr>
          <w:p w14:paraId="704973B0" w14:textId="77777777" w:rsidR="00295848" w:rsidRDefault="00295848" w:rsidP="00E17DC4">
            <w:pPr>
              <w:pStyle w:val="TableText"/>
              <w:keepNext/>
            </w:pPr>
            <w:r>
              <w:t>Yes</w:t>
            </w:r>
          </w:p>
        </w:tc>
        <w:tc>
          <w:tcPr>
            <w:tcW w:w="1134" w:type="dxa"/>
            <w:tcBorders>
              <w:top w:val="single" w:sz="4" w:space="0" w:color="auto"/>
            </w:tcBorders>
          </w:tcPr>
          <w:p w14:paraId="4CE80CC4" w14:textId="77777777" w:rsidR="00295848" w:rsidRDefault="00295848" w:rsidP="00E17DC4">
            <w:pPr>
              <w:pStyle w:val="TableText"/>
              <w:keepNext/>
              <w:jc w:val="right"/>
            </w:pPr>
            <w:r>
              <w:t>26</w:t>
            </w:r>
          </w:p>
        </w:tc>
        <w:tc>
          <w:tcPr>
            <w:tcW w:w="1134" w:type="dxa"/>
            <w:tcBorders>
              <w:top w:val="single" w:sz="4" w:space="0" w:color="auto"/>
            </w:tcBorders>
          </w:tcPr>
          <w:p w14:paraId="7D3E8F58" w14:textId="77777777" w:rsidR="00295848" w:rsidRDefault="00295848" w:rsidP="00E17DC4">
            <w:pPr>
              <w:pStyle w:val="TableText"/>
              <w:keepNext/>
              <w:jc w:val="right"/>
            </w:pPr>
            <w:r>
              <w:t>74.29%</w:t>
            </w:r>
          </w:p>
        </w:tc>
      </w:tr>
      <w:tr w:rsidR="00295848" w14:paraId="6676C7B4" w14:textId="77777777" w:rsidTr="00295848">
        <w:trPr>
          <w:cantSplit/>
        </w:trPr>
        <w:tc>
          <w:tcPr>
            <w:tcW w:w="1843" w:type="dxa"/>
          </w:tcPr>
          <w:p w14:paraId="0D4E41F9" w14:textId="77777777" w:rsidR="00295848" w:rsidRDefault="00295848" w:rsidP="00295848">
            <w:pPr>
              <w:pStyle w:val="TableText"/>
            </w:pPr>
            <w:r>
              <w:t>No</w:t>
            </w:r>
          </w:p>
        </w:tc>
        <w:tc>
          <w:tcPr>
            <w:tcW w:w="1134" w:type="dxa"/>
          </w:tcPr>
          <w:p w14:paraId="0E45AD26" w14:textId="77777777" w:rsidR="00295848" w:rsidRDefault="00295848" w:rsidP="00295848">
            <w:pPr>
              <w:pStyle w:val="TableText"/>
              <w:jc w:val="right"/>
            </w:pPr>
            <w:r>
              <w:t>6</w:t>
            </w:r>
          </w:p>
        </w:tc>
        <w:tc>
          <w:tcPr>
            <w:tcW w:w="1134" w:type="dxa"/>
          </w:tcPr>
          <w:p w14:paraId="22104D6B" w14:textId="77777777" w:rsidR="00295848" w:rsidRDefault="00295848" w:rsidP="00295848">
            <w:pPr>
              <w:pStyle w:val="TableText"/>
              <w:jc w:val="right"/>
            </w:pPr>
            <w:r>
              <w:t>17.14%</w:t>
            </w:r>
          </w:p>
        </w:tc>
      </w:tr>
      <w:tr w:rsidR="00295848" w14:paraId="11C90882" w14:textId="77777777" w:rsidTr="00295848">
        <w:trPr>
          <w:cantSplit/>
        </w:trPr>
        <w:tc>
          <w:tcPr>
            <w:tcW w:w="1843" w:type="dxa"/>
          </w:tcPr>
          <w:p w14:paraId="75D82951" w14:textId="77777777" w:rsidR="00295848" w:rsidRDefault="00295848" w:rsidP="00295848">
            <w:pPr>
              <w:pStyle w:val="TableText"/>
            </w:pPr>
            <w:r>
              <w:t>Not answered</w:t>
            </w:r>
          </w:p>
        </w:tc>
        <w:tc>
          <w:tcPr>
            <w:tcW w:w="1134" w:type="dxa"/>
          </w:tcPr>
          <w:p w14:paraId="00B5FBF8" w14:textId="77777777" w:rsidR="00295848" w:rsidRDefault="00295848" w:rsidP="00295848">
            <w:pPr>
              <w:pStyle w:val="TableText"/>
              <w:jc w:val="right"/>
            </w:pPr>
            <w:r>
              <w:t>3</w:t>
            </w:r>
          </w:p>
        </w:tc>
        <w:tc>
          <w:tcPr>
            <w:tcW w:w="1134" w:type="dxa"/>
          </w:tcPr>
          <w:p w14:paraId="6090102A" w14:textId="77777777" w:rsidR="00295848" w:rsidRDefault="00295848" w:rsidP="00295848">
            <w:pPr>
              <w:pStyle w:val="TableText"/>
              <w:jc w:val="right"/>
            </w:pPr>
            <w:r>
              <w:t>8.57%</w:t>
            </w:r>
          </w:p>
        </w:tc>
      </w:tr>
    </w:tbl>
    <w:p w14:paraId="68581BB8" w14:textId="77777777" w:rsidR="00E52CAF" w:rsidRDefault="00E52CAF" w:rsidP="00295848"/>
    <w:p w14:paraId="172C6067" w14:textId="77777777" w:rsidR="00E52CAF" w:rsidRDefault="00E52CAF" w:rsidP="00295848">
      <w:r>
        <w:t>Overall, submitters seemed to think some sort of stand-down period was a good idea but did not agree it should be mandated. Many noted that the grieving process was different for everyone, and an enforced stand-down period would be inflexible and arbitrary.</w:t>
      </w:r>
    </w:p>
    <w:p w14:paraId="1C7AFAE1" w14:textId="77777777" w:rsidR="00E52CAF" w:rsidRDefault="00E52CAF" w:rsidP="00295848"/>
    <w:p w14:paraId="34F74AB4" w14:textId="77777777" w:rsidR="00C303B7" w:rsidRDefault="00E52CAF" w:rsidP="00295848">
      <w:r w:rsidRPr="00682088">
        <w:t xml:space="preserve">One submitter thought that </w:t>
      </w:r>
      <w:r>
        <w:t xml:space="preserve">a stand-down period </w:t>
      </w:r>
      <w:r w:rsidRPr="00682088">
        <w:t>could be a useful safeguard during the grieving process</w:t>
      </w:r>
      <w:r>
        <w:t>,</w:t>
      </w:r>
      <w:r w:rsidRPr="00682088">
        <w:t xml:space="preserve"> but also </w:t>
      </w:r>
      <w:r>
        <w:t>noted</w:t>
      </w:r>
      <w:r w:rsidRPr="00682088">
        <w:t xml:space="preserve"> that they were happy to leave </w:t>
      </w:r>
      <w:r>
        <w:t xml:space="preserve">these decisions </w:t>
      </w:r>
      <w:r w:rsidRPr="00682088">
        <w:t>to ECART.</w:t>
      </w:r>
    </w:p>
    <w:p w14:paraId="0DF9A161" w14:textId="77777777" w:rsidR="00E52CAF" w:rsidRDefault="00E52CAF" w:rsidP="00295848"/>
    <w:p w14:paraId="3CB0AC61" w14:textId="605247E0" w:rsidR="00C303B7" w:rsidRDefault="00E52CAF" w:rsidP="00295848">
      <w:r>
        <w:t xml:space="preserve">ECART and two fertility providers thought that a stand-down period should not be mandatory, but that ECART should consider it on a case-by-case basis. Some submitters noted that the ECART meetings are infrequent and so there would be a default stand-down period for those going through the process of applying to ECART for </w:t>
      </w:r>
      <w:r w:rsidRPr="00B73DDB">
        <w:t>posthumous</w:t>
      </w:r>
      <w:r>
        <w:t xml:space="preserve"> use of gametes or embryos.</w:t>
      </w:r>
    </w:p>
    <w:p w14:paraId="60D1CA2C" w14:textId="77777777" w:rsidR="00E52CAF" w:rsidRDefault="00E52CAF" w:rsidP="00295848">
      <w:pPr>
        <w:spacing w:before="240"/>
      </w:pPr>
      <w:r>
        <w:t>S</w:t>
      </w:r>
      <w:r w:rsidRPr="00F614AC">
        <w:t>ome subm</w:t>
      </w:r>
      <w:r>
        <w:t xml:space="preserve">issions indicated that they </w:t>
      </w:r>
      <w:r w:rsidRPr="00F614AC">
        <w:t xml:space="preserve">thought clinics </w:t>
      </w:r>
      <w:r>
        <w:t>could</w:t>
      </w:r>
      <w:r w:rsidRPr="00F614AC">
        <w:t xml:space="preserve"> manage any period needed for grief before allowing posthumous use of gametes or embryos</w:t>
      </w:r>
      <w:r>
        <w:t>.</w:t>
      </w:r>
    </w:p>
    <w:p w14:paraId="6B45D804" w14:textId="77777777" w:rsidR="00E52CAF" w:rsidRPr="00C82C74" w:rsidRDefault="00E52CAF" w:rsidP="00295848"/>
    <w:p w14:paraId="717D1014" w14:textId="77777777" w:rsidR="00E52CAF" w:rsidRPr="00BE7D8A" w:rsidRDefault="00E52CAF" w:rsidP="00295848">
      <w:pPr>
        <w:pStyle w:val="Heading3"/>
      </w:pPr>
      <w:r w:rsidRPr="00BE7D8A">
        <w:lastRenderedPageBreak/>
        <w:t>Question 18</w:t>
      </w:r>
    </w:p>
    <w:p w14:paraId="65DECE91" w14:textId="77777777" w:rsidR="00C303B7" w:rsidRDefault="00E52CAF" w:rsidP="00E17DC4">
      <w:pPr>
        <w:pStyle w:val="Box"/>
        <w:keepNext/>
      </w:pPr>
      <w:r w:rsidRPr="00BE7D8A">
        <w:t>Do you agree that the counselling provision (7.f), about allowing time for grieving, is adequate for ensuring people make a well-considered decision?</w:t>
      </w:r>
    </w:p>
    <w:p w14:paraId="2FA781E5" w14:textId="77777777" w:rsidR="00295848" w:rsidRDefault="00295848" w:rsidP="00E17DC4">
      <w:pPr>
        <w:keepNext/>
      </w:pPr>
    </w:p>
    <w:p w14:paraId="482EF346" w14:textId="77777777" w:rsidR="00E52CAF" w:rsidRDefault="00E52CAF" w:rsidP="00E17DC4">
      <w:pPr>
        <w:keepNext/>
      </w:pPr>
      <w:r>
        <w:t>There were 31 responses to this question.</w:t>
      </w:r>
    </w:p>
    <w:p w14:paraId="4C37B067" w14:textId="77777777" w:rsidR="00710B30" w:rsidRDefault="00710B30" w:rsidP="00E17DC4">
      <w:pPr>
        <w:keepNext/>
      </w:pP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6195DF53" w14:textId="77777777" w:rsidTr="00295848">
        <w:trPr>
          <w:cantSplit/>
        </w:trPr>
        <w:tc>
          <w:tcPr>
            <w:tcW w:w="1843" w:type="dxa"/>
            <w:tcBorders>
              <w:top w:val="single" w:sz="4" w:space="0" w:color="auto"/>
              <w:bottom w:val="single" w:sz="4" w:space="0" w:color="auto"/>
            </w:tcBorders>
          </w:tcPr>
          <w:p w14:paraId="0F772F72" w14:textId="77777777" w:rsidR="00710B30" w:rsidRPr="004E3B58" w:rsidRDefault="00710B30" w:rsidP="00E17DC4">
            <w:pPr>
              <w:pStyle w:val="TableText"/>
              <w:keepNext/>
              <w:rPr>
                <w:b/>
              </w:rPr>
            </w:pPr>
            <w:r w:rsidRPr="004E3B58">
              <w:rPr>
                <w:b/>
              </w:rPr>
              <w:t>Option</w:t>
            </w:r>
          </w:p>
        </w:tc>
        <w:tc>
          <w:tcPr>
            <w:tcW w:w="1134" w:type="dxa"/>
            <w:tcBorders>
              <w:top w:val="single" w:sz="4" w:space="0" w:color="auto"/>
              <w:bottom w:val="single" w:sz="4" w:space="0" w:color="auto"/>
            </w:tcBorders>
          </w:tcPr>
          <w:p w14:paraId="6A63DB96" w14:textId="77777777" w:rsidR="00710B30" w:rsidRPr="004E3B58" w:rsidRDefault="00710B30" w:rsidP="00E17DC4">
            <w:pPr>
              <w:pStyle w:val="TableText"/>
              <w:keepNext/>
              <w:jc w:val="right"/>
              <w:rPr>
                <w:b/>
              </w:rPr>
            </w:pPr>
            <w:r w:rsidRPr="004E3B58">
              <w:rPr>
                <w:b/>
              </w:rPr>
              <w:t>Total</w:t>
            </w:r>
          </w:p>
        </w:tc>
        <w:tc>
          <w:tcPr>
            <w:tcW w:w="1134" w:type="dxa"/>
            <w:tcBorders>
              <w:top w:val="single" w:sz="4" w:space="0" w:color="auto"/>
              <w:bottom w:val="single" w:sz="4" w:space="0" w:color="auto"/>
            </w:tcBorders>
          </w:tcPr>
          <w:p w14:paraId="13EC0C05" w14:textId="77777777" w:rsidR="00710B30" w:rsidRPr="004E3B58" w:rsidRDefault="00710B30" w:rsidP="00E17DC4">
            <w:pPr>
              <w:pStyle w:val="TableText"/>
              <w:keepNext/>
              <w:jc w:val="right"/>
              <w:rPr>
                <w:b/>
              </w:rPr>
            </w:pPr>
            <w:r w:rsidRPr="004E3B58">
              <w:rPr>
                <w:b/>
              </w:rPr>
              <w:t>Percent</w:t>
            </w:r>
          </w:p>
        </w:tc>
      </w:tr>
      <w:tr w:rsidR="00295848" w14:paraId="335DC0E5" w14:textId="77777777" w:rsidTr="00295848">
        <w:trPr>
          <w:cantSplit/>
        </w:trPr>
        <w:tc>
          <w:tcPr>
            <w:tcW w:w="1843" w:type="dxa"/>
            <w:tcBorders>
              <w:top w:val="single" w:sz="4" w:space="0" w:color="auto"/>
            </w:tcBorders>
          </w:tcPr>
          <w:p w14:paraId="4DA5663E" w14:textId="77777777" w:rsidR="00295848" w:rsidRDefault="00295848" w:rsidP="00E17DC4">
            <w:pPr>
              <w:pStyle w:val="TableText"/>
              <w:keepNext/>
            </w:pPr>
            <w:r>
              <w:t>Yes</w:t>
            </w:r>
          </w:p>
        </w:tc>
        <w:tc>
          <w:tcPr>
            <w:tcW w:w="1134" w:type="dxa"/>
            <w:tcBorders>
              <w:top w:val="single" w:sz="4" w:space="0" w:color="auto"/>
            </w:tcBorders>
          </w:tcPr>
          <w:p w14:paraId="5D50325C" w14:textId="77777777" w:rsidR="00295848" w:rsidRDefault="00295848" w:rsidP="00E17DC4">
            <w:pPr>
              <w:pStyle w:val="TableText"/>
              <w:keepNext/>
              <w:jc w:val="right"/>
            </w:pPr>
            <w:r>
              <w:t>23</w:t>
            </w:r>
          </w:p>
        </w:tc>
        <w:tc>
          <w:tcPr>
            <w:tcW w:w="1134" w:type="dxa"/>
            <w:tcBorders>
              <w:top w:val="single" w:sz="4" w:space="0" w:color="auto"/>
            </w:tcBorders>
          </w:tcPr>
          <w:p w14:paraId="68A8EB74" w14:textId="77777777" w:rsidR="00295848" w:rsidRDefault="00295848" w:rsidP="00E17DC4">
            <w:pPr>
              <w:pStyle w:val="TableText"/>
              <w:keepNext/>
              <w:jc w:val="right"/>
            </w:pPr>
            <w:r>
              <w:t>65.71%</w:t>
            </w:r>
          </w:p>
        </w:tc>
      </w:tr>
      <w:tr w:rsidR="00295848" w14:paraId="37E48354" w14:textId="77777777" w:rsidTr="00295848">
        <w:trPr>
          <w:cantSplit/>
        </w:trPr>
        <w:tc>
          <w:tcPr>
            <w:tcW w:w="1843" w:type="dxa"/>
          </w:tcPr>
          <w:p w14:paraId="2EBDDF6B" w14:textId="77777777" w:rsidR="00295848" w:rsidRDefault="00295848" w:rsidP="00E17DC4">
            <w:pPr>
              <w:pStyle w:val="TableText"/>
              <w:keepNext/>
            </w:pPr>
            <w:r>
              <w:t>No</w:t>
            </w:r>
          </w:p>
        </w:tc>
        <w:tc>
          <w:tcPr>
            <w:tcW w:w="1134" w:type="dxa"/>
          </w:tcPr>
          <w:p w14:paraId="4530D7A0" w14:textId="77777777" w:rsidR="00295848" w:rsidRDefault="00295848" w:rsidP="00E17DC4">
            <w:pPr>
              <w:pStyle w:val="TableText"/>
              <w:keepNext/>
              <w:jc w:val="right"/>
            </w:pPr>
            <w:r>
              <w:t>8</w:t>
            </w:r>
          </w:p>
        </w:tc>
        <w:tc>
          <w:tcPr>
            <w:tcW w:w="1134" w:type="dxa"/>
          </w:tcPr>
          <w:p w14:paraId="7DCCE119" w14:textId="77777777" w:rsidR="00295848" w:rsidRDefault="00295848" w:rsidP="00E17DC4">
            <w:pPr>
              <w:pStyle w:val="TableText"/>
              <w:keepNext/>
              <w:jc w:val="right"/>
            </w:pPr>
            <w:r>
              <w:t>22.86%</w:t>
            </w:r>
          </w:p>
        </w:tc>
      </w:tr>
      <w:tr w:rsidR="00295848" w14:paraId="27DA8A30" w14:textId="77777777" w:rsidTr="00295848">
        <w:trPr>
          <w:cantSplit/>
        </w:trPr>
        <w:tc>
          <w:tcPr>
            <w:tcW w:w="1843" w:type="dxa"/>
          </w:tcPr>
          <w:p w14:paraId="548F021C" w14:textId="77777777" w:rsidR="00295848" w:rsidRDefault="00295848" w:rsidP="00295848">
            <w:pPr>
              <w:pStyle w:val="TableText"/>
            </w:pPr>
            <w:r>
              <w:t>Not answered</w:t>
            </w:r>
          </w:p>
        </w:tc>
        <w:tc>
          <w:tcPr>
            <w:tcW w:w="1134" w:type="dxa"/>
          </w:tcPr>
          <w:p w14:paraId="0D50C8C9" w14:textId="77777777" w:rsidR="00295848" w:rsidRDefault="00295848" w:rsidP="00295848">
            <w:pPr>
              <w:pStyle w:val="TableText"/>
              <w:jc w:val="right"/>
            </w:pPr>
            <w:r>
              <w:t>4</w:t>
            </w:r>
          </w:p>
        </w:tc>
        <w:tc>
          <w:tcPr>
            <w:tcW w:w="1134" w:type="dxa"/>
          </w:tcPr>
          <w:p w14:paraId="6F338DF9" w14:textId="77777777" w:rsidR="00295848" w:rsidRDefault="00295848" w:rsidP="00295848">
            <w:pPr>
              <w:pStyle w:val="TableText"/>
              <w:jc w:val="right"/>
            </w:pPr>
            <w:r>
              <w:t>11.43%</w:t>
            </w:r>
          </w:p>
        </w:tc>
      </w:tr>
    </w:tbl>
    <w:p w14:paraId="05F40951" w14:textId="77777777" w:rsidR="00E52CAF" w:rsidRDefault="00E52CAF" w:rsidP="00295848"/>
    <w:p w14:paraId="7E160C8A" w14:textId="77777777" w:rsidR="00C303B7" w:rsidRDefault="00E52CAF" w:rsidP="00295848">
      <w:r>
        <w:t xml:space="preserve">For this proposal, submitters commented along similar lines to the previous question, </w:t>
      </w:r>
      <w:r w:rsidRPr="00206458">
        <w:t>and many people noted that a stand</w:t>
      </w:r>
      <w:r>
        <w:t>-</w:t>
      </w:r>
      <w:r w:rsidRPr="00206458">
        <w:t>down period need</w:t>
      </w:r>
      <w:r>
        <w:t>ed</w:t>
      </w:r>
      <w:r w:rsidRPr="00206458">
        <w:t xml:space="preserve"> to be flexible so that where something like age </w:t>
      </w:r>
      <w:r>
        <w:t>was</w:t>
      </w:r>
      <w:r w:rsidRPr="00206458">
        <w:t xml:space="preserve"> a factor people </w:t>
      </w:r>
      <w:r>
        <w:t xml:space="preserve">did </w:t>
      </w:r>
      <w:r w:rsidRPr="00206458">
        <w:t>not miss out</w:t>
      </w:r>
      <w:r>
        <w:t xml:space="preserve"> on the chance to have a child</w:t>
      </w:r>
      <w:r w:rsidRPr="00206458">
        <w:t>.</w:t>
      </w:r>
    </w:p>
    <w:p w14:paraId="2EEBF91A" w14:textId="77777777" w:rsidR="00E52CAF" w:rsidRPr="00206458" w:rsidRDefault="00E52CAF" w:rsidP="00295848"/>
    <w:p w14:paraId="2DC034BC" w14:textId="77777777" w:rsidR="00E52CAF" w:rsidRPr="00206458" w:rsidRDefault="00E52CAF" w:rsidP="00295848">
      <w:r>
        <w:t xml:space="preserve">One fertility provider and a number of submitters thought that </w:t>
      </w:r>
      <w:r w:rsidRPr="00206458">
        <w:t xml:space="preserve">clinics should be able to make the call to defer treatment if a person </w:t>
      </w:r>
      <w:r>
        <w:t>was</w:t>
      </w:r>
      <w:r w:rsidRPr="00206458">
        <w:t xml:space="preserve"> not able to make a well</w:t>
      </w:r>
      <w:r>
        <w:t>-</w:t>
      </w:r>
      <w:r w:rsidRPr="00206458">
        <w:t>considered decision</w:t>
      </w:r>
      <w:r>
        <w:t>, or if there was a division among family members about the posthumous use.</w:t>
      </w:r>
    </w:p>
    <w:p w14:paraId="41B3E56A" w14:textId="77777777" w:rsidR="00E52CAF" w:rsidRPr="00206458" w:rsidRDefault="00E52CAF" w:rsidP="00295848"/>
    <w:p w14:paraId="2D74FA89" w14:textId="77777777" w:rsidR="00C303B7" w:rsidRDefault="00E52CAF" w:rsidP="00295848">
      <w:r>
        <w:t xml:space="preserve">Some submitters </w:t>
      </w:r>
      <w:r w:rsidRPr="00206458">
        <w:t xml:space="preserve">noted that the notion of counselling is a </w:t>
      </w:r>
      <w:r>
        <w:t>W</w:t>
      </w:r>
      <w:r w:rsidRPr="00206458">
        <w:t>estern concept that will not suit everyone.</w:t>
      </w:r>
    </w:p>
    <w:p w14:paraId="7BBC2A3D" w14:textId="77777777" w:rsidR="00E52CAF" w:rsidRDefault="00E52CAF" w:rsidP="00295848"/>
    <w:p w14:paraId="7CAD6982" w14:textId="77777777" w:rsidR="00C303B7" w:rsidRDefault="00E52CAF" w:rsidP="00295848">
      <w:r>
        <w:t xml:space="preserve">A few submitters said that </w:t>
      </w:r>
      <w:r w:rsidRPr="00E70487">
        <w:t xml:space="preserve">the extent to which grief </w:t>
      </w:r>
      <w:r w:rsidRPr="00E70487">
        <w:rPr>
          <w:i/>
        </w:rPr>
        <w:t>should</w:t>
      </w:r>
      <w:r w:rsidRPr="00E70487">
        <w:t xml:space="preserve"> impact on fertility treatment </w:t>
      </w:r>
      <w:r>
        <w:t xml:space="preserve">was </w:t>
      </w:r>
      <w:r w:rsidRPr="00E70487">
        <w:t xml:space="preserve">also a </w:t>
      </w:r>
      <w:r>
        <w:t xml:space="preserve">matter for </w:t>
      </w:r>
      <w:r w:rsidRPr="00E70487">
        <w:t>case-by-case decision</w:t>
      </w:r>
      <w:r>
        <w:t>s</w:t>
      </w:r>
      <w:r w:rsidRPr="00E70487">
        <w:t xml:space="preserve"> that clinics </w:t>
      </w:r>
      <w:r>
        <w:t xml:space="preserve">could </w:t>
      </w:r>
      <w:r w:rsidRPr="00E70487">
        <w:t>manage.</w:t>
      </w:r>
    </w:p>
    <w:p w14:paraId="23B58A1A" w14:textId="77777777" w:rsidR="00E52CAF" w:rsidRDefault="00E52CAF" w:rsidP="00295848"/>
    <w:p w14:paraId="067FD440" w14:textId="77777777" w:rsidR="00C303B7" w:rsidRDefault="00E52CAF" w:rsidP="00295848">
      <w:r>
        <w:t xml:space="preserve">A few submitters argued that, because grief is not a linear process, it was insensitive to suggest that there should be a </w:t>
      </w:r>
      <w:r w:rsidR="00C303B7">
        <w:t>‘</w:t>
      </w:r>
      <w:r>
        <w:t>time limit</w:t>
      </w:r>
      <w:r w:rsidR="00C303B7">
        <w:t>’</w:t>
      </w:r>
      <w:r>
        <w:t xml:space="preserve"> on </w:t>
      </w:r>
      <w:r w:rsidRPr="00EB77AB">
        <w:t xml:space="preserve">grieving, and that </w:t>
      </w:r>
      <w:r>
        <w:t xml:space="preserve">decisions on </w:t>
      </w:r>
      <w:r w:rsidRPr="00EB77AB">
        <w:t xml:space="preserve">use </w:t>
      </w:r>
      <w:r>
        <w:t xml:space="preserve">should </w:t>
      </w:r>
      <w:r w:rsidRPr="00EB77AB">
        <w:t>be</w:t>
      </w:r>
      <w:r>
        <w:t xml:space="preserve"> made case by case.</w:t>
      </w:r>
    </w:p>
    <w:p w14:paraId="70FE55B1" w14:textId="77777777" w:rsidR="00E52CAF" w:rsidRDefault="00E52CAF" w:rsidP="00295848"/>
    <w:p w14:paraId="682A5B36" w14:textId="77777777" w:rsidR="00E52CAF" w:rsidRPr="00874AF3" w:rsidRDefault="00AB4B56" w:rsidP="001D6D23">
      <w:pPr>
        <w:pStyle w:val="Heading2"/>
        <w:rPr>
          <w:noProof/>
        </w:rPr>
      </w:pPr>
      <w:bookmarkStart w:id="39" w:name="_Toc57205611"/>
      <w:r>
        <w:rPr>
          <w:noProof/>
        </w:rPr>
        <w:lastRenderedPageBreak/>
        <w:t>K</w:t>
      </w:r>
      <w:r w:rsidR="001D6D23">
        <w:rPr>
          <w:noProof/>
        </w:rPr>
        <w:t>.</w:t>
      </w:r>
      <w:r w:rsidR="001D6D23">
        <w:rPr>
          <w:noProof/>
        </w:rPr>
        <w:tab/>
      </w:r>
      <w:r w:rsidR="00E52CAF" w:rsidRPr="00874AF3">
        <w:rPr>
          <w:noProof/>
        </w:rPr>
        <w:t>The title of these guidelines</w:t>
      </w:r>
      <w:bookmarkEnd w:id="39"/>
    </w:p>
    <w:p w14:paraId="3BFA26D2" w14:textId="77777777" w:rsidR="00E52CAF" w:rsidRPr="00BE7D8A" w:rsidRDefault="00E52CAF" w:rsidP="00295848">
      <w:pPr>
        <w:pStyle w:val="Heading3"/>
      </w:pPr>
      <w:r w:rsidRPr="00BE7D8A">
        <w:t>Question 19</w:t>
      </w:r>
    </w:p>
    <w:p w14:paraId="06B017F7" w14:textId="77777777" w:rsidR="00E52CAF" w:rsidRDefault="00E52CAF" w:rsidP="00E17DC4">
      <w:pPr>
        <w:pStyle w:val="Box"/>
        <w:keepNext/>
      </w:pPr>
      <w:r w:rsidRPr="00BE7D8A">
        <w:t xml:space="preserve">Do you agree with the proposed title for the guidelines of </w:t>
      </w:r>
      <w:r w:rsidRPr="000E692E">
        <w:rPr>
          <w:i/>
        </w:rPr>
        <w:t>Guidelines for the Posthumous Use of Gametes, Reproductive Tissue and Stored Embryos</w:t>
      </w:r>
      <w:r w:rsidRPr="00BE7D8A">
        <w:t>?</w:t>
      </w:r>
    </w:p>
    <w:p w14:paraId="2C9411C2" w14:textId="77777777" w:rsidR="00E52CAF" w:rsidRDefault="00E52CAF" w:rsidP="00E17DC4">
      <w:pPr>
        <w:keepNext/>
      </w:pPr>
    </w:p>
    <w:p w14:paraId="477A0DB4" w14:textId="77777777" w:rsidR="00E52CAF" w:rsidRDefault="00E52CAF" w:rsidP="00E17DC4">
      <w:pPr>
        <w:keepNext/>
      </w:pPr>
      <w:r>
        <w:t>There were 33 responses to this question.</w:t>
      </w:r>
    </w:p>
    <w:p w14:paraId="306C7E25" w14:textId="77777777" w:rsidR="00710B30" w:rsidRDefault="00710B30" w:rsidP="00E17DC4">
      <w:pPr>
        <w:keepNext/>
      </w:pP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843"/>
        <w:gridCol w:w="1134"/>
        <w:gridCol w:w="1134"/>
      </w:tblGrid>
      <w:tr w:rsidR="00710B30" w:rsidRPr="004E3B58" w14:paraId="24205E7F" w14:textId="77777777" w:rsidTr="00295848">
        <w:trPr>
          <w:cantSplit/>
        </w:trPr>
        <w:tc>
          <w:tcPr>
            <w:tcW w:w="1843" w:type="dxa"/>
            <w:tcBorders>
              <w:top w:val="single" w:sz="4" w:space="0" w:color="auto"/>
              <w:bottom w:val="single" w:sz="4" w:space="0" w:color="auto"/>
            </w:tcBorders>
          </w:tcPr>
          <w:p w14:paraId="4D301D6B" w14:textId="77777777" w:rsidR="00710B30" w:rsidRPr="004E3B58" w:rsidRDefault="00710B30" w:rsidP="00E17DC4">
            <w:pPr>
              <w:pStyle w:val="TableText"/>
              <w:keepNext/>
              <w:rPr>
                <w:b/>
              </w:rPr>
            </w:pPr>
            <w:r w:rsidRPr="004E3B58">
              <w:rPr>
                <w:b/>
              </w:rPr>
              <w:t>Option</w:t>
            </w:r>
          </w:p>
        </w:tc>
        <w:tc>
          <w:tcPr>
            <w:tcW w:w="1134" w:type="dxa"/>
            <w:tcBorders>
              <w:top w:val="single" w:sz="4" w:space="0" w:color="auto"/>
              <w:bottom w:val="single" w:sz="4" w:space="0" w:color="auto"/>
            </w:tcBorders>
          </w:tcPr>
          <w:p w14:paraId="49E572C1" w14:textId="77777777" w:rsidR="00710B30" w:rsidRPr="004E3B58" w:rsidRDefault="00710B30" w:rsidP="00E17DC4">
            <w:pPr>
              <w:pStyle w:val="TableText"/>
              <w:keepNext/>
              <w:jc w:val="right"/>
              <w:rPr>
                <w:b/>
              </w:rPr>
            </w:pPr>
            <w:r w:rsidRPr="004E3B58">
              <w:rPr>
                <w:b/>
              </w:rPr>
              <w:t>Total</w:t>
            </w:r>
          </w:p>
        </w:tc>
        <w:tc>
          <w:tcPr>
            <w:tcW w:w="1134" w:type="dxa"/>
            <w:tcBorders>
              <w:top w:val="single" w:sz="4" w:space="0" w:color="auto"/>
              <w:bottom w:val="single" w:sz="4" w:space="0" w:color="auto"/>
            </w:tcBorders>
          </w:tcPr>
          <w:p w14:paraId="02702AA3" w14:textId="77777777" w:rsidR="00710B30" w:rsidRPr="004E3B58" w:rsidRDefault="00710B30" w:rsidP="00E17DC4">
            <w:pPr>
              <w:pStyle w:val="TableText"/>
              <w:keepNext/>
              <w:jc w:val="right"/>
              <w:rPr>
                <w:b/>
              </w:rPr>
            </w:pPr>
            <w:r w:rsidRPr="004E3B58">
              <w:rPr>
                <w:b/>
              </w:rPr>
              <w:t>Percent</w:t>
            </w:r>
          </w:p>
        </w:tc>
      </w:tr>
      <w:tr w:rsidR="000E692E" w14:paraId="385BF7F9" w14:textId="77777777" w:rsidTr="00295848">
        <w:trPr>
          <w:cantSplit/>
        </w:trPr>
        <w:tc>
          <w:tcPr>
            <w:tcW w:w="1843" w:type="dxa"/>
            <w:tcBorders>
              <w:top w:val="single" w:sz="4" w:space="0" w:color="auto"/>
            </w:tcBorders>
          </w:tcPr>
          <w:p w14:paraId="08D5F939" w14:textId="77777777" w:rsidR="000E692E" w:rsidRDefault="000E692E" w:rsidP="00295848">
            <w:pPr>
              <w:pStyle w:val="TableText"/>
            </w:pPr>
            <w:r>
              <w:t>Yes</w:t>
            </w:r>
          </w:p>
        </w:tc>
        <w:tc>
          <w:tcPr>
            <w:tcW w:w="1134" w:type="dxa"/>
            <w:tcBorders>
              <w:top w:val="single" w:sz="4" w:space="0" w:color="auto"/>
            </w:tcBorders>
          </w:tcPr>
          <w:p w14:paraId="13C6A3FA" w14:textId="77777777" w:rsidR="000E692E" w:rsidRDefault="000E692E" w:rsidP="00B25B12">
            <w:pPr>
              <w:pStyle w:val="TableText"/>
              <w:jc w:val="right"/>
            </w:pPr>
            <w:r>
              <w:t>29</w:t>
            </w:r>
          </w:p>
        </w:tc>
        <w:tc>
          <w:tcPr>
            <w:tcW w:w="1134" w:type="dxa"/>
            <w:tcBorders>
              <w:top w:val="single" w:sz="4" w:space="0" w:color="auto"/>
            </w:tcBorders>
          </w:tcPr>
          <w:p w14:paraId="468D5E00" w14:textId="77777777" w:rsidR="000E692E" w:rsidRDefault="000E692E" w:rsidP="00B25B12">
            <w:pPr>
              <w:pStyle w:val="TableText"/>
              <w:jc w:val="right"/>
            </w:pPr>
            <w:r>
              <w:t>82.86%</w:t>
            </w:r>
          </w:p>
        </w:tc>
      </w:tr>
      <w:tr w:rsidR="000E692E" w14:paraId="7DC7587A" w14:textId="77777777" w:rsidTr="00295848">
        <w:trPr>
          <w:cantSplit/>
        </w:trPr>
        <w:tc>
          <w:tcPr>
            <w:tcW w:w="1843" w:type="dxa"/>
          </w:tcPr>
          <w:p w14:paraId="3B44DA5B" w14:textId="77777777" w:rsidR="000E692E" w:rsidRDefault="000E692E" w:rsidP="00295848">
            <w:pPr>
              <w:pStyle w:val="TableText"/>
            </w:pPr>
            <w:r>
              <w:t>No</w:t>
            </w:r>
          </w:p>
        </w:tc>
        <w:tc>
          <w:tcPr>
            <w:tcW w:w="1134" w:type="dxa"/>
          </w:tcPr>
          <w:p w14:paraId="5B79B929" w14:textId="77777777" w:rsidR="000E692E" w:rsidRDefault="000E692E" w:rsidP="00B25B12">
            <w:pPr>
              <w:pStyle w:val="TableText"/>
              <w:jc w:val="right"/>
            </w:pPr>
            <w:r>
              <w:t>4</w:t>
            </w:r>
          </w:p>
        </w:tc>
        <w:tc>
          <w:tcPr>
            <w:tcW w:w="1134" w:type="dxa"/>
          </w:tcPr>
          <w:p w14:paraId="67C14D82" w14:textId="77777777" w:rsidR="000E692E" w:rsidRDefault="000E692E" w:rsidP="00B25B12">
            <w:pPr>
              <w:pStyle w:val="TableText"/>
              <w:jc w:val="right"/>
            </w:pPr>
            <w:r>
              <w:t>11.43%</w:t>
            </w:r>
          </w:p>
        </w:tc>
      </w:tr>
      <w:tr w:rsidR="000E692E" w14:paraId="6AAF3BC1" w14:textId="77777777" w:rsidTr="00295848">
        <w:trPr>
          <w:cantSplit/>
        </w:trPr>
        <w:tc>
          <w:tcPr>
            <w:tcW w:w="1843" w:type="dxa"/>
          </w:tcPr>
          <w:p w14:paraId="639A41DF" w14:textId="77777777" w:rsidR="000E692E" w:rsidRDefault="000E692E" w:rsidP="00295848">
            <w:pPr>
              <w:pStyle w:val="TableText"/>
            </w:pPr>
            <w:r>
              <w:t>Not answered</w:t>
            </w:r>
          </w:p>
        </w:tc>
        <w:tc>
          <w:tcPr>
            <w:tcW w:w="1134" w:type="dxa"/>
          </w:tcPr>
          <w:p w14:paraId="2FDDE41A" w14:textId="77777777" w:rsidR="000E692E" w:rsidRDefault="000E692E" w:rsidP="00B25B12">
            <w:pPr>
              <w:pStyle w:val="TableText"/>
              <w:jc w:val="right"/>
            </w:pPr>
            <w:r>
              <w:t>2</w:t>
            </w:r>
          </w:p>
        </w:tc>
        <w:tc>
          <w:tcPr>
            <w:tcW w:w="1134" w:type="dxa"/>
          </w:tcPr>
          <w:p w14:paraId="6E8475FC" w14:textId="77777777" w:rsidR="000E692E" w:rsidRDefault="000E692E" w:rsidP="00B25B12">
            <w:pPr>
              <w:pStyle w:val="TableText"/>
              <w:jc w:val="right"/>
            </w:pPr>
            <w:r>
              <w:t>5.71%</w:t>
            </w:r>
          </w:p>
        </w:tc>
      </w:tr>
    </w:tbl>
    <w:p w14:paraId="5F945B04" w14:textId="77777777" w:rsidR="00E52CAF" w:rsidRDefault="00E52CAF" w:rsidP="000E692E"/>
    <w:p w14:paraId="5974849D" w14:textId="77777777" w:rsidR="00C303B7" w:rsidRDefault="00E52CAF" w:rsidP="000E692E">
      <w:r>
        <w:t>A large majority of submitters thought the title of the guidelines was suitable; some submitters suggested the title should include a reference to retrieval if the two-pronged approach to authorisation of retrieval is confirmed in the final iteration of the guidelines.</w:t>
      </w:r>
    </w:p>
    <w:bookmarkEnd w:id="28"/>
    <w:p w14:paraId="661064E8" w14:textId="77777777" w:rsidR="00704C18" w:rsidRPr="00155578" w:rsidRDefault="00704C18" w:rsidP="000E692E"/>
    <w:sectPr w:rsidR="00704C18" w:rsidRPr="00155578" w:rsidSect="00201AC4">
      <w:headerReference w:type="even" r:id="rId35"/>
      <w:footerReference w:type="even" r:id="rId36"/>
      <w:footerReference w:type="default" r:id="rId37"/>
      <w:headerReference w:type="first" r:id="rId38"/>
      <w:footerReference w:type="first" r:id="rId39"/>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04DB" w14:textId="77777777" w:rsidR="00F66E5A" w:rsidRDefault="00F66E5A">
      <w:r>
        <w:separator/>
      </w:r>
    </w:p>
  </w:endnote>
  <w:endnote w:type="continuationSeparator" w:id="0">
    <w:p w14:paraId="3CEEA147" w14:textId="77777777" w:rsidR="00F66E5A" w:rsidRDefault="00F6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BFF33" w14:textId="77777777" w:rsidR="00490912" w:rsidRDefault="00490912">
    <w:pP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90912" w14:paraId="2DE65436" w14:textId="77777777">
      <w:trPr>
        <w:cantSplit/>
      </w:trPr>
      <w:tc>
        <w:tcPr>
          <w:tcW w:w="709" w:type="dxa"/>
        </w:tcPr>
        <w:p w14:paraId="2FBBA084" w14:textId="77777777" w:rsidR="00490912" w:rsidRDefault="00490912" w:rsidP="00346DCC">
          <w:r>
            <w:rPr>
              <w:noProof/>
              <w:lang w:eastAsia="en-NZ"/>
            </w:rPr>
            <w:drawing>
              <wp:anchor distT="0" distB="0" distL="114300" distR="114300" simplePos="0" relativeHeight="251817984" behindDoc="1" locked="0" layoutInCell="1" allowOverlap="1" wp14:anchorId="19B1877C" wp14:editId="4AA76C79">
                <wp:simplePos x="0" y="0"/>
                <wp:positionH relativeFrom="column">
                  <wp:posOffset>-423545</wp:posOffset>
                </wp:positionH>
                <wp:positionV relativeFrom="paragraph">
                  <wp:posOffset>-904933</wp:posOffset>
                </wp:positionV>
                <wp:extent cx="1449705" cy="1449070"/>
                <wp:effectExtent l="0" t="0" r="0" b="0"/>
                <wp:wrapNone/>
                <wp:docPr id="17" name="Picture 1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8789" w:type="dxa"/>
          <w:tcBorders>
            <w:top w:val="single" w:sz="4" w:space="0" w:color="auto"/>
          </w:tcBorders>
        </w:tcPr>
        <w:p w14:paraId="4C09C563" w14:textId="77777777" w:rsidR="00490912" w:rsidRDefault="00490912" w:rsidP="00451076">
          <w:pPr>
            <w:pStyle w:val="RectoFooter"/>
            <w:jc w:val="lef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p>
      </w:tc>
    </w:tr>
  </w:tbl>
  <w:p w14:paraId="78396F02" w14:textId="77777777" w:rsidR="00490912" w:rsidRPr="00346DCC" w:rsidRDefault="00490912" w:rsidP="00346DCC">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90912" w14:paraId="0C96EC7D" w14:textId="77777777">
      <w:trPr>
        <w:cantSplit/>
      </w:trPr>
      <w:tc>
        <w:tcPr>
          <w:tcW w:w="8789" w:type="dxa"/>
          <w:tcBorders>
            <w:bottom w:val="nil"/>
          </w:tcBorders>
          <w:vAlign w:val="center"/>
        </w:tcPr>
        <w:p w14:paraId="064C9425" w14:textId="77777777" w:rsidR="00490912" w:rsidRDefault="00490912" w:rsidP="00451076">
          <w:pPr>
            <w:pStyle w:val="RectoFooter"/>
            <w:jc w:val="righ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r>
            <w:rPr>
              <w:noProof/>
              <w:lang w:eastAsia="en-NZ"/>
            </w:rPr>
            <w:drawing>
              <wp:anchor distT="0" distB="0" distL="114300" distR="114300" simplePos="0" relativeHeight="251820032" behindDoc="1" locked="0" layoutInCell="1" allowOverlap="1" wp14:anchorId="13F9424A" wp14:editId="5C70CCAD">
                <wp:simplePos x="0" y="0"/>
                <wp:positionH relativeFrom="column">
                  <wp:posOffset>5006975</wp:posOffset>
                </wp:positionH>
                <wp:positionV relativeFrom="paragraph">
                  <wp:posOffset>-914400</wp:posOffset>
                </wp:positionV>
                <wp:extent cx="1449705" cy="1449070"/>
                <wp:effectExtent l="0" t="0" r="0" b="0"/>
                <wp:wrapNone/>
                <wp:docPr id="19" name="Picture 1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42DBFD73" w14:textId="77777777" w:rsidR="00490912" w:rsidRDefault="00490912"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14FB245F" w14:textId="77777777" w:rsidR="00490912" w:rsidRPr="00674A36" w:rsidRDefault="00490912" w:rsidP="00674A36">
    <w:pP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90912" w14:paraId="61855768" w14:textId="77777777" w:rsidTr="00F362FE">
      <w:trPr>
        <w:cantSplit/>
      </w:trPr>
      <w:tc>
        <w:tcPr>
          <w:tcW w:w="709" w:type="dxa"/>
        </w:tcPr>
        <w:p w14:paraId="24DA8CED" w14:textId="77777777" w:rsidR="00490912" w:rsidRDefault="00490912" w:rsidP="00F362FE">
          <w:r>
            <w:rPr>
              <w:noProof/>
              <w:lang w:eastAsia="en-NZ"/>
            </w:rPr>
            <w:drawing>
              <wp:anchor distT="0" distB="0" distL="114300" distR="114300" simplePos="0" relativeHeight="251822080" behindDoc="1" locked="0" layoutInCell="1" allowOverlap="1" wp14:anchorId="53B3B7E7" wp14:editId="30A303C4">
                <wp:simplePos x="0" y="0"/>
                <wp:positionH relativeFrom="column">
                  <wp:posOffset>-423545</wp:posOffset>
                </wp:positionH>
                <wp:positionV relativeFrom="paragraph">
                  <wp:posOffset>-904933</wp:posOffset>
                </wp:positionV>
                <wp:extent cx="1449705" cy="1449070"/>
                <wp:effectExtent l="0" t="0" r="0" b="0"/>
                <wp:wrapNone/>
                <wp:docPr id="20" name="Picture 2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c>
        <w:tcPr>
          <w:tcW w:w="8789" w:type="dxa"/>
          <w:tcBorders>
            <w:top w:val="single" w:sz="4" w:space="0" w:color="auto"/>
          </w:tcBorders>
        </w:tcPr>
        <w:p w14:paraId="6F5D1897" w14:textId="77777777" w:rsidR="00490912" w:rsidRDefault="00490912" w:rsidP="00451076">
          <w:pPr>
            <w:pStyle w:val="RectoFooter"/>
            <w:jc w:val="lef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p>
      </w:tc>
    </w:tr>
  </w:tbl>
  <w:p w14:paraId="5377290A" w14:textId="77777777" w:rsidR="00490912" w:rsidRPr="004D655D" w:rsidRDefault="00490912">
    <w:pP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90912" w14:paraId="7698007B" w14:textId="77777777">
      <w:trPr>
        <w:cantSplit/>
      </w:trPr>
      <w:tc>
        <w:tcPr>
          <w:tcW w:w="709" w:type="dxa"/>
        </w:tcPr>
        <w:p w14:paraId="383F8352" w14:textId="77777777" w:rsidR="00490912" w:rsidRDefault="00490912" w:rsidP="00346DCC">
          <w:r>
            <w:rPr>
              <w:noProof/>
              <w:lang w:eastAsia="en-NZ"/>
            </w:rPr>
            <w:drawing>
              <wp:anchor distT="0" distB="0" distL="114300" distR="114300" simplePos="0" relativeHeight="251790336" behindDoc="1" locked="0" layoutInCell="1" allowOverlap="1" wp14:anchorId="78D450CA" wp14:editId="042C4661">
                <wp:simplePos x="0" y="0"/>
                <wp:positionH relativeFrom="column">
                  <wp:posOffset>-423545</wp:posOffset>
                </wp:positionH>
                <wp:positionV relativeFrom="paragraph">
                  <wp:posOffset>-904933</wp:posOffset>
                </wp:positionV>
                <wp:extent cx="1449705" cy="1449070"/>
                <wp:effectExtent l="0" t="0" r="0" b="0"/>
                <wp:wrapNone/>
                <wp:docPr id="41" name="Picture 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8789" w:type="dxa"/>
          <w:tcBorders>
            <w:top w:val="single" w:sz="4" w:space="0" w:color="auto"/>
          </w:tcBorders>
        </w:tcPr>
        <w:p w14:paraId="779DAA37" w14:textId="77777777" w:rsidR="00490912" w:rsidRDefault="00490912" w:rsidP="00451076">
          <w:pPr>
            <w:pStyle w:val="RectoFooter"/>
            <w:jc w:val="lef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p>
      </w:tc>
    </w:tr>
  </w:tbl>
  <w:p w14:paraId="40575C4E" w14:textId="77777777" w:rsidR="00490912" w:rsidRPr="00346DCC" w:rsidRDefault="00490912" w:rsidP="00346DCC">
    <w:pPr>
      <w:rPr>
        <w:sz w:val="2"/>
        <w:szCs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90912" w14:paraId="02B49776" w14:textId="77777777" w:rsidTr="00C819DC">
      <w:trPr>
        <w:cantSplit/>
      </w:trPr>
      <w:tc>
        <w:tcPr>
          <w:tcW w:w="8789" w:type="dxa"/>
          <w:tcBorders>
            <w:bottom w:val="nil"/>
          </w:tcBorders>
          <w:vAlign w:val="center"/>
        </w:tcPr>
        <w:p w14:paraId="3D817F17" w14:textId="77777777" w:rsidR="00490912" w:rsidRDefault="00490912" w:rsidP="00451076">
          <w:pPr>
            <w:pStyle w:val="RectoFooter"/>
            <w:jc w:val="righ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r>
            <w:rPr>
              <w:noProof/>
              <w:lang w:eastAsia="en-NZ"/>
            </w:rPr>
            <w:drawing>
              <wp:anchor distT="0" distB="0" distL="114300" distR="114300" simplePos="0" relativeHeight="251805696" behindDoc="1" locked="0" layoutInCell="1" allowOverlap="1" wp14:anchorId="3194A76B" wp14:editId="2EE785D8">
                <wp:simplePos x="0" y="0"/>
                <wp:positionH relativeFrom="column">
                  <wp:posOffset>5006975</wp:posOffset>
                </wp:positionH>
                <wp:positionV relativeFrom="paragraph">
                  <wp:posOffset>-914400</wp:posOffset>
                </wp:positionV>
                <wp:extent cx="1449705" cy="1449070"/>
                <wp:effectExtent l="0" t="0" r="0" b="0"/>
                <wp:wrapNone/>
                <wp:docPr id="51" name="Picture 5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2BF575CA" w14:textId="77777777" w:rsidR="00490912" w:rsidRDefault="00490912" w:rsidP="00C819DC">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65232B82" w14:textId="77777777" w:rsidR="00490912" w:rsidRPr="00674A36" w:rsidRDefault="00490912" w:rsidP="00674A36">
    <w:pPr>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90912" w14:paraId="326B275D" w14:textId="77777777" w:rsidTr="007834D8">
      <w:trPr>
        <w:cantSplit/>
      </w:trPr>
      <w:tc>
        <w:tcPr>
          <w:tcW w:w="8789" w:type="dxa"/>
          <w:tcBorders>
            <w:bottom w:val="nil"/>
          </w:tcBorders>
          <w:vAlign w:val="center"/>
        </w:tcPr>
        <w:p w14:paraId="0BB08E28" w14:textId="77777777" w:rsidR="00490912" w:rsidRDefault="00490912" w:rsidP="007834D8">
          <w:pPr>
            <w:pStyle w:val="RectoFooter"/>
            <w:jc w:val="righ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r>
            <w:rPr>
              <w:noProof/>
              <w:lang w:eastAsia="en-NZ"/>
            </w:rPr>
            <w:drawing>
              <wp:anchor distT="0" distB="0" distL="114300" distR="114300" simplePos="0" relativeHeight="251824128" behindDoc="1" locked="0" layoutInCell="1" allowOverlap="1" wp14:anchorId="221E4ADE" wp14:editId="7F2AFB8A">
                <wp:simplePos x="0" y="0"/>
                <wp:positionH relativeFrom="column">
                  <wp:posOffset>5006975</wp:posOffset>
                </wp:positionH>
                <wp:positionV relativeFrom="paragraph">
                  <wp:posOffset>-914400</wp:posOffset>
                </wp:positionV>
                <wp:extent cx="1449705" cy="1449070"/>
                <wp:effectExtent l="0" t="0" r="0" b="0"/>
                <wp:wrapNone/>
                <wp:docPr id="28" name="Picture 2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0F4A59FE" w14:textId="77777777" w:rsidR="00490912" w:rsidRDefault="00490912" w:rsidP="007834D8">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53D1D634" w14:textId="77777777" w:rsidR="00490912" w:rsidRPr="004D655D" w:rsidRDefault="00490912">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417A1" w14:textId="77777777" w:rsidR="00490912" w:rsidRDefault="00490912">
    <w:r>
      <w:t>Proposed Guidelines on Extending Storage of Gametes and Embryos: Consultation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90912" w14:paraId="16019F4F" w14:textId="77777777">
      <w:trPr>
        <w:cantSplit/>
      </w:trPr>
      <w:tc>
        <w:tcPr>
          <w:tcW w:w="709" w:type="dxa"/>
        </w:tcPr>
        <w:p w14:paraId="0EF63C2B" w14:textId="77777777" w:rsidR="00490912" w:rsidRDefault="00490912" w:rsidP="00346DCC">
          <w:r>
            <w:rPr>
              <w:noProof/>
              <w:lang w:eastAsia="en-NZ"/>
            </w:rPr>
            <w:drawing>
              <wp:anchor distT="0" distB="0" distL="114300" distR="114300" simplePos="0" relativeHeight="251680768" behindDoc="1" locked="0" layoutInCell="1" allowOverlap="1" wp14:anchorId="69CA5FC0" wp14:editId="13C82B22">
                <wp:simplePos x="0" y="0"/>
                <wp:positionH relativeFrom="column">
                  <wp:posOffset>-423545</wp:posOffset>
                </wp:positionH>
                <wp:positionV relativeFrom="paragraph">
                  <wp:posOffset>-904933</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tc>
      <w:tc>
        <w:tcPr>
          <w:tcW w:w="8789" w:type="dxa"/>
          <w:tcBorders>
            <w:top w:val="single" w:sz="4" w:space="0" w:color="auto"/>
          </w:tcBorders>
        </w:tcPr>
        <w:p w14:paraId="176EF033" w14:textId="77777777" w:rsidR="00490912" w:rsidRDefault="00490912" w:rsidP="00451076">
          <w:pPr>
            <w:pStyle w:val="RectoFooter"/>
            <w:jc w:val="left"/>
          </w:pPr>
          <w:r>
            <w:t>Stage One Consultation: Submissions analysis</w:t>
          </w:r>
          <w:r>
            <w:br/>
            <w:t>Posthumous Reproduction: A review of the current Guidelines for the Storage, Use,</w:t>
          </w:r>
          <w:r>
            <w:br/>
            <w:t xml:space="preserve">and Disposal of Sperm from a Deceased Man to </w:t>
          </w:r>
          <w:proofErr w:type="gramStart"/>
          <w:r>
            <w:t>take into account</w:t>
          </w:r>
          <w:proofErr w:type="gramEnd"/>
          <w:r>
            <w:t xml:space="preserve"> gametes and embryos</w:t>
          </w:r>
        </w:p>
      </w:tc>
    </w:tr>
  </w:tbl>
  <w:p w14:paraId="574957D0" w14:textId="77777777" w:rsidR="00490912" w:rsidRPr="00346DCC" w:rsidRDefault="00490912" w:rsidP="00346DC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90912" w14:paraId="0290E1D6" w14:textId="77777777">
      <w:trPr>
        <w:cantSplit/>
      </w:trPr>
      <w:tc>
        <w:tcPr>
          <w:tcW w:w="8789" w:type="dxa"/>
          <w:tcBorders>
            <w:bottom w:val="nil"/>
          </w:tcBorders>
          <w:vAlign w:val="center"/>
        </w:tcPr>
        <w:p w14:paraId="1CFE1AAF" w14:textId="77777777" w:rsidR="00490912" w:rsidRDefault="00490912" w:rsidP="0010602B">
          <w:pPr>
            <w:pStyle w:val="RectoFooter"/>
            <w:jc w:val="righ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r>
            <w:rPr>
              <w:noProof/>
              <w:lang w:eastAsia="en-NZ"/>
            </w:rPr>
            <w:drawing>
              <wp:anchor distT="0" distB="0" distL="114300" distR="114300" simplePos="0" relativeHeight="251695104" behindDoc="1" locked="0" layoutInCell="1" allowOverlap="1" wp14:anchorId="012B7DCA" wp14:editId="7C8557F7">
                <wp:simplePos x="0" y="0"/>
                <wp:positionH relativeFrom="column">
                  <wp:posOffset>5006975</wp:posOffset>
                </wp:positionH>
                <wp:positionV relativeFrom="paragraph">
                  <wp:posOffset>-914400</wp:posOffset>
                </wp:positionV>
                <wp:extent cx="1449705" cy="1449070"/>
                <wp:effectExtent l="0" t="0" r="0" b="0"/>
                <wp:wrapNone/>
                <wp:docPr id="22" name="Picture 2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5B526245" w14:textId="77777777" w:rsidR="00490912" w:rsidRDefault="00490912"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tc>
    </w:tr>
  </w:tbl>
  <w:p w14:paraId="0B349062" w14:textId="77777777" w:rsidR="00490912" w:rsidRPr="00674A36" w:rsidRDefault="00490912" w:rsidP="00674A36">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90912" w14:paraId="3748FA65" w14:textId="77777777">
      <w:trPr>
        <w:cantSplit/>
      </w:trPr>
      <w:tc>
        <w:tcPr>
          <w:tcW w:w="709" w:type="dxa"/>
        </w:tcPr>
        <w:p w14:paraId="1F002247" w14:textId="77777777" w:rsidR="00490912" w:rsidRDefault="00490912" w:rsidP="00346DCC">
          <w:r>
            <w:rPr>
              <w:noProof/>
              <w:lang w:eastAsia="en-NZ"/>
            </w:rPr>
            <w:drawing>
              <wp:anchor distT="0" distB="0" distL="114300" distR="114300" simplePos="0" relativeHeight="251815936" behindDoc="1" locked="0" layoutInCell="1" allowOverlap="1" wp14:anchorId="228C97AB" wp14:editId="06A34095">
                <wp:simplePos x="0" y="0"/>
                <wp:positionH relativeFrom="column">
                  <wp:posOffset>-423545</wp:posOffset>
                </wp:positionH>
                <wp:positionV relativeFrom="paragraph">
                  <wp:posOffset>-904933</wp:posOffset>
                </wp:positionV>
                <wp:extent cx="1449705" cy="1449070"/>
                <wp:effectExtent l="0" t="0" r="0" b="0"/>
                <wp:wrapNone/>
                <wp:docPr id="18" name="Picture 1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8789" w:type="dxa"/>
          <w:tcBorders>
            <w:top w:val="single" w:sz="4" w:space="0" w:color="auto"/>
          </w:tcBorders>
        </w:tcPr>
        <w:p w14:paraId="632FAE92" w14:textId="77777777" w:rsidR="00490912" w:rsidRDefault="00490912" w:rsidP="007744C2">
          <w:pPr>
            <w:pStyle w:val="RectoFooter"/>
            <w:jc w:val="left"/>
          </w:pPr>
          <w:r>
            <w:t>Stage 1 Consultation: Submissions analysis</w:t>
          </w:r>
          <w:r>
            <w:br/>
            <w:t>Posthumous Reproduction: A review of the current Guidelines for the Storage, Use,</w:t>
          </w:r>
          <w:r>
            <w:br/>
            <w:t xml:space="preserve">and Disposal of Sperm from a Deceased Man to </w:t>
          </w:r>
          <w:proofErr w:type="gramStart"/>
          <w:r>
            <w:t>take into account</w:t>
          </w:r>
          <w:proofErr w:type="gramEnd"/>
          <w:r>
            <w:t xml:space="preserve"> gametes and embryos</w:t>
          </w:r>
        </w:p>
      </w:tc>
    </w:tr>
  </w:tbl>
  <w:p w14:paraId="05BAC8FD" w14:textId="77777777" w:rsidR="00490912" w:rsidRPr="00346DCC" w:rsidRDefault="00490912" w:rsidP="00346DCC">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90912" w14:paraId="1B882819" w14:textId="77777777" w:rsidTr="002D5F68">
      <w:trPr>
        <w:cantSplit/>
      </w:trPr>
      <w:tc>
        <w:tcPr>
          <w:tcW w:w="8789" w:type="dxa"/>
          <w:tcBorders>
            <w:bottom w:val="nil"/>
          </w:tcBorders>
          <w:vAlign w:val="center"/>
        </w:tcPr>
        <w:p w14:paraId="6171626C" w14:textId="77777777" w:rsidR="00490912" w:rsidRDefault="00490912" w:rsidP="00451076">
          <w:pPr>
            <w:pStyle w:val="RectoFooter"/>
            <w:jc w:val="righ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r>
            <w:rPr>
              <w:noProof/>
              <w:lang w:eastAsia="en-NZ"/>
            </w:rPr>
            <w:drawing>
              <wp:anchor distT="0" distB="0" distL="114300" distR="114300" simplePos="0" relativeHeight="251810816" behindDoc="1" locked="0" layoutInCell="1" allowOverlap="1" wp14:anchorId="1F6ADD41" wp14:editId="61B6D12A">
                <wp:simplePos x="0" y="0"/>
                <wp:positionH relativeFrom="column">
                  <wp:posOffset>5006975</wp:posOffset>
                </wp:positionH>
                <wp:positionV relativeFrom="paragraph">
                  <wp:posOffset>-914400</wp:posOffset>
                </wp:positionV>
                <wp:extent cx="1449705" cy="1449070"/>
                <wp:effectExtent l="0" t="0" r="0" b="0"/>
                <wp:wrapNone/>
                <wp:docPr id="25" name="Picture 2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55D9B1D5" w14:textId="77777777" w:rsidR="00490912" w:rsidRDefault="00490912" w:rsidP="002D5F68">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771A40" w14:textId="77777777" w:rsidR="00490912" w:rsidRPr="004D655D" w:rsidRDefault="00490912">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90912" w14:paraId="4B9A319F" w14:textId="77777777">
      <w:trPr>
        <w:cantSplit/>
      </w:trPr>
      <w:tc>
        <w:tcPr>
          <w:tcW w:w="709" w:type="dxa"/>
        </w:tcPr>
        <w:p w14:paraId="766A4387" w14:textId="77777777" w:rsidR="00490912" w:rsidRDefault="00490912" w:rsidP="00346DCC">
          <w:r>
            <w:rPr>
              <w:noProof/>
              <w:lang w:eastAsia="en-NZ"/>
            </w:rPr>
            <w:drawing>
              <wp:anchor distT="0" distB="0" distL="114300" distR="114300" simplePos="0" relativeHeight="251827200" behindDoc="1" locked="0" layoutInCell="1" allowOverlap="1" wp14:anchorId="3D832E32" wp14:editId="6C900A41">
                <wp:simplePos x="0" y="0"/>
                <wp:positionH relativeFrom="column">
                  <wp:posOffset>-423545</wp:posOffset>
                </wp:positionH>
                <wp:positionV relativeFrom="paragraph">
                  <wp:posOffset>-904933</wp:posOffset>
                </wp:positionV>
                <wp:extent cx="1449705" cy="1449070"/>
                <wp:effectExtent l="0" t="0" r="0" b="0"/>
                <wp:wrapNone/>
                <wp:docPr id="1" name="Picture 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8789" w:type="dxa"/>
          <w:tcBorders>
            <w:top w:val="single" w:sz="4" w:space="0" w:color="auto"/>
          </w:tcBorders>
        </w:tcPr>
        <w:p w14:paraId="65AD7CD0" w14:textId="77777777" w:rsidR="00490912" w:rsidRDefault="00490912" w:rsidP="00451076">
          <w:pPr>
            <w:pStyle w:val="RectoFooter"/>
            <w:jc w:val="lef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p>
      </w:tc>
    </w:tr>
  </w:tbl>
  <w:p w14:paraId="756E767A" w14:textId="77777777" w:rsidR="00490912" w:rsidRPr="00346DCC" w:rsidRDefault="00490912" w:rsidP="00346DCC">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490912" w14:paraId="04D28106" w14:textId="77777777">
      <w:trPr>
        <w:cantSplit/>
      </w:trPr>
      <w:tc>
        <w:tcPr>
          <w:tcW w:w="8789" w:type="dxa"/>
          <w:tcBorders>
            <w:bottom w:val="nil"/>
          </w:tcBorders>
          <w:vAlign w:val="center"/>
        </w:tcPr>
        <w:p w14:paraId="63DBC1E0" w14:textId="77777777" w:rsidR="00490912" w:rsidRDefault="00490912" w:rsidP="00451076">
          <w:pPr>
            <w:pStyle w:val="RectoFooter"/>
            <w:jc w:val="righ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r>
            <w:rPr>
              <w:noProof/>
              <w:lang w:eastAsia="en-NZ"/>
            </w:rPr>
            <w:drawing>
              <wp:anchor distT="0" distB="0" distL="114300" distR="114300" simplePos="0" relativeHeight="251828224" behindDoc="1" locked="0" layoutInCell="1" allowOverlap="1" wp14:anchorId="6CE65480" wp14:editId="5B449A20">
                <wp:simplePos x="0" y="0"/>
                <wp:positionH relativeFrom="column">
                  <wp:posOffset>5006975</wp:posOffset>
                </wp:positionH>
                <wp:positionV relativeFrom="paragraph">
                  <wp:posOffset>-914400</wp:posOffset>
                </wp:positionV>
                <wp:extent cx="1449705" cy="1449070"/>
                <wp:effectExtent l="0" t="0" r="0" b="0"/>
                <wp:wrapNone/>
                <wp:docPr id="2" name="Picture 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9" w:type="dxa"/>
          <w:tcBorders>
            <w:top w:val="nil"/>
            <w:bottom w:val="nil"/>
          </w:tcBorders>
        </w:tcPr>
        <w:p w14:paraId="00A99555" w14:textId="77777777" w:rsidR="00490912" w:rsidRDefault="00490912" w:rsidP="00901C70">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AC7DED" w14:textId="77777777" w:rsidR="00490912" w:rsidRPr="00674A36" w:rsidRDefault="00490912" w:rsidP="00674A36">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490912" w14:paraId="753FC919" w14:textId="77777777" w:rsidTr="00F362FE">
      <w:trPr>
        <w:cantSplit/>
      </w:trPr>
      <w:tc>
        <w:tcPr>
          <w:tcW w:w="709" w:type="dxa"/>
        </w:tcPr>
        <w:p w14:paraId="0FC2D159" w14:textId="77777777" w:rsidR="00490912" w:rsidRDefault="00490912" w:rsidP="00F362FE">
          <w:r>
            <w:rPr>
              <w:noProof/>
              <w:lang w:eastAsia="en-NZ"/>
            </w:rPr>
            <w:drawing>
              <wp:anchor distT="0" distB="0" distL="114300" distR="114300" simplePos="0" relativeHeight="251829248" behindDoc="1" locked="0" layoutInCell="1" allowOverlap="1" wp14:anchorId="38FD00A6" wp14:editId="5D0EBE90">
                <wp:simplePos x="0" y="0"/>
                <wp:positionH relativeFrom="column">
                  <wp:posOffset>-423545</wp:posOffset>
                </wp:positionH>
                <wp:positionV relativeFrom="paragraph">
                  <wp:posOffset>-904933</wp:posOffset>
                </wp:positionV>
                <wp:extent cx="1449705" cy="1449070"/>
                <wp:effectExtent l="0" t="0" r="0" b="0"/>
                <wp:wrapNone/>
                <wp:docPr id="5" name="Picture 5"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8789" w:type="dxa"/>
          <w:tcBorders>
            <w:top w:val="single" w:sz="4" w:space="0" w:color="auto"/>
          </w:tcBorders>
        </w:tcPr>
        <w:p w14:paraId="3FE5FDA0" w14:textId="77777777" w:rsidR="00490912" w:rsidRDefault="00490912" w:rsidP="00451076">
          <w:pPr>
            <w:pStyle w:val="RectoFooter"/>
            <w:jc w:val="left"/>
          </w:pPr>
          <w:r>
            <w:t>Stage Two Consultation: Submissions analysis</w:t>
          </w:r>
          <w:r>
            <w:br/>
          </w:r>
          <w:r w:rsidRPr="0010602B">
            <w:t>P</w:t>
          </w:r>
          <w:r>
            <w:t>roposed</w:t>
          </w:r>
          <w:r w:rsidRPr="0010602B">
            <w:t xml:space="preserve"> Guidelines for the Posthumous Use of Gametes,</w:t>
          </w:r>
          <w:r>
            <w:t xml:space="preserve"> </w:t>
          </w:r>
          <w:r w:rsidRPr="0010602B">
            <w:t>Reproductive Tissue</w:t>
          </w:r>
          <w:r>
            <w:t xml:space="preserve"> and Stored Embryos</w:t>
          </w:r>
        </w:p>
      </w:tc>
    </w:tr>
  </w:tbl>
  <w:p w14:paraId="2B12CC74" w14:textId="77777777" w:rsidR="00490912" w:rsidRPr="004D655D" w:rsidRDefault="00490912">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C40B5" w14:textId="77777777" w:rsidR="00F66E5A" w:rsidRPr="00A266FF" w:rsidRDefault="00F66E5A">
      <w:pPr>
        <w:rPr>
          <w:sz w:val="18"/>
          <w:szCs w:val="18"/>
        </w:rPr>
      </w:pPr>
      <w:r w:rsidRPr="00A266FF">
        <w:rPr>
          <w:sz w:val="18"/>
          <w:szCs w:val="18"/>
        </w:rPr>
        <w:separator/>
      </w:r>
    </w:p>
  </w:footnote>
  <w:footnote w:type="continuationSeparator" w:id="0">
    <w:p w14:paraId="4DBB5C60" w14:textId="77777777" w:rsidR="00F66E5A" w:rsidRDefault="00F66E5A">
      <w:r>
        <w:continuationSeparator/>
      </w:r>
    </w:p>
  </w:footnote>
  <w:footnote w:id="1">
    <w:p w14:paraId="2F00D59E" w14:textId="77777777" w:rsidR="00490912" w:rsidRPr="00F362FE" w:rsidRDefault="00490912" w:rsidP="00710B30">
      <w:pPr>
        <w:pStyle w:val="FootnoteText"/>
      </w:pPr>
      <w:r w:rsidRPr="00710B30">
        <w:rPr>
          <w:rStyle w:val="FootnoteReference"/>
        </w:rPr>
        <w:footnoteRef/>
      </w:r>
      <w:r>
        <w:tab/>
        <w:t>Percentages that appear in this section reflect data received through Citizen Space and also through hard copy questionnaires.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90ED" w14:textId="77777777" w:rsidR="00490912" w:rsidRDefault="00490912">
    <w:pPr>
      <w:pStyle w:val="Header"/>
    </w:pPr>
    <w:r>
      <w:rPr>
        <w:noProof/>
        <w:lang w:eastAsia="en-NZ"/>
      </w:rPr>
      <w:drawing>
        <wp:anchor distT="0" distB="0" distL="114300" distR="114300" simplePos="0" relativeHeight="251648000" behindDoc="1" locked="0" layoutInCell="1" allowOverlap="1" wp14:anchorId="653CD066" wp14:editId="6913D582">
          <wp:simplePos x="0" y="0"/>
          <wp:positionH relativeFrom="column">
            <wp:align>center</wp:align>
          </wp:positionH>
          <wp:positionV relativeFrom="paragraph">
            <wp:posOffset>2372360</wp:posOffset>
          </wp:positionV>
          <wp:extent cx="4381500" cy="4171950"/>
          <wp:effectExtent l="0" t="0" r="0" b="0"/>
          <wp:wrapNone/>
          <wp:docPr id="146" name="Picture 146"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acart big logo for adver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0" cy="417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3653" w14:textId="77777777" w:rsidR="00490912" w:rsidRDefault="0049091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53FE" w14:textId="77777777" w:rsidR="00490912" w:rsidRDefault="00490912">
    <w:r>
      <w:rPr>
        <w:noProof/>
        <w:lang w:eastAsia="en-NZ"/>
      </w:rPr>
      <w:drawing>
        <wp:anchor distT="0" distB="0" distL="114300" distR="114300" simplePos="0" relativeHeight="251650048" behindDoc="0" locked="0" layoutInCell="1" allowOverlap="1" wp14:anchorId="03067E5F" wp14:editId="25F94EB4">
          <wp:simplePos x="0" y="0"/>
          <wp:positionH relativeFrom="column">
            <wp:posOffset>-849630</wp:posOffset>
          </wp:positionH>
          <wp:positionV relativeFrom="paragraph">
            <wp:posOffset>446405</wp:posOffset>
          </wp:positionV>
          <wp:extent cx="2148205" cy="1466215"/>
          <wp:effectExtent l="0" t="0" r="444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3471E" w14:textId="77777777" w:rsidR="00490912" w:rsidRDefault="004909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898F" w14:textId="77777777" w:rsidR="00490912" w:rsidRPr="003A7A1F" w:rsidRDefault="00490912">
    <w:r>
      <w:rPr>
        <w:noProof/>
        <w:lang w:eastAsia="en-NZ"/>
      </w:rPr>
      <w:drawing>
        <wp:anchor distT="0" distB="0" distL="114300" distR="114300" simplePos="0" relativeHeight="251681792" behindDoc="0" locked="0" layoutInCell="1" allowOverlap="1" wp14:anchorId="38F2D11E" wp14:editId="7612ABD9">
          <wp:simplePos x="0" y="0"/>
          <wp:positionH relativeFrom="column">
            <wp:posOffset>-820420</wp:posOffset>
          </wp:positionH>
          <wp:positionV relativeFrom="paragraph">
            <wp:posOffset>490855</wp:posOffset>
          </wp:positionV>
          <wp:extent cx="2148205" cy="1466215"/>
          <wp:effectExtent l="0" t="0" r="4445"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672D" w14:textId="77777777" w:rsidR="00490912" w:rsidRDefault="004909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81C0" w14:textId="77777777" w:rsidR="00490912" w:rsidRDefault="00490912">
    <w:r>
      <w:rPr>
        <w:noProof/>
        <w:lang w:eastAsia="en-NZ"/>
      </w:rPr>
      <w:drawing>
        <wp:anchor distT="0" distB="0" distL="114300" distR="114300" simplePos="0" relativeHeight="251809792" behindDoc="0" locked="0" layoutInCell="1" allowOverlap="1" wp14:anchorId="3FF15637" wp14:editId="4557A083">
          <wp:simplePos x="0" y="0"/>
          <wp:positionH relativeFrom="column">
            <wp:posOffset>-805873</wp:posOffset>
          </wp:positionH>
          <wp:positionV relativeFrom="paragraph">
            <wp:posOffset>483235</wp:posOffset>
          </wp:positionV>
          <wp:extent cx="2148205" cy="1466215"/>
          <wp:effectExtent l="0" t="0" r="4445" b="63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D1E8" w14:textId="77777777" w:rsidR="00490912" w:rsidRPr="003A7A1F" w:rsidRDefault="0049091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EC56" w14:textId="77777777" w:rsidR="00490912" w:rsidRDefault="00490912">
    <w:r>
      <w:rPr>
        <w:noProof/>
        <w:lang w:eastAsia="en-NZ"/>
      </w:rPr>
      <w:drawing>
        <wp:anchor distT="0" distB="0" distL="114300" distR="114300" simplePos="0" relativeHeight="251826176" behindDoc="0" locked="0" layoutInCell="1" allowOverlap="1" wp14:anchorId="71D99F8E" wp14:editId="4C888C14">
          <wp:simplePos x="0" y="0"/>
          <wp:positionH relativeFrom="column">
            <wp:posOffset>-805873</wp:posOffset>
          </wp:positionH>
          <wp:positionV relativeFrom="paragraph">
            <wp:posOffset>483235</wp:posOffset>
          </wp:positionV>
          <wp:extent cx="2148205" cy="1466215"/>
          <wp:effectExtent l="0" t="0" r="4445" b="63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A546" w14:textId="77777777" w:rsidR="00490912" w:rsidRPr="003A7A1F" w:rsidRDefault="0049091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D39E" w14:textId="77777777" w:rsidR="00490912" w:rsidRDefault="00490912">
    <w:r>
      <w:rPr>
        <w:noProof/>
        <w:lang w:eastAsia="en-NZ"/>
      </w:rPr>
      <w:drawing>
        <wp:anchor distT="0" distB="0" distL="114300" distR="114300" simplePos="0" relativeHeight="251747328" behindDoc="0" locked="0" layoutInCell="1" allowOverlap="1" wp14:anchorId="6E68E0BC" wp14:editId="2D72BE3F">
          <wp:simplePos x="0" y="0"/>
          <wp:positionH relativeFrom="column">
            <wp:posOffset>-805873</wp:posOffset>
          </wp:positionH>
          <wp:positionV relativeFrom="paragraph">
            <wp:posOffset>483235</wp:posOffset>
          </wp:positionV>
          <wp:extent cx="2148205" cy="1466215"/>
          <wp:effectExtent l="0" t="0" r="4445" b="63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D38EC3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647C779E"/>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DA2A8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937BBA"/>
    <w:multiLevelType w:val="hybridMultilevel"/>
    <w:tmpl w:val="010A2C64"/>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14B17975"/>
    <w:multiLevelType w:val="hybridMultilevel"/>
    <w:tmpl w:val="A852C02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 w15:restartNumberingAfterBreak="0">
    <w:nsid w:val="18204320"/>
    <w:multiLevelType w:val="hybridMultilevel"/>
    <w:tmpl w:val="8DAA260A"/>
    <w:lvl w:ilvl="0" w:tplc="95D0CA86">
      <w:start w:val="1"/>
      <w:numFmt w:val="upperLetter"/>
      <w:lvlText w:val="%1."/>
      <w:lvlJc w:val="left"/>
      <w:pPr>
        <w:ind w:left="360" w:hanging="360"/>
      </w:pPr>
      <w:rPr>
        <w:rFonts w:eastAsia="Calibri"/>
        <w:b w:val="0"/>
        <w:color w:val="0A6AB4"/>
        <w:sz w:val="32"/>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7" w15:restartNumberingAfterBreak="0">
    <w:nsid w:val="23DC7796"/>
    <w:multiLevelType w:val="multilevel"/>
    <w:tmpl w:val="B8D2E37E"/>
    <w:lvl w:ilvl="0">
      <w:start w:val="1"/>
      <w:numFmt w:val="decimal"/>
      <w:lvlText w:val="%1."/>
      <w:lvlJc w:val="left"/>
      <w:pPr>
        <w:ind w:left="567" w:hanging="567"/>
      </w:pPr>
    </w:lvl>
    <w:lvl w:ilvl="1">
      <w:start w:val="1"/>
      <w:numFmt w:val="lowerLetter"/>
      <w:lvlText w:val="(%2)"/>
      <w:lvlJc w:val="left"/>
      <w:pPr>
        <w:ind w:left="1275" w:hanging="567"/>
      </w:pPr>
    </w:lvl>
    <w:lvl w:ilvl="2">
      <w:start w:val="1"/>
      <w:numFmt w:val="lower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204FFB"/>
    <w:multiLevelType w:val="hybridMultilevel"/>
    <w:tmpl w:val="B528370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20777A1"/>
    <w:multiLevelType w:val="hybridMultilevel"/>
    <w:tmpl w:val="DEBC5D2A"/>
    <w:lvl w:ilvl="0" w:tplc="AB5C9218">
      <w:start w:val="1"/>
      <w:numFmt w:val="decimal"/>
      <w:lvlText w:val="%1."/>
      <w:lvlJc w:val="left"/>
      <w:pPr>
        <w:ind w:left="720" w:hanging="360"/>
      </w:pPr>
      <w:rPr>
        <w:rFonts w:ascii="Arial" w:hAnsi="Arial" w:cs="Aria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CA36DE6"/>
    <w:multiLevelType w:val="multilevel"/>
    <w:tmpl w:val="B74C7B42"/>
    <w:lvl w:ilvl="0">
      <w:start w:val="1"/>
      <w:numFmt w:val="decimal"/>
      <w:pStyle w:val="References"/>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CA71F78"/>
    <w:multiLevelType w:val="hybridMultilevel"/>
    <w:tmpl w:val="40E86EB8"/>
    <w:lvl w:ilvl="0" w:tplc="5486193A">
      <w:start w:val="1"/>
      <w:numFmt w:val="bullet"/>
      <w:pStyle w:val="Dash"/>
      <w:lvlText w:val="–"/>
      <w:lvlJc w:val="left"/>
      <w:pPr>
        <w:tabs>
          <w:tab w:val="num" w:pos="1134"/>
        </w:tabs>
        <w:ind w:left="1134"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C7F3C"/>
    <w:multiLevelType w:val="hybridMultilevel"/>
    <w:tmpl w:val="D226B538"/>
    <w:lvl w:ilvl="0" w:tplc="C3029744">
      <w:start w:val="1"/>
      <w:numFmt w:val="bullet"/>
      <w:pStyle w:val="BoxBullet"/>
      <w:lvlText w:val=""/>
      <w:lvlJc w:val="left"/>
      <w:pPr>
        <w:tabs>
          <w:tab w:val="num" w:pos="567"/>
        </w:tabs>
        <w:ind w:left="567"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1C4BFE"/>
    <w:multiLevelType w:val="hybridMultilevel"/>
    <w:tmpl w:val="3B3E0944"/>
    <w:lvl w:ilvl="0" w:tplc="14090019">
      <w:start w:val="1"/>
      <w:numFmt w:val="lowerLetter"/>
      <w:lvlText w:val="%1."/>
      <w:lvlJc w:val="left"/>
      <w:pPr>
        <w:ind w:left="1004" w:hanging="360"/>
      </w:pPr>
      <w:rPr>
        <w:rFonts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53036493"/>
    <w:multiLevelType w:val="hybridMultilevel"/>
    <w:tmpl w:val="D49608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38F4BB4"/>
    <w:multiLevelType w:val="hybridMultilevel"/>
    <w:tmpl w:val="F4E82C38"/>
    <w:lvl w:ilvl="0" w:tplc="A1A82DD4">
      <w:start w:val="1"/>
      <w:numFmt w:val="bullet"/>
      <w:pStyle w:val="TableDash"/>
      <w:lvlText w:val="–"/>
      <w:lvlJc w:val="left"/>
      <w:pPr>
        <w:ind w:left="1004" w:hanging="360"/>
      </w:pPr>
      <w:rPr>
        <w:rFonts w:ascii="Arial" w:hAnsi="Arial" w:hint="default"/>
        <w:b w:val="0"/>
        <w:i w:val="0"/>
        <w:color w:val="auto"/>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6" w15:restartNumberingAfterBreak="0">
    <w:nsid w:val="601B31CE"/>
    <w:multiLevelType w:val="hybridMultilevel"/>
    <w:tmpl w:val="C258504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35D2231"/>
    <w:multiLevelType w:val="hybridMultilevel"/>
    <w:tmpl w:val="EDB4B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6F45A60"/>
    <w:multiLevelType w:val="multilevel"/>
    <w:tmpl w:val="AACE4434"/>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pStyle w:val="Number"/>
      <w:lvlText w:val="%4."/>
      <w:lvlJc w:val="left"/>
      <w:pPr>
        <w:ind w:left="567" w:hanging="567"/>
      </w:pPr>
      <w:rPr>
        <w:rFonts w:ascii="Arial" w:hAnsi="Arial" w:hint="default"/>
        <w:b w:val="0"/>
        <w:i w:val="0"/>
        <w:sz w:val="22"/>
        <w:szCs w:val="24"/>
      </w:rPr>
    </w:lvl>
    <w:lvl w:ilvl="4">
      <w:start w:val="1"/>
      <w:numFmt w:val="lowerLetter"/>
      <w:pStyle w:val="Letter"/>
      <w:lvlText w:val="%5)"/>
      <w:lvlJc w:val="left"/>
      <w:pPr>
        <w:ind w:left="1134" w:hanging="567"/>
      </w:pPr>
      <w:rPr>
        <w:rFonts w:ascii="Arial" w:hAnsi="Arial" w:hint="default"/>
        <w:b w:val="0"/>
        <w:i w:val="0"/>
        <w:sz w:val="22"/>
        <w:szCs w:val="22"/>
      </w:rPr>
    </w:lvl>
    <w:lvl w:ilvl="5">
      <w:start w:val="1"/>
      <w:numFmt w:val="decimal"/>
      <w:lvlRestart w:val="0"/>
      <w:pStyle w:val="TableLetter"/>
      <w:lvlText w:val="%6."/>
      <w:lvlJc w:val="left"/>
      <w:pPr>
        <w:ind w:left="425" w:hanging="425"/>
      </w:pPr>
      <w:rPr>
        <w:rFonts w:hint="default"/>
      </w:rPr>
    </w:lvl>
    <w:lvl w:ilvl="6">
      <w:start w:val="1"/>
      <w:numFmt w:val="lowerLetter"/>
      <w:pStyle w:val="Table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19" w15:restartNumberingAfterBreak="0">
    <w:nsid w:val="6810018A"/>
    <w:multiLevelType w:val="hybridMultilevel"/>
    <w:tmpl w:val="7124E7D0"/>
    <w:lvl w:ilvl="0" w:tplc="14090015">
      <w:start w:val="7"/>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82B01D2"/>
    <w:multiLevelType w:val="hybridMultilevel"/>
    <w:tmpl w:val="F5C08006"/>
    <w:lvl w:ilvl="0" w:tplc="1409000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1" w15:restartNumberingAfterBreak="0">
    <w:nsid w:val="722A7AC0"/>
    <w:multiLevelType w:val="multilevel"/>
    <w:tmpl w:val="37760CBA"/>
    <w:lvl w:ilvl="0">
      <w:start w:val="1"/>
      <w:numFmt w:val="decimal"/>
      <w:lvlText w:val="%1"/>
      <w:lvlJc w:val="left"/>
      <w:pPr>
        <w:tabs>
          <w:tab w:val="num" w:pos="851"/>
        </w:tabs>
        <w:ind w:left="851" w:hanging="851"/>
      </w:pPr>
      <w:rPr>
        <w:rFonts w:hint="default"/>
        <w:b/>
        <w:i w:val="0"/>
        <w:sz w:val="48"/>
        <w:szCs w:val="52"/>
      </w:rPr>
    </w:lvl>
    <w:lvl w:ilvl="1">
      <w:start w:val="1"/>
      <w:numFmt w:val="decimal"/>
      <w:lvlText w:val="%1.%2"/>
      <w:lvlJc w:val="left"/>
      <w:pPr>
        <w:ind w:left="851" w:hanging="851"/>
      </w:pPr>
      <w:rPr>
        <w:rFonts w:hint="default"/>
        <w:b w:val="0"/>
        <w:i w:val="0"/>
        <w:sz w:val="32"/>
        <w:szCs w:val="32"/>
      </w:rPr>
    </w:lvl>
    <w:lvl w:ilvl="2">
      <w:start w:val="1"/>
      <w:numFmt w:val="decimal"/>
      <w:lvlText w:val="%1.%2.%3"/>
      <w:lvlJc w:val="left"/>
      <w:pPr>
        <w:ind w:left="851" w:hanging="851"/>
      </w:pPr>
      <w:rPr>
        <w:rFonts w:hint="default"/>
        <w:b w:val="0"/>
        <w:i w:val="0"/>
        <w:sz w:val="26"/>
        <w:szCs w:val="26"/>
      </w:rPr>
    </w:lvl>
    <w:lvl w:ilvl="3">
      <w:start w:val="1"/>
      <w:numFmt w:val="decimal"/>
      <w:lvlRestart w:val="0"/>
      <w:lvlText w:val="%4."/>
      <w:lvlJc w:val="left"/>
      <w:pPr>
        <w:ind w:left="567" w:hanging="567"/>
      </w:pPr>
      <w:rPr>
        <w:rFonts w:ascii="Arial" w:hAnsi="Arial" w:hint="default"/>
        <w:b w:val="0"/>
        <w:i w:val="0"/>
        <w:sz w:val="22"/>
        <w:szCs w:val="24"/>
      </w:rPr>
    </w:lvl>
    <w:lvl w:ilvl="4">
      <w:start w:val="1"/>
      <w:numFmt w:val="lowerLetter"/>
      <w:lvlText w:val="%5)"/>
      <w:lvlJc w:val="left"/>
      <w:pPr>
        <w:ind w:left="1134" w:hanging="567"/>
      </w:pPr>
      <w:rPr>
        <w:rFonts w:ascii="Arial" w:hAnsi="Arial" w:hint="default"/>
        <w:b w:val="0"/>
        <w:i w:val="0"/>
        <w:sz w:val="22"/>
        <w:szCs w:val="22"/>
      </w:rPr>
    </w:lvl>
    <w:lvl w:ilvl="5">
      <w:start w:val="1"/>
      <w:numFmt w:val="decimal"/>
      <w:lvlRestart w:val="0"/>
      <w:lvlText w:val="%6."/>
      <w:lvlJc w:val="left"/>
      <w:pPr>
        <w:ind w:left="425" w:hanging="425"/>
      </w:pPr>
      <w:rPr>
        <w:rFonts w:hint="default"/>
      </w:rPr>
    </w:lvl>
    <w:lvl w:ilvl="6">
      <w:start w:val="1"/>
      <w:numFmt w:val="lowerLetter"/>
      <w:lvlText w:val="%7."/>
      <w:lvlJc w:val="left"/>
      <w:pPr>
        <w:ind w:left="851" w:hanging="426"/>
      </w:pPr>
      <w:rPr>
        <w:rFonts w:hint="default"/>
      </w:rPr>
    </w:lvl>
    <w:lvl w:ilvl="7">
      <w:start w:val="1"/>
      <w:numFmt w:val="decimal"/>
      <w:lvlText w:val="%1.%2.%3.%4.%5.%6.%7.%8."/>
      <w:lvlJc w:val="left"/>
      <w:pPr>
        <w:tabs>
          <w:tab w:val="num" w:pos="339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22" w15:restartNumberingAfterBreak="0">
    <w:nsid w:val="777F0941"/>
    <w:multiLevelType w:val="hybridMultilevel"/>
    <w:tmpl w:val="9EFCCD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3" w15:restartNumberingAfterBreak="0">
    <w:nsid w:val="7A8D362B"/>
    <w:multiLevelType w:val="hybridMultilevel"/>
    <w:tmpl w:val="B4A6DA94"/>
    <w:lvl w:ilvl="0" w:tplc="DDE064E4">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C1218D3"/>
    <w:multiLevelType w:val="singleLevel"/>
    <w:tmpl w:val="4D46EE3A"/>
    <w:lvl w:ilvl="0">
      <w:start w:val="1"/>
      <w:numFmt w:val="bullet"/>
      <w:pStyle w:val="Bullet"/>
      <w:lvlText w:val=""/>
      <w:lvlJc w:val="left"/>
      <w:pPr>
        <w:tabs>
          <w:tab w:val="num" w:pos="851"/>
        </w:tabs>
        <w:ind w:left="851" w:hanging="284"/>
      </w:pPr>
      <w:rPr>
        <w:rFonts w:ascii="Symbol" w:hAnsi="Symbol" w:hint="default"/>
        <w:sz w:val="18"/>
      </w:rPr>
    </w:lvl>
  </w:abstractNum>
  <w:num w:numId="1">
    <w:abstractNumId w:val="24"/>
  </w:num>
  <w:num w:numId="2">
    <w:abstractNumId w:val="11"/>
  </w:num>
  <w:num w:numId="3">
    <w:abstractNumId w:val="4"/>
  </w:num>
  <w:num w:numId="4">
    <w:abstractNumId w:val="12"/>
  </w:num>
  <w:num w:numId="5">
    <w:abstractNumId w:val="10"/>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8"/>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2"/>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3"/>
  </w:num>
  <w:num w:numId="24">
    <w:abstractNumId w:val="2"/>
  </w:num>
  <w:num w:numId="25">
    <w:abstractNumId w:val="1"/>
  </w:num>
  <w:num w:numId="26">
    <w:abstractNumId w:val="9"/>
  </w:num>
  <w:num w:numId="27">
    <w:abstractNumId w:val="0"/>
  </w:num>
  <w:num w:numId="28">
    <w:abstractNumId w:val="20"/>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9"/>
  </w:num>
  <w:num w:numId="35">
    <w:abstractNumId w:val="1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1173"/>
    <w:rsid w:val="000040F9"/>
    <w:rsid w:val="0000594E"/>
    <w:rsid w:val="000101B3"/>
    <w:rsid w:val="00010D91"/>
    <w:rsid w:val="00011851"/>
    <w:rsid w:val="00012B13"/>
    <w:rsid w:val="00017245"/>
    <w:rsid w:val="00023255"/>
    <w:rsid w:val="00025B72"/>
    <w:rsid w:val="00031042"/>
    <w:rsid w:val="00031920"/>
    <w:rsid w:val="00032CC4"/>
    <w:rsid w:val="0003390C"/>
    <w:rsid w:val="000346B0"/>
    <w:rsid w:val="00034B60"/>
    <w:rsid w:val="0003739D"/>
    <w:rsid w:val="00040714"/>
    <w:rsid w:val="000407A2"/>
    <w:rsid w:val="0004207E"/>
    <w:rsid w:val="000453F9"/>
    <w:rsid w:val="00045FA5"/>
    <w:rsid w:val="00047B4C"/>
    <w:rsid w:val="00047BE8"/>
    <w:rsid w:val="0005083B"/>
    <w:rsid w:val="00050E9D"/>
    <w:rsid w:val="00055553"/>
    <w:rsid w:val="00055AB6"/>
    <w:rsid w:val="0005671C"/>
    <w:rsid w:val="00056838"/>
    <w:rsid w:val="00056B2F"/>
    <w:rsid w:val="00057E12"/>
    <w:rsid w:val="0006009D"/>
    <w:rsid w:val="000602E4"/>
    <w:rsid w:val="00060BB1"/>
    <w:rsid w:val="000628F8"/>
    <w:rsid w:val="00062F25"/>
    <w:rsid w:val="00065329"/>
    <w:rsid w:val="00065ECE"/>
    <w:rsid w:val="000722F1"/>
    <w:rsid w:val="00072302"/>
    <w:rsid w:val="00074C3A"/>
    <w:rsid w:val="000758CA"/>
    <w:rsid w:val="00075B78"/>
    <w:rsid w:val="00077CC2"/>
    <w:rsid w:val="00080987"/>
    <w:rsid w:val="00080C81"/>
    <w:rsid w:val="0008144A"/>
    <w:rsid w:val="00081971"/>
    <w:rsid w:val="000819CE"/>
    <w:rsid w:val="00082B89"/>
    <w:rsid w:val="00083C84"/>
    <w:rsid w:val="000840AB"/>
    <w:rsid w:val="000844F5"/>
    <w:rsid w:val="00092FAC"/>
    <w:rsid w:val="00093A1E"/>
    <w:rsid w:val="00096F82"/>
    <w:rsid w:val="000971EC"/>
    <w:rsid w:val="000A23E4"/>
    <w:rsid w:val="000A3F18"/>
    <w:rsid w:val="000A3F7E"/>
    <w:rsid w:val="000A4F92"/>
    <w:rsid w:val="000B3D09"/>
    <w:rsid w:val="000B4EBA"/>
    <w:rsid w:val="000B58FC"/>
    <w:rsid w:val="000B7ECC"/>
    <w:rsid w:val="000C082B"/>
    <w:rsid w:val="000C25E4"/>
    <w:rsid w:val="000C2851"/>
    <w:rsid w:val="000C2882"/>
    <w:rsid w:val="000C3BCE"/>
    <w:rsid w:val="000C3CF0"/>
    <w:rsid w:val="000C3F81"/>
    <w:rsid w:val="000C60CC"/>
    <w:rsid w:val="000C6246"/>
    <w:rsid w:val="000C6299"/>
    <w:rsid w:val="000C7E48"/>
    <w:rsid w:val="000D16AF"/>
    <w:rsid w:val="000D3172"/>
    <w:rsid w:val="000D6D52"/>
    <w:rsid w:val="000D77F8"/>
    <w:rsid w:val="000E47E9"/>
    <w:rsid w:val="000E4B7E"/>
    <w:rsid w:val="000E5491"/>
    <w:rsid w:val="000E692E"/>
    <w:rsid w:val="000E6B72"/>
    <w:rsid w:val="000F0FD7"/>
    <w:rsid w:val="000F14F0"/>
    <w:rsid w:val="000F17CD"/>
    <w:rsid w:val="000F3152"/>
    <w:rsid w:val="000F32F3"/>
    <w:rsid w:val="000F4EB6"/>
    <w:rsid w:val="000F504A"/>
    <w:rsid w:val="000F7B2A"/>
    <w:rsid w:val="001009AC"/>
    <w:rsid w:val="00102063"/>
    <w:rsid w:val="0010541C"/>
    <w:rsid w:val="00105E83"/>
    <w:rsid w:val="0010602B"/>
    <w:rsid w:val="00111DFD"/>
    <w:rsid w:val="00113B8E"/>
    <w:rsid w:val="00113BC7"/>
    <w:rsid w:val="00117B16"/>
    <w:rsid w:val="001227C4"/>
    <w:rsid w:val="0012505A"/>
    <w:rsid w:val="00126308"/>
    <w:rsid w:val="001305F0"/>
    <w:rsid w:val="00130BF3"/>
    <w:rsid w:val="00133156"/>
    <w:rsid w:val="001365E1"/>
    <w:rsid w:val="001404F3"/>
    <w:rsid w:val="0014267C"/>
    <w:rsid w:val="00143834"/>
    <w:rsid w:val="0014426F"/>
    <w:rsid w:val="00145DB9"/>
    <w:rsid w:val="00147F71"/>
    <w:rsid w:val="00151357"/>
    <w:rsid w:val="001534F9"/>
    <w:rsid w:val="00154C8E"/>
    <w:rsid w:val="00155578"/>
    <w:rsid w:val="00155B2C"/>
    <w:rsid w:val="001572D2"/>
    <w:rsid w:val="00160613"/>
    <w:rsid w:val="001635AE"/>
    <w:rsid w:val="00164FD0"/>
    <w:rsid w:val="00172E64"/>
    <w:rsid w:val="0017408E"/>
    <w:rsid w:val="001740EC"/>
    <w:rsid w:val="00174B39"/>
    <w:rsid w:val="00175A83"/>
    <w:rsid w:val="00180061"/>
    <w:rsid w:val="001808BF"/>
    <w:rsid w:val="00180C59"/>
    <w:rsid w:val="00181299"/>
    <w:rsid w:val="00182093"/>
    <w:rsid w:val="001823EB"/>
    <w:rsid w:val="0018588F"/>
    <w:rsid w:val="001870EA"/>
    <w:rsid w:val="00187F59"/>
    <w:rsid w:val="0019134F"/>
    <w:rsid w:val="00191CB7"/>
    <w:rsid w:val="001943C6"/>
    <w:rsid w:val="001965FB"/>
    <w:rsid w:val="00196C4E"/>
    <w:rsid w:val="00197B7B"/>
    <w:rsid w:val="00197CE0"/>
    <w:rsid w:val="001A1F2E"/>
    <w:rsid w:val="001A1FEF"/>
    <w:rsid w:val="001A2817"/>
    <w:rsid w:val="001A3632"/>
    <w:rsid w:val="001A458F"/>
    <w:rsid w:val="001A55F0"/>
    <w:rsid w:val="001A69FE"/>
    <w:rsid w:val="001A6A57"/>
    <w:rsid w:val="001B19B3"/>
    <w:rsid w:val="001B1C78"/>
    <w:rsid w:val="001B2086"/>
    <w:rsid w:val="001B2B5A"/>
    <w:rsid w:val="001B3AA5"/>
    <w:rsid w:val="001B3CBA"/>
    <w:rsid w:val="001B4D6F"/>
    <w:rsid w:val="001B5CE2"/>
    <w:rsid w:val="001B5EAD"/>
    <w:rsid w:val="001B7E95"/>
    <w:rsid w:val="001C07E3"/>
    <w:rsid w:val="001C39E6"/>
    <w:rsid w:val="001D0E1C"/>
    <w:rsid w:val="001D0E28"/>
    <w:rsid w:val="001D0EAE"/>
    <w:rsid w:val="001D6C04"/>
    <w:rsid w:val="001D6D23"/>
    <w:rsid w:val="001E1598"/>
    <w:rsid w:val="001E2A59"/>
    <w:rsid w:val="001E2CA3"/>
    <w:rsid w:val="001E42F7"/>
    <w:rsid w:val="001E4A64"/>
    <w:rsid w:val="001E5389"/>
    <w:rsid w:val="001E5A8D"/>
    <w:rsid w:val="001F4994"/>
    <w:rsid w:val="001F525F"/>
    <w:rsid w:val="0020007A"/>
    <w:rsid w:val="002002C9"/>
    <w:rsid w:val="002012EA"/>
    <w:rsid w:val="00201AC4"/>
    <w:rsid w:val="00206894"/>
    <w:rsid w:val="00206B6E"/>
    <w:rsid w:val="002105B7"/>
    <w:rsid w:val="00214201"/>
    <w:rsid w:val="00216457"/>
    <w:rsid w:val="00216CA0"/>
    <w:rsid w:val="00217625"/>
    <w:rsid w:val="00217786"/>
    <w:rsid w:val="00217BBA"/>
    <w:rsid w:val="00221234"/>
    <w:rsid w:val="00221250"/>
    <w:rsid w:val="00221A27"/>
    <w:rsid w:val="002220BF"/>
    <w:rsid w:val="00222A5E"/>
    <w:rsid w:val="00223CEC"/>
    <w:rsid w:val="002240CF"/>
    <w:rsid w:val="00224AFE"/>
    <w:rsid w:val="00225943"/>
    <w:rsid w:val="002261D2"/>
    <w:rsid w:val="00226410"/>
    <w:rsid w:val="00227244"/>
    <w:rsid w:val="002273FE"/>
    <w:rsid w:val="002277D9"/>
    <w:rsid w:val="0023012B"/>
    <w:rsid w:val="002305F5"/>
    <w:rsid w:val="00231FE6"/>
    <w:rsid w:val="00232244"/>
    <w:rsid w:val="00232746"/>
    <w:rsid w:val="002327C4"/>
    <w:rsid w:val="00233E76"/>
    <w:rsid w:val="002348C6"/>
    <w:rsid w:val="00234D92"/>
    <w:rsid w:val="00237E7A"/>
    <w:rsid w:val="00240423"/>
    <w:rsid w:val="002410B3"/>
    <w:rsid w:val="002425C2"/>
    <w:rsid w:val="00243D41"/>
    <w:rsid w:val="00244374"/>
    <w:rsid w:val="00245E07"/>
    <w:rsid w:val="002520DB"/>
    <w:rsid w:val="002528C0"/>
    <w:rsid w:val="0025362A"/>
    <w:rsid w:val="002536C9"/>
    <w:rsid w:val="00254B5C"/>
    <w:rsid w:val="00254F97"/>
    <w:rsid w:val="00255D38"/>
    <w:rsid w:val="002567C0"/>
    <w:rsid w:val="00257FF5"/>
    <w:rsid w:val="002616DF"/>
    <w:rsid w:val="0026318C"/>
    <w:rsid w:val="002633AB"/>
    <w:rsid w:val="00263A7F"/>
    <w:rsid w:val="0026423A"/>
    <w:rsid w:val="002646BE"/>
    <w:rsid w:val="0026492E"/>
    <w:rsid w:val="00265B97"/>
    <w:rsid w:val="00267578"/>
    <w:rsid w:val="00274100"/>
    <w:rsid w:val="002764CE"/>
    <w:rsid w:val="00276DF3"/>
    <w:rsid w:val="00277932"/>
    <w:rsid w:val="002806F9"/>
    <w:rsid w:val="00281220"/>
    <w:rsid w:val="00281744"/>
    <w:rsid w:val="002826DD"/>
    <w:rsid w:val="00282A22"/>
    <w:rsid w:val="00287E68"/>
    <w:rsid w:val="00293827"/>
    <w:rsid w:val="002938F3"/>
    <w:rsid w:val="00293F5E"/>
    <w:rsid w:val="00294185"/>
    <w:rsid w:val="00294862"/>
    <w:rsid w:val="00295407"/>
    <w:rsid w:val="00295848"/>
    <w:rsid w:val="002965A2"/>
    <w:rsid w:val="00297A0A"/>
    <w:rsid w:val="002A0290"/>
    <w:rsid w:val="002A3909"/>
    <w:rsid w:val="002A43BF"/>
    <w:rsid w:val="002A4D7A"/>
    <w:rsid w:val="002A5592"/>
    <w:rsid w:val="002B0FFB"/>
    <w:rsid w:val="002B2978"/>
    <w:rsid w:val="002B3078"/>
    <w:rsid w:val="002B5637"/>
    <w:rsid w:val="002C0CED"/>
    <w:rsid w:val="002C2C93"/>
    <w:rsid w:val="002C2DD3"/>
    <w:rsid w:val="002C3107"/>
    <w:rsid w:val="002C351E"/>
    <w:rsid w:val="002C3964"/>
    <w:rsid w:val="002C4256"/>
    <w:rsid w:val="002C4B4F"/>
    <w:rsid w:val="002C5153"/>
    <w:rsid w:val="002C53DC"/>
    <w:rsid w:val="002D18EE"/>
    <w:rsid w:val="002D20EC"/>
    <w:rsid w:val="002D2692"/>
    <w:rsid w:val="002D2C0B"/>
    <w:rsid w:val="002D2DA0"/>
    <w:rsid w:val="002D50B5"/>
    <w:rsid w:val="002D5F68"/>
    <w:rsid w:val="002D661E"/>
    <w:rsid w:val="002D7C75"/>
    <w:rsid w:val="002E192B"/>
    <w:rsid w:val="002E2723"/>
    <w:rsid w:val="002E3C31"/>
    <w:rsid w:val="002E4A55"/>
    <w:rsid w:val="002E4C11"/>
    <w:rsid w:val="002E53E0"/>
    <w:rsid w:val="002E7298"/>
    <w:rsid w:val="002E7817"/>
    <w:rsid w:val="002E7A2B"/>
    <w:rsid w:val="002F1793"/>
    <w:rsid w:val="002F1D11"/>
    <w:rsid w:val="002F3B29"/>
    <w:rsid w:val="002F3E83"/>
    <w:rsid w:val="002F6CDE"/>
    <w:rsid w:val="002F7D23"/>
    <w:rsid w:val="00301088"/>
    <w:rsid w:val="00301293"/>
    <w:rsid w:val="00304C1A"/>
    <w:rsid w:val="0030530B"/>
    <w:rsid w:val="0030567E"/>
    <w:rsid w:val="003064D5"/>
    <w:rsid w:val="003071A7"/>
    <w:rsid w:val="0031000E"/>
    <w:rsid w:val="003105A7"/>
    <w:rsid w:val="0031168F"/>
    <w:rsid w:val="0031228A"/>
    <w:rsid w:val="00312802"/>
    <w:rsid w:val="003131EA"/>
    <w:rsid w:val="00315E7C"/>
    <w:rsid w:val="00316708"/>
    <w:rsid w:val="003167E6"/>
    <w:rsid w:val="0032125F"/>
    <w:rsid w:val="00322C73"/>
    <w:rsid w:val="00323C38"/>
    <w:rsid w:val="003245ED"/>
    <w:rsid w:val="00326E38"/>
    <w:rsid w:val="00330324"/>
    <w:rsid w:val="0033055A"/>
    <w:rsid w:val="00331920"/>
    <w:rsid w:val="0033360A"/>
    <w:rsid w:val="00335532"/>
    <w:rsid w:val="00340BD3"/>
    <w:rsid w:val="00341393"/>
    <w:rsid w:val="00344836"/>
    <w:rsid w:val="00344C30"/>
    <w:rsid w:val="00346DCC"/>
    <w:rsid w:val="00347884"/>
    <w:rsid w:val="003500EC"/>
    <w:rsid w:val="00354104"/>
    <w:rsid w:val="00354772"/>
    <w:rsid w:val="00355D32"/>
    <w:rsid w:val="00356B10"/>
    <w:rsid w:val="00360A11"/>
    <w:rsid w:val="00361DAB"/>
    <w:rsid w:val="00362A31"/>
    <w:rsid w:val="0036595B"/>
    <w:rsid w:val="003734FE"/>
    <w:rsid w:val="00373BA3"/>
    <w:rsid w:val="00373C3E"/>
    <w:rsid w:val="00374C17"/>
    <w:rsid w:val="003757D5"/>
    <w:rsid w:val="00375B84"/>
    <w:rsid w:val="00376711"/>
    <w:rsid w:val="00376A68"/>
    <w:rsid w:val="003772FC"/>
    <w:rsid w:val="00380488"/>
    <w:rsid w:val="0038186F"/>
    <w:rsid w:val="00385E47"/>
    <w:rsid w:val="003861C6"/>
    <w:rsid w:val="00386E8E"/>
    <w:rsid w:val="00387394"/>
    <w:rsid w:val="00391808"/>
    <w:rsid w:val="003919E2"/>
    <w:rsid w:val="003954EA"/>
    <w:rsid w:val="0039567B"/>
    <w:rsid w:val="00395E44"/>
    <w:rsid w:val="00397508"/>
    <w:rsid w:val="003A05B6"/>
    <w:rsid w:val="003A3152"/>
    <w:rsid w:val="003A4267"/>
    <w:rsid w:val="003A534C"/>
    <w:rsid w:val="003A5FEA"/>
    <w:rsid w:val="003A67F6"/>
    <w:rsid w:val="003A6C30"/>
    <w:rsid w:val="003A7A1F"/>
    <w:rsid w:val="003B0392"/>
    <w:rsid w:val="003B03D5"/>
    <w:rsid w:val="003B0A1E"/>
    <w:rsid w:val="003B0C7C"/>
    <w:rsid w:val="003B4F35"/>
    <w:rsid w:val="003C321F"/>
    <w:rsid w:val="003C3BB9"/>
    <w:rsid w:val="003C55A4"/>
    <w:rsid w:val="003C6D2F"/>
    <w:rsid w:val="003C6DB3"/>
    <w:rsid w:val="003C6FE7"/>
    <w:rsid w:val="003D0BC1"/>
    <w:rsid w:val="003D2981"/>
    <w:rsid w:val="003D3DA0"/>
    <w:rsid w:val="003D59CF"/>
    <w:rsid w:val="003D59D4"/>
    <w:rsid w:val="003E1478"/>
    <w:rsid w:val="003E1553"/>
    <w:rsid w:val="003E17EB"/>
    <w:rsid w:val="003E2B3F"/>
    <w:rsid w:val="003E4074"/>
    <w:rsid w:val="003E538D"/>
    <w:rsid w:val="003E68A1"/>
    <w:rsid w:val="003F1542"/>
    <w:rsid w:val="003F27BC"/>
    <w:rsid w:val="003F29A9"/>
    <w:rsid w:val="003F3F16"/>
    <w:rsid w:val="003F4E26"/>
    <w:rsid w:val="00400A52"/>
    <w:rsid w:val="00400E4D"/>
    <w:rsid w:val="00400E7E"/>
    <w:rsid w:val="00400EA3"/>
    <w:rsid w:val="0040122D"/>
    <w:rsid w:val="00401AAA"/>
    <w:rsid w:val="004030BE"/>
    <w:rsid w:val="00415CA1"/>
    <w:rsid w:val="00417481"/>
    <w:rsid w:val="00420164"/>
    <w:rsid w:val="004201C9"/>
    <w:rsid w:val="0042143B"/>
    <w:rsid w:val="0042156C"/>
    <w:rsid w:val="00424289"/>
    <w:rsid w:val="00424C9F"/>
    <w:rsid w:val="004250B5"/>
    <w:rsid w:val="00425FAB"/>
    <w:rsid w:val="00427C0F"/>
    <w:rsid w:val="00432622"/>
    <w:rsid w:val="00432ECB"/>
    <w:rsid w:val="00433A87"/>
    <w:rsid w:val="004347EF"/>
    <w:rsid w:val="00435A6E"/>
    <w:rsid w:val="0043769E"/>
    <w:rsid w:val="00437A2F"/>
    <w:rsid w:val="00437A90"/>
    <w:rsid w:val="00437DF3"/>
    <w:rsid w:val="00440DC2"/>
    <w:rsid w:val="00441431"/>
    <w:rsid w:val="004427B2"/>
    <w:rsid w:val="004430A9"/>
    <w:rsid w:val="004432F3"/>
    <w:rsid w:val="00444B0F"/>
    <w:rsid w:val="0044646C"/>
    <w:rsid w:val="00447961"/>
    <w:rsid w:val="00451076"/>
    <w:rsid w:val="00451597"/>
    <w:rsid w:val="00451D4F"/>
    <w:rsid w:val="004531A4"/>
    <w:rsid w:val="0045422A"/>
    <w:rsid w:val="004545E6"/>
    <w:rsid w:val="00460536"/>
    <w:rsid w:val="00460C0B"/>
    <w:rsid w:val="0046157B"/>
    <w:rsid w:val="00461C31"/>
    <w:rsid w:val="00462244"/>
    <w:rsid w:val="00462EA3"/>
    <w:rsid w:val="00464D34"/>
    <w:rsid w:val="00465A2F"/>
    <w:rsid w:val="00466488"/>
    <w:rsid w:val="0046701B"/>
    <w:rsid w:val="0046721E"/>
    <w:rsid w:val="00470ED2"/>
    <w:rsid w:val="00472A20"/>
    <w:rsid w:val="00481955"/>
    <w:rsid w:val="00482865"/>
    <w:rsid w:val="00485B1E"/>
    <w:rsid w:val="00487A54"/>
    <w:rsid w:val="00487E0F"/>
    <w:rsid w:val="00490912"/>
    <w:rsid w:val="00492664"/>
    <w:rsid w:val="0049339C"/>
    <w:rsid w:val="004A0CDC"/>
    <w:rsid w:val="004A4346"/>
    <w:rsid w:val="004A4DB5"/>
    <w:rsid w:val="004A6559"/>
    <w:rsid w:val="004A744F"/>
    <w:rsid w:val="004B3905"/>
    <w:rsid w:val="004B547A"/>
    <w:rsid w:val="004B5C83"/>
    <w:rsid w:val="004B6F05"/>
    <w:rsid w:val="004B77F8"/>
    <w:rsid w:val="004B7BC9"/>
    <w:rsid w:val="004B7F5D"/>
    <w:rsid w:val="004C2620"/>
    <w:rsid w:val="004C2CF4"/>
    <w:rsid w:val="004C489E"/>
    <w:rsid w:val="004C5EC9"/>
    <w:rsid w:val="004C65A0"/>
    <w:rsid w:val="004D6255"/>
    <w:rsid w:val="004D655D"/>
    <w:rsid w:val="004E12E1"/>
    <w:rsid w:val="004E1356"/>
    <w:rsid w:val="004E1B4E"/>
    <w:rsid w:val="004E3B58"/>
    <w:rsid w:val="004E7AC8"/>
    <w:rsid w:val="004F113E"/>
    <w:rsid w:val="004F1741"/>
    <w:rsid w:val="004F6013"/>
    <w:rsid w:val="00501820"/>
    <w:rsid w:val="00501DAD"/>
    <w:rsid w:val="0050204D"/>
    <w:rsid w:val="005022D2"/>
    <w:rsid w:val="00504B7C"/>
    <w:rsid w:val="0050635B"/>
    <w:rsid w:val="00507904"/>
    <w:rsid w:val="0051117B"/>
    <w:rsid w:val="005149CD"/>
    <w:rsid w:val="005150CA"/>
    <w:rsid w:val="005204B1"/>
    <w:rsid w:val="00520756"/>
    <w:rsid w:val="00520C79"/>
    <w:rsid w:val="00521CF5"/>
    <w:rsid w:val="0052308F"/>
    <w:rsid w:val="005234B3"/>
    <w:rsid w:val="0052370B"/>
    <w:rsid w:val="00527190"/>
    <w:rsid w:val="00531F49"/>
    <w:rsid w:val="00533AE3"/>
    <w:rsid w:val="005356F8"/>
    <w:rsid w:val="0053577C"/>
    <w:rsid w:val="00540048"/>
    <w:rsid w:val="005421A6"/>
    <w:rsid w:val="005432CB"/>
    <w:rsid w:val="005432E9"/>
    <w:rsid w:val="00543813"/>
    <w:rsid w:val="00543A52"/>
    <w:rsid w:val="005504AD"/>
    <w:rsid w:val="005517F5"/>
    <w:rsid w:val="00553FE0"/>
    <w:rsid w:val="0055423F"/>
    <w:rsid w:val="005548AF"/>
    <w:rsid w:val="005552E1"/>
    <w:rsid w:val="00556947"/>
    <w:rsid w:val="00561D37"/>
    <w:rsid w:val="0056609F"/>
    <w:rsid w:val="00571BD3"/>
    <w:rsid w:val="00572B6C"/>
    <w:rsid w:val="00577808"/>
    <w:rsid w:val="00577BC4"/>
    <w:rsid w:val="005823EB"/>
    <w:rsid w:val="00585D4F"/>
    <w:rsid w:val="00586B2E"/>
    <w:rsid w:val="00586E5C"/>
    <w:rsid w:val="00590862"/>
    <w:rsid w:val="005908B5"/>
    <w:rsid w:val="005910F3"/>
    <w:rsid w:val="00592151"/>
    <w:rsid w:val="0059304E"/>
    <w:rsid w:val="00595C90"/>
    <w:rsid w:val="00595FE7"/>
    <w:rsid w:val="005961D0"/>
    <w:rsid w:val="00597821"/>
    <w:rsid w:val="00597D9E"/>
    <w:rsid w:val="005A39C2"/>
    <w:rsid w:val="005A4E01"/>
    <w:rsid w:val="005A5EF2"/>
    <w:rsid w:val="005A5F18"/>
    <w:rsid w:val="005A6244"/>
    <w:rsid w:val="005B040D"/>
    <w:rsid w:val="005B44B3"/>
    <w:rsid w:val="005C4EE6"/>
    <w:rsid w:val="005C51D6"/>
    <w:rsid w:val="005C59C1"/>
    <w:rsid w:val="005C61B9"/>
    <w:rsid w:val="005C6BC4"/>
    <w:rsid w:val="005C762F"/>
    <w:rsid w:val="005D271C"/>
    <w:rsid w:val="005D51E3"/>
    <w:rsid w:val="005D78E4"/>
    <w:rsid w:val="005D79FF"/>
    <w:rsid w:val="005E3B54"/>
    <w:rsid w:val="005E47B7"/>
    <w:rsid w:val="005F382B"/>
    <w:rsid w:val="005F47FD"/>
    <w:rsid w:val="006028B6"/>
    <w:rsid w:val="00606768"/>
    <w:rsid w:val="00610BAA"/>
    <w:rsid w:val="00613F26"/>
    <w:rsid w:val="006178E7"/>
    <w:rsid w:val="00617F1D"/>
    <w:rsid w:val="0062080D"/>
    <w:rsid w:val="00620B61"/>
    <w:rsid w:val="006211D9"/>
    <w:rsid w:val="00623B85"/>
    <w:rsid w:val="00625E48"/>
    <w:rsid w:val="006309F1"/>
    <w:rsid w:val="00633034"/>
    <w:rsid w:val="00633DBC"/>
    <w:rsid w:val="006350D3"/>
    <w:rsid w:val="00635445"/>
    <w:rsid w:val="00640042"/>
    <w:rsid w:val="0064071C"/>
    <w:rsid w:val="006407D5"/>
    <w:rsid w:val="00643683"/>
    <w:rsid w:val="00643A6C"/>
    <w:rsid w:val="00646500"/>
    <w:rsid w:val="00646518"/>
    <w:rsid w:val="0064687E"/>
    <w:rsid w:val="00647012"/>
    <w:rsid w:val="00647223"/>
    <w:rsid w:val="00647DB6"/>
    <w:rsid w:val="00647EA9"/>
    <w:rsid w:val="00652193"/>
    <w:rsid w:val="00653A55"/>
    <w:rsid w:val="006550E5"/>
    <w:rsid w:val="006579E6"/>
    <w:rsid w:val="00660AC4"/>
    <w:rsid w:val="00664592"/>
    <w:rsid w:val="00674121"/>
    <w:rsid w:val="00674549"/>
    <w:rsid w:val="00674A36"/>
    <w:rsid w:val="006773C9"/>
    <w:rsid w:val="00683A8B"/>
    <w:rsid w:val="00684219"/>
    <w:rsid w:val="00684AB7"/>
    <w:rsid w:val="006917CA"/>
    <w:rsid w:val="00694895"/>
    <w:rsid w:val="006A0FF8"/>
    <w:rsid w:val="006A2C16"/>
    <w:rsid w:val="006A4E6D"/>
    <w:rsid w:val="006B0834"/>
    <w:rsid w:val="006B26BB"/>
    <w:rsid w:val="006B43B0"/>
    <w:rsid w:val="006B4509"/>
    <w:rsid w:val="006B45CA"/>
    <w:rsid w:val="006B4DE9"/>
    <w:rsid w:val="006B570A"/>
    <w:rsid w:val="006B7C09"/>
    <w:rsid w:val="006C148C"/>
    <w:rsid w:val="006C30E0"/>
    <w:rsid w:val="006C3B5A"/>
    <w:rsid w:val="006C4D31"/>
    <w:rsid w:val="006C5577"/>
    <w:rsid w:val="006C59A9"/>
    <w:rsid w:val="006C6753"/>
    <w:rsid w:val="006C6C24"/>
    <w:rsid w:val="006C78EB"/>
    <w:rsid w:val="006D0663"/>
    <w:rsid w:val="006D1660"/>
    <w:rsid w:val="006D2758"/>
    <w:rsid w:val="006E3328"/>
    <w:rsid w:val="006E75E7"/>
    <w:rsid w:val="006F0CC6"/>
    <w:rsid w:val="006F4AF7"/>
    <w:rsid w:val="006F4EF4"/>
    <w:rsid w:val="006F511B"/>
    <w:rsid w:val="006F5130"/>
    <w:rsid w:val="006F6FF8"/>
    <w:rsid w:val="006F7144"/>
    <w:rsid w:val="006F7172"/>
    <w:rsid w:val="0070080E"/>
    <w:rsid w:val="007009FD"/>
    <w:rsid w:val="00701E59"/>
    <w:rsid w:val="00702229"/>
    <w:rsid w:val="00702854"/>
    <w:rsid w:val="00704C18"/>
    <w:rsid w:val="00707E57"/>
    <w:rsid w:val="00710B30"/>
    <w:rsid w:val="0071173B"/>
    <w:rsid w:val="00711C29"/>
    <w:rsid w:val="00714513"/>
    <w:rsid w:val="00717B44"/>
    <w:rsid w:val="00720C67"/>
    <w:rsid w:val="00722ACA"/>
    <w:rsid w:val="00723321"/>
    <w:rsid w:val="0072790C"/>
    <w:rsid w:val="00730CA0"/>
    <w:rsid w:val="00740899"/>
    <w:rsid w:val="007458CC"/>
    <w:rsid w:val="00746D63"/>
    <w:rsid w:val="007519EC"/>
    <w:rsid w:val="00752552"/>
    <w:rsid w:val="00753471"/>
    <w:rsid w:val="00755896"/>
    <w:rsid w:val="00755925"/>
    <w:rsid w:val="00756BD5"/>
    <w:rsid w:val="00756EFC"/>
    <w:rsid w:val="00757EA3"/>
    <w:rsid w:val="007616C8"/>
    <w:rsid w:val="00762781"/>
    <w:rsid w:val="00762F00"/>
    <w:rsid w:val="00763BEB"/>
    <w:rsid w:val="00764428"/>
    <w:rsid w:val="00764EAB"/>
    <w:rsid w:val="00765BD4"/>
    <w:rsid w:val="00770A76"/>
    <w:rsid w:val="00773EAB"/>
    <w:rsid w:val="007744C2"/>
    <w:rsid w:val="00775329"/>
    <w:rsid w:val="00775D85"/>
    <w:rsid w:val="0078113D"/>
    <w:rsid w:val="007821E2"/>
    <w:rsid w:val="00782C45"/>
    <w:rsid w:val="007834D8"/>
    <w:rsid w:val="007861E5"/>
    <w:rsid w:val="00786D85"/>
    <w:rsid w:val="0078796A"/>
    <w:rsid w:val="00790A9D"/>
    <w:rsid w:val="00791756"/>
    <w:rsid w:val="007920E1"/>
    <w:rsid w:val="00795B34"/>
    <w:rsid w:val="00795D7A"/>
    <w:rsid w:val="00796AE8"/>
    <w:rsid w:val="007A07A0"/>
    <w:rsid w:val="007A1A9D"/>
    <w:rsid w:val="007A2381"/>
    <w:rsid w:val="007A2585"/>
    <w:rsid w:val="007A40DC"/>
    <w:rsid w:val="007A5DEA"/>
    <w:rsid w:val="007A6777"/>
    <w:rsid w:val="007A69BE"/>
    <w:rsid w:val="007A6C36"/>
    <w:rsid w:val="007A79E5"/>
    <w:rsid w:val="007A7B91"/>
    <w:rsid w:val="007B0666"/>
    <w:rsid w:val="007B2A30"/>
    <w:rsid w:val="007B2F5E"/>
    <w:rsid w:val="007B33FA"/>
    <w:rsid w:val="007B4A70"/>
    <w:rsid w:val="007B58D0"/>
    <w:rsid w:val="007B79D3"/>
    <w:rsid w:val="007C1102"/>
    <w:rsid w:val="007C61D7"/>
    <w:rsid w:val="007D0056"/>
    <w:rsid w:val="007D2AA0"/>
    <w:rsid w:val="007D3A25"/>
    <w:rsid w:val="007D70FF"/>
    <w:rsid w:val="007E3766"/>
    <w:rsid w:val="007E3FA9"/>
    <w:rsid w:val="007E404D"/>
    <w:rsid w:val="007E4C68"/>
    <w:rsid w:val="007E6A82"/>
    <w:rsid w:val="007E760E"/>
    <w:rsid w:val="007E771B"/>
    <w:rsid w:val="007E79A5"/>
    <w:rsid w:val="007F043F"/>
    <w:rsid w:val="007F0698"/>
    <w:rsid w:val="007F09B1"/>
    <w:rsid w:val="007F4738"/>
    <w:rsid w:val="007F6064"/>
    <w:rsid w:val="007F70DE"/>
    <w:rsid w:val="007F7352"/>
    <w:rsid w:val="007F74CE"/>
    <w:rsid w:val="007F7951"/>
    <w:rsid w:val="00800798"/>
    <w:rsid w:val="00801F82"/>
    <w:rsid w:val="00805C68"/>
    <w:rsid w:val="008068C5"/>
    <w:rsid w:val="00806D9C"/>
    <w:rsid w:val="008070BA"/>
    <w:rsid w:val="0081279B"/>
    <w:rsid w:val="00813AE0"/>
    <w:rsid w:val="00814540"/>
    <w:rsid w:val="00814728"/>
    <w:rsid w:val="00816742"/>
    <w:rsid w:val="008167F3"/>
    <w:rsid w:val="00816F7F"/>
    <w:rsid w:val="00817DFB"/>
    <w:rsid w:val="0082122B"/>
    <w:rsid w:val="00821519"/>
    <w:rsid w:val="00823CE2"/>
    <w:rsid w:val="00826A02"/>
    <w:rsid w:val="008274A3"/>
    <w:rsid w:val="00827DFA"/>
    <w:rsid w:val="008305E8"/>
    <w:rsid w:val="008308E5"/>
    <w:rsid w:val="00830B4F"/>
    <w:rsid w:val="00830C3B"/>
    <w:rsid w:val="00832951"/>
    <w:rsid w:val="00836151"/>
    <w:rsid w:val="008373A0"/>
    <w:rsid w:val="00837D46"/>
    <w:rsid w:val="00843B54"/>
    <w:rsid w:val="0084579F"/>
    <w:rsid w:val="00846795"/>
    <w:rsid w:val="00851030"/>
    <w:rsid w:val="008527FC"/>
    <w:rsid w:val="0086035A"/>
    <w:rsid w:val="008608FD"/>
    <w:rsid w:val="008609E1"/>
    <w:rsid w:val="00862FCA"/>
    <w:rsid w:val="008633F6"/>
    <w:rsid w:val="00863CEB"/>
    <w:rsid w:val="00863FD2"/>
    <w:rsid w:val="0086484C"/>
    <w:rsid w:val="008662BF"/>
    <w:rsid w:val="0086661B"/>
    <w:rsid w:val="008706B9"/>
    <w:rsid w:val="0087141F"/>
    <w:rsid w:val="00871581"/>
    <w:rsid w:val="00872104"/>
    <w:rsid w:val="00872F0B"/>
    <w:rsid w:val="00873AB0"/>
    <w:rsid w:val="00877213"/>
    <w:rsid w:val="00880B1F"/>
    <w:rsid w:val="00886D8F"/>
    <w:rsid w:val="0088717F"/>
    <w:rsid w:val="00890B52"/>
    <w:rsid w:val="0089168B"/>
    <w:rsid w:val="00891BBA"/>
    <w:rsid w:val="00893012"/>
    <w:rsid w:val="0089347A"/>
    <w:rsid w:val="008955F8"/>
    <w:rsid w:val="008A2E43"/>
    <w:rsid w:val="008A3380"/>
    <w:rsid w:val="008A36BF"/>
    <w:rsid w:val="008A3E15"/>
    <w:rsid w:val="008A4448"/>
    <w:rsid w:val="008A5898"/>
    <w:rsid w:val="008A6911"/>
    <w:rsid w:val="008A6C45"/>
    <w:rsid w:val="008A7162"/>
    <w:rsid w:val="008B0FF2"/>
    <w:rsid w:val="008B11DA"/>
    <w:rsid w:val="008B1280"/>
    <w:rsid w:val="008B1719"/>
    <w:rsid w:val="008B2344"/>
    <w:rsid w:val="008B2A51"/>
    <w:rsid w:val="008B7427"/>
    <w:rsid w:val="008C34D8"/>
    <w:rsid w:val="008C4A48"/>
    <w:rsid w:val="008C4E3E"/>
    <w:rsid w:val="008C51EC"/>
    <w:rsid w:val="008C6534"/>
    <w:rsid w:val="008C7574"/>
    <w:rsid w:val="008C76B1"/>
    <w:rsid w:val="008C77F7"/>
    <w:rsid w:val="008D23CE"/>
    <w:rsid w:val="008D4A59"/>
    <w:rsid w:val="008D50C5"/>
    <w:rsid w:val="008D6A05"/>
    <w:rsid w:val="008E1E58"/>
    <w:rsid w:val="008E3453"/>
    <w:rsid w:val="008E72FD"/>
    <w:rsid w:val="008F0EE4"/>
    <w:rsid w:val="008F135E"/>
    <w:rsid w:val="008F2609"/>
    <w:rsid w:val="008F35E3"/>
    <w:rsid w:val="008F4564"/>
    <w:rsid w:val="008F6525"/>
    <w:rsid w:val="008F6B2F"/>
    <w:rsid w:val="008F72AA"/>
    <w:rsid w:val="0090069B"/>
    <w:rsid w:val="00900FD1"/>
    <w:rsid w:val="00901C70"/>
    <w:rsid w:val="009023F7"/>
    <w:rsid w:val="00902F55"/>
    <w:rsid w:val="009049BD"/>
    <w:rsid w:val="00905D0A"/>
    <w:rsid w:val="00910F0D"/>
    <w:rsid w:val="009150A3"/>
    <w:rsid w:val="0091536D"/>
    <w:rsid w:val="00921037"/>
    <w:rsid w:val="00921D69"/>
    <w:rsid w:val="00922AD1"/>
    <w:rsid w:val="00923968"/>
    <w:rsid w:val="00923B03"/>
    <w:rsid w:val="00924BB9"/>
    <w:rsid w:val="009254DB"/>
    <w:rsid w:val="009255EA"/>
    <w:rsid w:val="00926451"/>
    <w:rsid w:val="0092691A"/>
    <w:rsid w:val="00931004"/>
    <w:rsid w:val="00931B6A"/>
    <w:rsid w:val="00932D69"/>
    <w:rsid w:val="00933377"/>
    <w:rsid w:val="009339C1"/>
    <w:rsid w:val="00933EE6"/>
    <w:rsid w:val="009348DB"/>
    <w:rsid w:val="00934DC2"/>
    <w:rsid w:val="00937F36"/>
    <w:rsid w:val="00941EE6"/>
    <w:rsid w:val="00942AD9"/>
    <w:rsid w:val="00942B4C"/>
    <w:rsid w:val="0094316B"/>
    <w:rsid w:val="00943B53"/>
    <w:rsid w:val="009467E6"/>
    <w:rsid w:val="00947765"/>
    <w:rsid w:val="00950E7A"/>
    <w:rsid w:val="009531C4"/>
    <w:rsid w:val="0095451D"/>
    <w:rsid w:val="00955858"/>
    <w:rsid w:val="009558AF"/>
    <w:rsid w:val="009568A3"/>
    <w:rsid w:val="009573D0"/>
    <w:rsid w:val="009578CB"/>
    <w:rsid w:val="00957FA7"/>
    <w:rsid w:val="00961E13"/>
    <w:rsid w:val="0096438A"/>
    <w:rsid w:val="00964826"/>
    <w:rsid w:val="00965B51"/>
    <w:rsid w:val="00967274"/>
    <w:rsid w:val="009674A2"/>
    <w:rsid w:val="00970803"/>
    <w:rsid w:val="0097275F"/>
    <w:rsid w:val="009727BB"/>
    <w:rsid w:val="00974AF8"/>
    <w:rsid w:val="00975BF0"/>
    <w:rsid w:val="00981514"/>
    <w:rsid w:val="009826D1"/>
    <w:rsid w:val="009845AD"/>
    <w:rsid w:val="009867B1"/>
    <w:rsid w:val="009907AF"/>
    <w:rsid w:val="0099189C"/>
    <w:rsid w:val="00991FE9"/>
    <w:rsid w:val="00992F43"/>
    <w:rsid w:val="0099413A"/>
    <w:rsid w:val="00994CF0"/>
    <w:rsid w:val="009A32D5"/>
    <w:rsid w:val="009A3D74"/>
    <w:rsid w:val="009A62B2"/>
    <w:rsid w:val="009A62E3"/>
    <w:rsid w:val="009A691E"/>
    <w:rsid w:val="009A694F"/>
    <w:rsid w:val="009A738F"/>
    <w:rsid w:val="009B4DFE"/>
    <w:rsid w:val="009B4E13"/>
    <w:rsid w:val="009B7963"/>
    <w:rsid w:val="009C0ABC"/>
    <w:rsid w:val="009C2CC7"/>
    <w:rsid w:val="009C2E91"/>
    <w:rsid w:val="009C5B87"/>
    <w:rsid w:val="009C66A0"/>
    <w:rsid w:val="009C6DE9"/>
    <w:rsid w:val="009D0625"/>
    <w:rsid w:val="009D06F3"/>
    <w:rsid w:val="009D094B"/>
    <w:rsid w:val="009D3062"/>
    <w:rsid w:val="009D3D29"/>
    <w:rsid w:val="009D60B8"/>
    <w:rsid w:val="009D7813"/>
    <w:rsid w:val="009E057C"/>
    <w:rsid w:val="009E6B6B"/>
    <w:rsid w:val="009F14FB"/>
    <w:rsid w:val="009F2685"/>
    <w:rsid w:val="009F4ECD"/>
    <w:rsid w:val="009F6CA4"/>
    <w:rsid w:val="00A00B5B"/>
    <w:rsid w:val="00A015C7"/>
    <w:rsid w:val="00A0344C"/>
    <w:rsid w:val="00A04D6C"/>
    <w:rsid w:val="00A07428"/>
    <w:rsid w:val="00A07478"/>
    <w:rsid w:val="00A07844"/>
    <w:rsid w:val="00A07DC9"/>
    <w:rsid w:val="00A11C12"/>
    <w:rsid w:val="00A13CA3"/>
    <w:rsid w:val="00A140F5"/>
    <w:rsid w:val="00A1469E"/>
    <w:rsid w:val="00A14700"/>
    <w:rsid w:val="00A153CF"/>
    <w:rsid w:val="00A160F8"/>
    <w:rsid w:val="00A17300"/>
    <w:rsid w:val="00A213CF"/>
    <w:rsid w:val="00A24E20"/>
    <w:rsid w:val="00A25340"/>
    <w:rsid w:val="00A25596"/>
    <w:rsid w:val="00A25893"/>
    <w:rsid w:val="00A266FF"/>
    <w:rsid w:val="00A27145"/>
    <w:rsid w:val="00A27BC9"/>
    <w:rsid w:val="00A30AB9"/>
    <w:rsid w:val="00A31585"/>
    <w:rsid w:val="00A3196E"/>
    <w:rsid w:val="00A32300"/>
    <w:rsid w:val="00A32ED5"/>
    <w:rsid w:val="00A33CFB"/>
    <w:rsid w:val="00A361AD"/>
    <w:rsid w:val="00A368B8"/>
    <w:rsid w:val="00A36CF6"/>
    <w:rsid w:val="00A413B3"/>
    <w:rsid w:val="00A42407"/>
    <w:rsid w:val="00A43C4F"/>
    <w:rsid w:val="00A43DA4"/>
    <w:rsid w:val="00A43E96"/>
    <w:rsid w:val="00A441FE"/>
    <w:rsid w:val="00A4547A"/>
    <w:rsid w:val="00A46F45"/>
    <w:rsid w:val="00A4711C"/>
    <w:rsid w:val="00A4789A"/>
    <w:rsid w:val="00A47BD1"/>
    <w:rsid w:val="00A47DC7"/>
    <w:rsid w:val="00A528EF"/>
    <w:rsid w:val="00A5495A"/>
    <w:rsid w:val="00A553CE"/>
    <w:rsid w:val="00A55A10"/>
    <w:rsid w:val="00A601F7"/>
    <w:rsid w:val="00A60B25"/>
    <w:rsid w:val="00A618B5"/>
    <w:rsid w:val="00A61BD8"/>
    <w:rsid w:val="00A62EF2"/>
    <w:rsid w:val="00A644DC"/>
    <w:rsid w:val="00A66034"/>
    <w:rsid w:val="00A66F56"/>
    <w:rsid w:val="00A673D2"/>
    <w:rsid w:val="00A67D74"/>
    <w:rsid w:val="00A72839"/>
    <w:rsid w:val="00A74021"/>
    <w:rsid w:val="00A749B9"/>
    <w:rsid w:val="00A7528F"/>
    <w:rsid w:val="00A77345"/>
    <w:rsid w:val="00A77A99"/>
    <w:rsid w:val="00A812BF"/>
    <w:rsid w:val="00A828C1"/>
    <w:rsid w:val="00A829FE"/>
    <w:rsid w:val="00A85006"/>
    <w:rsid w:val="00A853C3"/>
    <w:rsid w:val="00A85ACF"/>
    <w:rsid w:val="00A86805"/>
    <w:rsid w:val="00A923E6"/>
    <w:rsid w:val="00A92579"/>
    <w:rsid w:val="00A92676"/>
    <w:rsid w:val="00A92EEF"/>
    <w:rsid w:val="00A93AEE"/>
    <w:rsid w:val="00A94E71"/>
    <w:rsid w:val="00A953EB"/>
    <w:rsid w:val="00A95949"/>
    <w:rsid w:val="00A96F18"/>
    <w:rsid w:val="00AA0D2C"/>
    <w:rsid w:val="00AA1C9C"/>
    <w:rsid w:val="00AA3856"/>
    <w:rsid w:val="00AA4A1D"/>
    <w:rsid w:val="00AB2C51"/>
    <w:rsid w:val="00AB34FD"/>
    <w:rsid w:val="00AB4B56"/>
    <w:rsid w:val="00AB59BA"/>
    <w:rsid w:val="00AB5E9E"/>
    <w:rsid w:val="00AB73A4"/>
    <w:rsid w:val="00AB768C"/>
    <w:rsid w:val="00AB7833"/>
    <w:rsid w:val="00AC0095"/>
    <w:rsid w:val="00AC4CDB"/>
    <w:rsid w:val="00AC6D7D"/>
    <w:rsid w:val="00AC739A"/>
    <w:rsid w:val="00AC78DA"/>
    <w:rsid w:val="00AD1229"/>
    <w:rsid w:val="00AD14A4"/>
    <w:rsid w:val="00AD18C2"/>
    <w:rsid w:val="00AD1EDC"/>
    <w:rsid w:val="00AD1F44"/>
    <w:rsid w:val="00AD25AB"/>
    <w:rsid w:val="00AD2F4C"/>
    <w:rsid w:val="00AD31DB"/>
    <w:rsid w:val="00AD3518"/>
    <w:rsid w:val="00AD40FF"/>
    <w:rsid w:val="00AD419F"/>
    <w:rsid w:val="00AD7355"/>
    <w:rsid w:val="00AE08C5"/>
    <w:rsid w:val="00AE274F"/>
    <w:rsid w:val="00AE55FB"/>
    <w:rsid w:val="00AF17F7"/>
    <w:rsid w:val="00AF61B2"/>
    <w:rsid w:val="00B004E1"/>
    <w:rsid w:val="00B01B20"/>
    <w:rsid w:val="00B022AA"/>
    <w:rsid w:val="00B02521"/>
    <w:rsid w:val="00B027D0"/>
    <w:rsid w:val="00B07033"/>
    <w:rsid w:val="00B12013"/>
    <w:rsid w:val="00B13534"/>
    <w:rsid w:val="00B13D1F"/>
    <w:rsid w:val="00B14DAF"/>
    <w:rsid w:val="00B150A9"/>
    <w:rsid w:val="00B154BD"/>
    <w:rsid w:val="00B204A1"/>
    <w:rsid w:val="00B230E6"/>
    <w:rsid w:val="00B234DD"/>
    <w:rsid w:val="00B23CE8"/>
    <w:rsid w:val="00B24973"/>
    <w:rsid w:val="00B25428"/>
    <w:rsid w:val="00B25B12"/>
    <w:rsid w:val="00B25BDB"/>
    <w:rsid w:val="00B27691"/>
    <w:rsid w:val="00B324AA"/>
    <w:rsid w:val="00B32760"/>
    <w:rsid w:val="00B3488A"/>
    <w:rsid w:val="00B3711F"/>
    <w:rsid w:val="00B40ABB"/>
    <w:rsid w:val="00B40BC7"/>
    <w:rsid w:val="00B40D89"/>
    <w:rsid w:val="00B42383"/>
    <w:rsid w:val="00B43306"/>
    <w:rsid w:val="00B43CD9"/>
    <w:rsid w:val="00B455E9"/>
    <w:rsid w:val="00B4646F"/>
    <w:rsid w:val="00B474BD"/>
    <w:rsid w:val="00B475B6"/>
    <w:rsid w:val="00B47AB7"/>
    <w:rsid w:val="00B50FA1"/>
    <w:rsid w:val="00B5227D"/>
    <w:rsid w:val="00B52846"/>
    <w:rsid w:val="00B5311F"/>
    <w:rsid w:val="00B53F3E"/>
    <w:rsid w:val="00B5451F"/>
    <w:rsid w:val="00B55BD4"/>
    <w:rsid w:val="00B56371"/>
    <w:rsid w:val="00B60558"/>
    <w:rsid w:val="00B61609"/>
    <w:rsid w:val="00B625D3"/>
    <w:rsid w:val="00B67049"/>
    <w:rsid w:val="00B704F3"/>
    <w:rsid w:val="00B71557"/>
    <w:rsid w:val="00B7187A"/>
    <w:rsid w:val="00B722DA"/>
    <w:rsid w:val="00B73632"/>
    <w:rsid w:val="00B74C71"/>
    <w:rsid w:val="00B7551A"/>
    <w:rsid w:val="00B75756"/>
    <w:rsid w:val="00B7577C"/>
    <w:rsid w:val="00B75C2C"/>
    <w:rsid w:val="00B75F2D"/>
    <w:rsid w:val="00B82946"/>
    <w:rsid w:val="00B83DF5"/>
    <w:rsid w:val="00B86478"/>
    <w:rsid w:val="00B86BCA"/>
    <w:rsid w:val="00B86D38"/>
    <w:rsid w:val="00B86E69"/>
    <w:rsid w:val="00B87460"/>
    <w:rsid w:val="00B90A0F"/>
    <w:rsid w:val="00B92F20"/>
    <w:rsid w:val="00B940B5"/>
    <w:rsid w:val="00B947DB"/>
    <w:rsid w:val="00B96EA4"/>
    <w:rsid w:val="00B96F53"/>
    <w:rsid w:val="00B97B7B"/>
    <w:rsid w:val="00B97D92"/>
    <w:rsid w:val="00BA230D"/>
    <w:rsid w:val="00BA4DCD"/>
    <w:rsid w:val="00BA5D89"/>
    <w:rsid w:val="00BB009C"/>
    <w:rsid w:val="00BB0ACF"/>
    <w:rsid w:val="00BB162B"/>
    <w:rsid w:val="00BB27A2"/>
    <w:rsid w:val="00BB3299"/>
    <w:rsid w:val="00BB5F3D"/>
    <w:rsid w:val="00BB5F89"/>
    <w:rsid w:val="00BC2683"/>
    <w:rsid w:val="00BC43F9"/>
    <w:rsid w:val="00BC4BBF"/>
    <w:rsid w:val="00BC5ADA"/>
    <w:rsid w:val="00BD3EF0"/>
    <w:rsid w:val="00BD6DE2"/>
    <w:rsid w:val="00BD781A"/>
    <w:rsid w:val="00BE08DC"/>
    <w:rsid w:val="00BE09B4"/>
    <w:rsid w:val="00BE1DB9"/>
    <w:rsid w:val="00BE34D5"/>
    <w:rsid w:val="00BE3E97"/>
    <w:rsid w:val="00BE5013"/>
    <w:rsid w:val="00BE50AA"/>
    <w:rsid w:val="00BE53B3"/>
    <w:rsid w:val="00BF09ED"/>
    <w:rsid w:val="00BF1C90"/>
    <w:rsid w:val="00BF241B"/>
    <w:rsid w:val="00BF41C9"/>
    <w:rsid w:val="00BF6068"/>
    <w:rsid w:val="00BF6414"/>
    <w:rsid w:val="00C01607"/>
    <w:rsid w:val="00C02DF7"/>
    <w:rsid w:val="00C03766"/>
    <w:rsid w:val="00C03797"/>
    <w:rsid w:val="00C05905"/>
    <w:rsid w:val="00C05B4A"/>
    <w:rsid w:val="00C1173B"/>
    <w:rsid w:val="00C12275"/>
    <w:rsid w:val="00C177BA"/>
    <w:rsid w:val="00C17D3E"/>
    <w:rsid w:val="00C20CC0"/>
    <w:rsid w:val="00C21E1E"/>
    <w:rsid w:val="00C22E9E"/>
    <w:rsid w:val="00C25247"/>
    <w:rsid w:val="00C25F66"/>
    <w:rsid w:val="00C26FE9"/>
    <w:rsid w:val="00C303B7"/>
    <w:rsid w:val="00C328EE"/>
    <w:rsid w:val="00C32F5F"/>
    <w:rsid w:val="00C367FC"/>
    <w:rsid w:val="00C372F7"/>
    <w:rsid w:val="00C37C3C"/>
    <w:rsid w:val="00C40C4C"/>
    <w:rsid w:val="00C41821"/>
    <w:rsid w:val="00C41C32"/>
    <w:rsid w:val="00C42A4C"/>
    <w:rsid w:val="00C45A33"/>
    <w:rsid w:val="00C47338"/>
    <w:rsid w:val="00C51606"/>
    <w:rsid w:val="00C52F46"/>
    <w:rsid w:val="00C53FDC"/>
    <w:rsid w:val="00C55EA5"/>
    <w:rsid w:val="00C56FEF"/>
    <w:rsid w:val="00C6126B"/>
    <w:rsid w:val="00C619F6"/>
    <w:rsid w:val="00C63424"/>
    <w:rsid w:val="00C663D2"/>
    <w:rsid w:val="00C67AE8"/>
    <w:rsid w:val="00C70EA8"/>
    <w:rsid w:val="00C7149F"/>
    <w:rsid w:val="00C71B9C"/>
    <w:rsid w:val="00C73967"/>
    <w:rsid w:val="00C75C6E"/>
    <w:rsid w:val="00C7675E"/>
    <w:rsid w:val="00C77557"/>
    <w:rsid w:val="00C809E7"/>
    <w:rsid w:val="00C819DC"/>
    <w:rsid w:val="00C821C8"/>
    <w:rsid w:val="00C86248"/>
    <w:rsid w:val="00C875FF"/>
    <w:rsid w:val="00C87B9E"/>
    <w:rsid w:val="00C9113C"/>
    <w:rsid w:val="00C9125E"/>
    <w:rsid w:val="00C9174E"/>
    <w:rsid w:val="00C91BDE"/>
    <w:rsid w:val="00C945D3"/>
    <w:rsid w:val="00CA3136"/>
    <w:rsid w:val="00CA3E0A"/>
    <w:rsid w:val="00CA4CE1"/>
    <w:rsid w:val="00CA513D"/>
    <w:rsid w:val="00CA7A48"/>
    <w:rsid w:val="00CB5399"/>
    <w:rsid w:val="00CB65E5"/>
    <w:rsid w:val="00CC00AF"/>
    <w:rsid w:val="00CC0215"/>
    <w:rsid w:val="00CC0690"/>
    <w:rsid w:val="00CC1288"/>
    <w:rsid w:val="00CC14CA"/>
    <w:rsid w:val="00CC2057"/>
    <w:rsid w:val="00CC2C95"/>
    <w:rsid w:val="00CC7343"/>
    <w:rsid w:val="00CD0A20"/>
    <w:rsid w:val="00CD1E86"/>
    <w:rsid w:val="00CD2398"/>
    <w:rsid w:val="00CD3EC5"/>
    <w:rsid w:val="00CD4344"/>
    <w:rsid w:val="00CE0802"/>
    <w:rsid w:val="00CE2649"/>
    <w:rsid w:val="00CE36D0"/>
    <w:rsid w:val="00CE4317"/>
    <w:rsid w:val="00CE59E1"/>
    <w:rsid w:val="00CE72DE"/>
    <w:rsid w:val="00CE7862"/>
    <w:rsid w:val="00CF12FA"/>
    <w:rsid w:val="00CF158F"/>
    <w:rsid w:val="00CF1747"/>
    <w:rsid w:val="00CF3F73"/>
    <w:rsid w:val="00CF6D31"/>
    <w:rsid w:val="00CF7685"/>
    <w:rsid w:val="00D0225B"/>
    <w:rsid w:val="00D0266D"/>
    <w:rsid w:val="00D0600F"/>
    <w:rsid w:val="00D07A8A"/>
    <w:rsid w:val="00D1001C"/>
    <w:rsid w:val="00D11774"/>
    <w:rsid w:val="00D11E97"/>
    <w:rsid w:val="00D122E0"/>
    <w:rsid w:val="00D1462A"/>
    <w:rsid w:val="00D1635E"/>
    <w:rsid w:val="00D2037C"/>
    <w:rsid w:val="00D2107D"/>
    <w:rsid w:val="00D23631"/>
    <w:rsid w:val="00D265D8"/>
    <w:rsid w:val="00D27387"/>
    <w:rsid w:val="00D3083A"/>
    <w:rsid w:val="00D315F1"/>
    <w:rsid w:val="00D340F3"/>
    <w:rsid w:val="00D35437"/>
    <w:rsid w:val="00D355B1"/>
    <w:rsid w:val="00D36ECF"/>
    <w:rsid w:val="00D401F3"/>
    <w:rsid w:val="00D40292"/>
    <w:rsid w:val="00D41ACA"/>
    <w:rsid w:val="00D42E31"/>
    <w:rsid w:val="00D43BAE"/>
    <w:rsid w:val="00D44AB6"/>
    <w:rsid w:val="00D45B28"/>
    <w:rsid w:val="00D46883"/>
    <w:rsid w:val="00D51035"/>
    <w:rsid w:val="00D51210"/>
    <w:rsid w:val="00D5257E"/>
    <w:rsid w:val="00D54D35"/>
    <w:rsid w:val="00D54D79"/>
    <w:rsid w:val="00D55393"/>
    <w:rsid w:val="00D55647"/>
    <w:rsid w:val="00D61F63"/>
    <w:rsid w:val="00D62699"/>
    <w:rsid w:val="00D6271F"/>
    <w:rsid w:val="00D62EA8"/>
    <w:rsid w:val="00D637B4"/>
    <w:rsid w:val="00D6611F"/>
    <w:rsid w:val="00D661EC"/>
    <w:rsid w:val="00D66E63"/>
    <w:rsid w:val="00D70276"/>
    <w:rsid w:val="00D702EC"/>
    <w:rsid w:val="00D73FA3"/>
    <w:rsid w:val="00D75DB1"/>
    <w:rsid w:val="00D762E0"/>
    <w:rsid w:val="00D80968"/>
    <w:rsid w:val="00D81634"/>
    <w:rsid w:val="00D82B1C"/>
    <w:rsid w:val="00D82CDF"/>
    <w:rsid w:val="00D85925"/>
    <w:rsid w:val="00D8651D"/>
    <w:rsid w:val="00D86623"/>
    <w:rsid w:val="00D91012"/>
    <w:rsid w:val="00D9405F"/>
    <w:rsid w:val="00D9614F"/>
    <w:rsid w:val="00D975E0"/>
    <w:rsid w:val="00DA2027"/>
    <w:rsid w:val="00DA580F"/>
    <w:rsid w:val="00DA5D50"/>
    <w:rsid w:val="00DA6180"/>
    <w:rsid w:val="00DB2C7D"/>
    <w:rsid w:val="00DB4269"/>
    <w:rsid w:val="00DB4624"/>
    <w:rsid w:val="00DB6C21"/>
    <w:rsid w:val="00DC08F3"/>
    <w:rsid w:val="00DC2F82"/>
    <w:rsid w:val="00DC312C"/>
    <w:rsid w:val="00DC484A"/>
    <w:rsid w:val="00DC5F45"/>
    <w:rsid w:val="00DC7E0F"/>
    <w:rsid w:val="00DD0EDD"/>
    <w:rsid w:val="00DD13AC"/>
    <w:rsid w:val="00DD2260"/>
    <w:rsid w:val="00DD2537"/>
    <w:rsid w:val="00DD6EBC"/>
    <w:rsid w:val="00DD7130"/>
    <w:rsid w:val="00DD7BD6"/>
    <w:rsid w:val="00DE293C"/>
    <w:rsid w:val="00DE3616"/>
    <w:rsid w:val="00DE3D2F"/>
    <w:rsid w:val="00DE58CE"/>
    <w:rsid w:val="00DE66F6"/>
    <w:rsid w:val="00DE6772"/>
    <w:rsid w:val="00DF0444"/>
    <w:rsid w:val="00DF0E31"/>
    <w:rsid w:val="00DF1959"/>
    <w:rsid w:val="00DF5A6E"/>
    <w:rsid w:val="00DF5AE9"/>
    <w:rsid w:val="00DF614E"/>
    <w:rsid w:val="00DF6555"/>
    <w:rsid w:val="00DF6EE0"/>
    <w:rsid w:val="00DF7344"/>
    <w:rsid w:val="00DF7DC5"/>
    <w:rsid w:val="00E001C4"/>
    <w:rsid w:val="00E00850"/>
    <w:rsid w:val="00E02E5B"/>
    <w:rsid w:val="00E05187"/>
    <w:rsid w:val="00E11D3C"/>
    <w:rsid w:val="00E1634F"/>
    <w:rsid w:val="00E16F5B"/>
    <w:rsid w:val="00E17DC4"/>
    <w:rsid w:val="00E20636"/>
    <w:rsid w:val="00E2119F"/>
    <w:rsid w:val="00E21F4E"/>
    <w:rsid w:val="00E234AC"/>
    <w:rsid w:val="00E23B5A"/>
    <w:rsid w:val="00E26F82"/>
    <w:rsid w:val="00E27ED2"/>
    <w:rsid w:val="00E326FD"/>
    <w:rsid w:val="00E3287F"/>
    <w:rsid w:val="00E33EB5"/>
    <w:rsid w:val="00E348A2"/>
    <w:rsid w:val="00E35226"/>
    <w:rsid w:val="00E37C78"/>
    <w:rsid w:val="00E43BF2"/>
    <w:rsid w:val="00E45AB0"/>
    <w:rsid w:val="00E46920"/>
    <w:rsid w:val="00E4747D"/>
    <w:rsid w:val="00E47632"/>
    <w:rsid w:val="00E47972"/>
    <w:rsid w:val="00E506FB"/>
    <w:rsid w:val="00E52A86"/>
    <w:rsid w:val="00E52C94"/>
    <w:rsid w:val="00E52CAF"/>
    <w:rsid w:val="00E53D26"/>
    <w:rsid w:val="00E53E3D"/>
    <w:rsid w:val="00E55D5E"/>
    <w:rsid w:val="00E56550"/>
    <w:rsid w:val="00E579F0"/>
    <w:rsid w:val="00E62037"/>
    <w:rsid w:val="00E62175"/>
    <w:rsid w:val="00E62A5F"/>
    <w:rsid w:val="00E65F42"/>
    <w:rsid w:val="00E668F2"/>
    <w:rsid w:val="00E66D48"/>
    <w:rsid w:val="00E7079C"/>
    <w:rsid w:val="00E708E1"/>
    <w:rsid w:val="00E7250E"/>
    <w:rsid w:val="00E74979"/>
    <w:rsid w:val="00E77EA8"/>
    <w:rsid w:val="00E861A1"/>
    <w:rsid w:val="00E9056D"/>
    <w:rsid w:val="00E926D8"/>
    <w:rsid w:val="00E92764"/>
    <w:rsid w:val="00E96A7C"/>
    <w:rsid w:val="00E97699"/>
    <w:rsid w:val="00EA05BC"/>
    <w:rsid w:val="00EA22CA"/>
    <w:rsid w:val="00EA27E6"/>
    <w:rsid w:val="00EA55BA"/>
    <w:rsid w:val="00EA578D"/>
    <w:rsid w:val="00EA5E11"/>
    <w:rsid w:val="00EB060C"/>
    <w:rsid w:val="00EB1856"/>
    <w:rsid w:val="00EB29F7"/>
    <w:rsid w:val="00EB4709"/>
    <w:rsid w:val="00EB6198"/>
    <w:rsid w:val="00EB68EA"/>
    <w:rsid w:val="00EB6BDF"/>
    <w:rsid w:val="00EB7713"/>
    <w:rsid w:val="00EC0F2A"/>
    <w:rsid w:val="00EC0F7C"/>
    <w:rsid w:val="00EC1897"/>
    <w:rsid w:val="00EC258D"/>
    <w:rsid w:val="00EC50CE"/>
    <w:rsid w:val="00EC5B34"/>
    <w:rsid w:val="00ED2212"/>
    <w:rsid w:val="00ED334E"/>
    <w:rsid w:val="00ED4500"/>
    <w:rsid w:val="00ED4FE4"/>
    <w:rsid w:val="00ED604C"/>
    <w:rsid w:val="00ED790D"/>
    <w:rsid w:val="00EE1894"/>
    <w:rsid w:val="00EE189E"/>
    <w:rsid w:val="00EE5216"/>
    <w:rsid w:val="00EE6432"/>
    <w:rsid w:val="00EE7481"/>
    <w:rsid w:val="00EE74CD"/>
    <w:rsid w:val="00EE7615"/>
    <w:rsid w:val="00EE7E90"/>
    <w:rsid w:val="00EF0AF6"/>
    <w:rsid w:val="00EF17E4"/>
    <w:rsid w:val="00EF4088"/>
    <w:rsid w:val="00EF4EB7"/>
    <w:rsid w:val="00F01BDD"/>
    <w:rsid w:val="00F02748"/>
    <w:rsid w:val="00F0545B"/>
    <w:rsid w:val="00F0708B"/>
    <w:rsid w:val="00F125A0"/>
    <w:rsid w:val="00F14363"/>
    <w:rsid w:val="00F14909"/>
    <w:rsid w:val="00F150DA"/>
    <w:rsid w:val="00F152F5"/>
    <w:rsid w:val="00F20DA6"/>
    <w:rsid w:val="00F23CF7"/>
    <w:rsid w:val="00F254C2"/>
    <w:rsid w:val="00F264D7"/>
    <w:rsid w:val="00F26912"/>
    <w:rsid w:val="00F27632"/>
    <w:rsid w:val="00F31BD2"/>
    <w:rsid w:val="00F31DC0"/>
    <w:rsid w:val="00F338E9"/>
    <w:rsid w:val="00F362FE"/>
    <w:rsid w:val="00F36F2D"/>
    <w:rsid w:val="00F40E95"/>
    <w:rsid w:val="00F424C6"/>
    <w:rsid w:val="00F43F25"/>
    <w:rsid w:val="00F44D8D"/>
    <w:rsid w:val="00F47108"/>
    <w:rsid w:val="00F50C60"/>
    <w:rsid w:val="00F517E1"/>
    <w:rsid w:val="00F5282D"/>
    <w:rsid w:val="00F557EF"/>
    <w:rsid w:val="00F55DAD"/>
    <w:rsid w:val="00F55EA8"/>
    <w:rsid w:val="00F57732"/>
    <w:rsid w:val="00F60D8E"/>
    <w:rsid w:val="00F61523"/>
    <w:rsid w:val="00F61ECF"/>
    <w:rsid w:val="00F65D6F"/>
    <w:rsid w:val="00F66E5A"/>
    <w:rsid w:val="00F704B5"/>
    <w:rsid w:val="00F71058"/>
    <w:rsid w:val="00F7189B"/>
    <w:rsid w:val="00F7259D"/>
    <w:rsid w:val="00F73509"/>
    <w:rsid w:val="00F7365E"/>
    <w:rsid w:val="00F74B5D"/>
    <w:rsid w:val="00F74EA4"/>
    <w:rsid w:val="00F80039"/>
    <w:rsid w:val="00F845A7"/>
    <w:rsid w:val="00F84B21"/>
    <w:rsid w:val="00F84CA7"/>
    <w:rsid w:val="00F8594F"/>
    <w:rsid w:val="00F86B72"/>
    <w:rsid w:val="00F932D2"/>
    <w:rsid w:val="00F94169"/>
    <w:rsid w:val="00FA0910"/>
    <w:rsid w:val="00FA1F33"/>
    <w:rsid w:val="00FA2964"/>
    <w:rsid w:val="00FA5794"/>
    <w:rsid w:val="00FB1DBB"/>
    <w:rsid w:val="00FB2F52"/>
    <w:rsid w:val="00FB3856"/>
    <w:rsid w:val="00FB4E4D"/>
    <w:rsid w:val="00FB5386"/>
    <w:rsid w:val="00FB76BF"/>
    <w:rsid w:val="00FC3137"/>
    <w:rsid w:val="00FC3FE2"/>
    <w:rsid w:val="00FC4C29"/>
    <w:rsid w:val="00FC5496"/>
    <w:rsid w:val="00FC596A"/>
    <w:rsid w:val="00FC5D25"/>
    <w:rsid w:val="00FC7993"/>
    <w:rsid w:val="00FD1B29"/>
    <w:rsid w:val="00FD1BD1"/>
    <w:rsid w:val="00FD3A6A"/>
    <w:rsid w:val="00FD3D2B"/>
    <w:rsid w:val="00FD70B8"/>
    <w:rsid w:val="00FE064C"/>
    <w:rsid w:val="00FE1268"/>
    <w:rsid w:val="00FE1BB4"/>
    <w:rsid w:val="00FE25D6"/>
    <w:rsid w:val="00FE312C"/>
    <w:rsid w:val="00FE3162"/>
    <w:rsid w:val="00FE3586"/>
    <w:rsid w:val="00FE3B92"/>
    <w:rsid w:val="00FE3DB6"/>
    <w:rsid w:val="00FE6238"/>
    <w:rsid w:val="00FE643E"/>
    <w:rsid w:val="00FE747D"/>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A7966"/>
  <w15:docId w15:val="{B6E03527-933E-40C5-8C14-D3B51B47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898"/>
    <w:pPr>
      <w:spacing w:line="264" w:lineRule="auto"/>
      <w:jc w:val="both"/>
    </w:pPr>
    <w:rPr>
      <w:rFonts w:ascii="Arial" w:hAnsi="Arial"/>
      <w:sz w:val="22"/>
      <w:lang w:eastAsia="en-GB"/>
    </w:rPr>
  </w:style>
  <w:style w:type="paragraph" w:styleId="Heading1">
    <w:name w:val="heading 1"/>
    <w:basedOn w:val="Normal"/>
    <w:next w:val="Normal"/>
    <w:link w:val="Heading1Char"/>
    <w:uiPriority w:val="9"/>
    <w:qFormat/>
    <w:rsid w:val="0036595B"/>
    <w:pPr>
      <w:pageBreakBefore/>
      <w:pBdr>
        <w:bottom w:val="single" w:sz="12" w:space="4" w:color="auto"/>
      </w:pBdr>
      <w:spacing w:after="600"/>
      <w:jc w:val="left"/>
      <w:outlineLvl w:val="0"/>
    </w:pPr>
    <w:rPr>
      <w:b/>
      <w:sz w:val="48"/>
    </w:rPr>
  </w:style>
  <w:style w:type="paragraph" w:styleId="Heading2">
    <w:name w:val="heading 2"/>
    <w:basedOn w:val="Normal"/>
    <w:next w:val="Normal"/>
    <w:link w:val="Heading2Char"/>
    <w:uiPriority w:val="9"/>
    <w:qFormat/>
    <w:rsid w:val="00451076"/>
    <w:pPr>
      <w:keepNext/>
      <w:spacing w:before="480" w:after="120"/>
      <w:jc w:val="left"/>
      <w:outlineLvl w:val="1"/>
    </w:pPr>
    <w:rPr>
      <w:sz w:val="32"/>
    </w:rPr>
  </w:style>
  <w:style w:type="paragraph" w:styleId="Heading3">
    <w:name w:val="heading 3"/>
    <w:basedOn w:val="Normal"/>
    <w:next w:val="Normal"/>
    <w:link w:val="Heading3Char"/>
    <w:uiPriority w:val="9"/>
    <w:qFormat/>
    <w:rsid w:val="00265B97"/>
    <w:pPr>
      <w:keepNext/>
      <w:spacing w:before="360" w:after="240" w:line="276" w:lineRule="auto"/>
      <w:jc w:val="left"/>
      <w:outlineLvl w:val="2"/>
    </w:pPr>
    <w:rPr>
      <w:i/>
      <w:sz w:val="26"/>
    </w:rPr>
  </w:style>
  <w:style w:type="paragraph" w:styleId="Heading4">
    <w:name w:val="heading 4"/>
    <w:basedOn w:val="Normal"/>
    <w:next w:val="Normal"/>
    <w:link w:val="Heading4Char"/>
    <w:uiPriority w:val="9"/>
    <w:qFormat/>
    <w:rsid w:val="00376A68"/>
    <w:pPr>
      <w:keepNext/>
      <w:spacing w:before="300" w:after="120"/>
      <w:jc w:val="left"/>
      <w:outlineLvl w:val="3"/>
    </w:pPr>
    <w:rPr>
      <w:b/>
      <w:sz w:val="24"/>
    </w:rPr>
  </w:style>
  <w:style w:type="paragraph" w:styleId="Heading5">
    <w:name w:val="heading 5"/>
    <w:basedOn w:val="Normal"/>
    <w:next w:val="Normal"/>
    <w:link w:val="Heading5Char"/>
    <w:uiPriority w:val="9"/>
    <w:qFormat/>
    <w:rsid w:val="00905D0A"/>
    <w:pPr>
      <w:keepNext/>
      <w:spacing w:before="120"/>
      <w:jc w:val="left"/>
      <w:outlineLvl w:val="4"/>
    </w:pPr>
    <w:rPr>
      <w:i/>
    </w:rPr>
  </w:style>
  <w:style w:type="paragraph" w:styleId="Heading6">
    <w:name w:val="heading 6"/>
    <w:basedOn w:val="Normal"/>
    <w:next w:val="Normal"/>
    <w:link w:val="Heading6Char"/>
    <w:uiPriority w:val="9"/>
    <w:qFormat/>
    <w:rsid w:val="0084579F"/>
    <w:pPr>
      <w:keepNext/>
      <w:outlineLvl w:val="5"/>
    </w:pPr>
    <w:rPr>
      <w:i/>
      <w:iCs/>
      <w:szCs w:val="24"/>
      <w:lang w:val="en-US" w:eastAsia="en-US"/>
    </w:rPr>
  </w:style>
  <w:style w:type="paragraph" w:styleId="Heading7">
    <w:name w:val="heading 7"/>
    <w:basedOn w:val="Normal"/>
    <w:next w:val="Normal"/>
    <w:link w:val="Heading7Char"/>
    <w:uiPriority w:val="9"/>
    <w:semiHidden/>
    <w:unhideWhenUsed/>
    <w:qFormat/>
    <w:rsid w:val="008C7574"/>
    <w:pPr>
      <w:keepNext/>
      <w:keepLines/>
      <w:spacing w:before="200" w:line="276" w:lineRule="auto"/>
      <w:jc w:val="left"/>
      <w:outlineLvl w:val="6"/>
    </w:pPr>
    <w:rPr>
      <w:rFonts w:ascii="Cambria" w:hAnsi="Cambria"/>
      <w:i/>
      <w:iCs/>
      <w:color w:val="404040"/>
      <w:szCs w:val="22"/>
      <w:lang w:eastAsia="en-NZ"/>
    </w:rPr>
  </w:style>
  <w:style w:type="paragraph" w:styleId="Heading8">
    <w:name w:val="heading 8"/>
    <w:basedOn w:val="Normal"/>
    <w:next w:val="Normal"/>
    <w:link w:val="Heading8Char"/>
    <w:uiPriority w:val="9"/>
    <w:qFormat/>
    <w:rsid w:val="0084579F"/>
    <w:pPr>
      <w:keepNext/>
      <w:framePr w:hSpace="180" w:wrap="around" w:vAnchor="text" w:hAnchor="margin" w:y="37"/>
      <w:outlineLvl w:val="7"/>
    </w:pPr>
    <w:rPr>
      <w:rFonts w:cs="Arial"/>
      <w:b/>
      <w:bCs/>
      <w:sz w:val="20"/>
      <w:lang w:val="en-US" w:eastAsia="en-US"/>
    </w:rPr>
  </w:style>
  <w:style w:type="paragraph" w:styleId="Heading9">
    <w:name w:val="heading 9"/>
    <w:basedOn w:val="Normal"/>
    <w:next w:val="Normal"/>
    <w:link w:val="Heading9Char"/>
    <w:uiPriority w:val="9"/>
    <w:semiHidden/>
    <w:unhideWhenUsed/>
    <w:qFormat/>
    <w:rsid w:val="008C7574"/>
    <w:pPr>
      <w:keepNext/>
      <w:keepLines/>
      <w:spacing w:before="200" w:line="276" w:lineRule="auto"/>
      <w:jc w:val="left"/>
      <w:outlineLvl w:val="8"/>
    </w:pPr>
    <w:rPr>
      <w:rFonts w:ascii="Cambria" w:hAnsi="Cambria"/>
      <w:i/>
      <w:iCs/>
      <w:color w:val="404040"/>
      <w:sz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B5D"/>
    <w:rPr>
      <w:rFonts w:ascii="Arial" w:hAnsi="Arial"/>
      <w:b/>
      <w:sz w:val="48"/>
      <w:lang w:eastAsia="en-GB"/>
    </w:rPr>
  </w:style>
  <w:style w:type="character" w:customStyle="1" w:styleId="Heading2Char">
    <w:name w:val="Heading 2 Char"/>
    <w:link w:val="Heading2"/>
    <w:uiPriority w:val="9"/>
    <w:rsid w:val="003C6FE7"/>
    <w:rPr>
      <w:rFonts w:ascii="Arial" w:hAnsi="Arial"/>
      <w:sz w:val="32"/>
      <w:lang w:eastAsia="en-GB"/>
    </w:rPr>
  </w:style>
  <w:style w:type="character" w:customStyle="1" w:styleId="Heading3Char">
    <w:name w:val="Heading 3 Char"/>
    <w:link w:val="Heading3"/>
    <w:uiPriority w:val="9"/>
    <w:rsid w:val="00265B97"/>
    <w:rPr>
      <w:rFonts w:ascii="Arial" w:hAnsi="Arial"/>
      <w:i/>
      <w:sz w:val="26"/>
      <w:lang w:eastAsia="en-GB"/>
    </w:rPr>
  </w:style>
  <w:style w:type="character" w:customStyle="1" w:styleId="Heading4Char">
    <w:name w:val="Heading 4 Char"/>
    <w:link w:val="Heading4"/>
    <w:uiPriority w:val="9"/>
    <w:rsid w:val="00376A68"/>
    <w:rPr>
      <w:rFonts w:ascii="Arial" w:hAnsi="Arial"/>
      <w:b/>
      <w:sz w:val="24"/>
      <w:lang w:eastAsia="en-GB"/>
    </w:rPr>
  </w:style>
  <w:style w:type="character" w:customStyle="1" w:styleId="Heading5Char">
    <w:name w:val="Heading 5 Char"/>
    <w:link w:val="Heading5"/>
    <w:uiPriority w:val="9"/>
    <w:rsid w:val="00905D0A"/>
    <w:rPr>
      <w:rFonts w:ascii="Arial" w:hAnsi="Arial"/>
      <w:i/>
      <w:sz w:val="22"/>
      <w:lang w:eastAsia="en-GB"/>
    </w:rPr>
  </w:style>
  <w:style w:type="character" w:customStyle="1" w:styleId="Heading6Char">
    <w:name w:val="Heading 6 Char"/>
    <w:link w:val="Heading6"/>
    <w:uiPriority w:val="9"/>
    <w:rsid w:val="008C7574"/>
    <w:rPr>
      <w:rFonts w:ascii="Arial" w:hAnsi="Arial"/>
      <w:i/>
      <w:iCs/>
      <w:sz w:val="22"/>
      <w:szCs w:val="24"/>
      <w:lang w:val="en-US" w:eastAsia="en-US"/>
    </w:rPr>
  </w:style>
  <w:style w:type="character" w:customStyle="1" w:styleId="Heading7Char">
    <w:name w:val="Heading 7 Char"/>
    <w:link w:val="Heading7"/>
    <w:uiPriority w:val="9"/>
    <w:semiHidden/>
    <w:rsid w:val="008C7574"/>
    <w:rPr>
      <w:rFonts w:ascii="Cambria" w:hAnsi="Cambria"/>
      <w:i/>
      <w:iCs/>
      <w:color w:val="404040"/>
      <w:sz w:val="22"/>
      <w:szCs w:val="22"/>
    </w:rPr>
  </w:style>
  <w:style w:type="character" w:customStyle="1" w:styleId="Heading8Char">
    <w:name w:val="Heading 8 Char"/>
    <w:link w:val="Heading8"/>
    <w:uiPriority w:val="9"/>
    <w:rsid w:val="008C7574"/>
    <w:rPr>
      <w:rFonts w:ascii="Arial" w:hAnsi="Arial" w:cs="Arial"/>
      <w:b/>
      <w:bCs/>
      <w:lang w:val="en-US" w:eastAsia="en-US"/>
    </w:rPr>
  </w:style>
  <w:style w:type="character" w:customStyle="1" w:styleId="Heading9Char">
    <w:name w:val="Heading 9 Char"/>
    <w:link w:val="Heading9"/>
    <w:uiPriority w:val="9"/>
    <w:semiHidden/>
    <w:rsid w:val="008C7574"/>
    <w:rPr>
      <w:rFonts w:ascii="Cambria" w:hAnsi="Cambria"/>
      <w:i/>
      <w:iCs/>
      <w:color w:val="404040"/>
    </w:rPr>
  </w:style>
  <w:style w:type="paragraph" w:styleId="TOC1">
    <w:name w:val="toc 1"/>
    <w:basedOn w:val="Normal"/>
    <w:next w:val="Normal"/>
    <w:uiPriority w:val="39"/>
    <w:rsid w:val="00C21E1E"/>
    <w:pPr>
      <w:tabs>
        <w:tab w:val="right" w:leader="dot" w:pos="8789"/>
      </w:tabs>
      <w:spacing w:before="240"/>
      <w:ind w:right="567"/>
      <w:jc w:val="left"/>
    </w:pPr>
    <w:rPr>
      <w:b/>
    </w:rPr>
  </w:style>
  <w:style w:type="paragraph" w:styleId="TOC2">
    <w:name w:val="toc 2"/>
    <w:basedOn w:val="Normal"/>
    <w:next w:val="Normal"/>
    <w:uiPriority w:val="39"/>
    <w:rsid w:val="00376711"/>
    <w:pPr>
      <w:tabs>
        <w:tab w:val="right" w:leader="dot" w:pos="8789"/>
      </w:tabs>
      <w:spacing w:before="60"/>
      <w:ind w:left="1134" w:right="567" w:hanging="567"/>
      <w:jc w:val="left"/>
    </w:pPr>
    <w:rPr>
      <w:sz w:val="20"/>
    </w:rPr>
  </w:style>
  <w:style w:type="paragraph" w:styleId="TOC3">
    <w:name w:val="toc 3"/>
    <w:basedOn w:val="Normal"/>
    <w:next w:val="Normal"/>
    <w:uiPriority w:val="39"/>
    <w:rsid w:val="002B2978"/>
    <w:pPr>
      <w:tabs>
        <w:tab w:val="right" w:leader="dot" w:pos="8789"/>
      </w:tabs>
      <w:spacing w:before="60"/>
      <w:ind w:left="1134" w:right="567" w:hanging="1134"/>
      <w:jc w:val="left"/>
    </w:pPr>
    <w:rPr>
      <w:sz w:val="20"/>
    </w:rPr>
  </w:style>
  <w:style w:type="paragraph" w:customStyle="1" w:styleId="Bullet">
    <w:name w:val="Bullet"/>
    <w:basedOn w:val="Normal"/>
    <w:link w:val="BulletChar"/>
    <w:rsid w:val="00451076"/>
    <w:pPr>
      <w:numPr>
        <w:numId w:val="1"/>
      </w:numPr>
      <w:tabs>
        <w:tab w:val="clear" w:pos="851"/>
        <w:tab w:val="left" w:pos="284"/>
      </w:tabs>
      <w:spacing w:before="120"/>
      <w:ind w:left="284"/>
    </w:pPr>
  </w:style>
  <w:style w:type="character" w:customStyle="1" w:styleId="BulletChar">
    <w:name w:val="Bullet Char"/>
    <w:link w:val="Bullet"/>
    <w:rsid w:val="00451076"/>
    <w:rPr>
      <w:rFonts w:ascii="Arial" w:hAnsi="Arial"/>
      <w:sz w:val="22"/>
      <w:lang w:eastAsia="en-GB"/>
    </w:rPr>
  </w:style>
  <w:style w:type="paragraph" w:styleId="Quote">
    <w:name w:val="Quote"/>
    <w:basedOn w:val="Box"/>
    <w:next w:val="Normal"/>
    <w:link w:val="QuoteChar"/>
    <w:uiPriority w:val="29"/>
    <w:qFormat/>
    <w:rsid w:val="00F362FE"/>
    <w:rPr>
      <w:i/>
      <w:sz w:val="21"/>
    </w:rPr>
  </w:style>
  <w:style w:type="paragraph" w:customStyle="1" w:styleId="Box">
    <w:name w:val="Box"/>
    <w:basedOn w:val="Normal"/>
    <w:rsid w:val="00F362FE"/>
    <w:pPr>
      <w:pBdr>
        <w:top w:val="single" w:sz="4" w:space="12" w:color="auto"/>
        <w:left w:val="single" w:sz="4" w:space="12" w:color="auto"/>
        <w:bottom w:val="single" w:sz="4" w:space="12" w:color="auto"/>
        <w:right w:val="single" w:sz="4" w:space="12" w:color="auto"/>
      </w:pBdr>
      <w:shd w:val="clear" w:color="auto" w:fill="F2F2F2" w:themeFill="background1" w:themeFillShade="F2"/>
      <w:spacing w:before="120"/>
      <w:ind w:left="284" w:right="284"/>
      <w:jc w:val="left"/>
    </w:pPr>
  </w:style>
  <w:style w:type="character" w:customStyle="1" w:styleId="QuoteChar">
    <w:name w:val="Quote Char"/>
    <w:link w:val="Quote"/>
    <w:uiPriority w:val="29"/>
    <w:rsid w:val="00F362FE"/>
    <w:rPr>
      <w:rFonts w:ascii="Arial" w:hAnsi="Arial"/>
      <w:i/>
      <w:sz w:val="21"/>
      <w:shd w:val="clear" w:color="auto" w:fill="F2F2F2" w:themeFill="background1" w:themeFillShade="F2"/>
      <w:lang w:eastAsia="en-GB"/>
    </w:rPr>
  </w:style>
  <w:style w:type="paragraph" w:styleId="Title">
    <w:name w:val="Title"/>
    <w:basedOn w:val="Normal"/>
    <w:next w:val="Normal"/>
    <w:link w:val="TitleChar"/>
    <w:uiPriority w:val="10"/>
    <w:qFormat/>
    <w:rsid w:val="000407A2"/>
    <w:pPr>
      <w:jc w:val="center"/>
    </w:pPr>
    <w:rPr>
      <w:b/>
      <w:sz w:val="48"/>
    </w:rPr>
  </w:style>
  <w:style w:type="character" w:customStyle="1" w:styleId="TitleChar">
    <w:name w:val="Title Char"/>
    <w:link w:val="Title"/>
    <w:uiPriority w:val="10"/>
    <w:rsid w:val="008C7574"/>
    <w:rPr>
      <w:rFonts w:ascii="Arial" w:hAnsi="Arial"/>
      <w:b/>
      <w:sz w:val="48"/>
      <w:lang w:eastAsia="en-GB"/>
    </w:rPr>
  </w:style>
  <w:style w:type="paragraph" w:customStyle="1" w:styleId="Imprint">
    <w:name w:val="Imprint"/>
    <w:basedOn w:val="Normal"/>
    <w:next w:val="Normal"/>
    <w:rsid w:val="002B2978"/>
    <w:pPr>
      <w:spacing w:after="240"/>
      <w:jc w:val="left"/>
    </w:pPr>
  </w:style>
  <w:style w:type="character" w:styleId="PageNumber">
    <w:name w:val="page number"/>
    <w:rsid w:val="00674A36"/>
    <w:rPr>
      <w:rFonts w:ascii="Arial" w:hAnsi="Arial"/>
      <w:sz w:val="40"/>
    </w:rPr>
  </w:style>
  <w:style w:type="paragraph" w:customStyle="1" w:styleId="VersoFooter">
    <w:name w:val="Verso Footer"/>
    <w:basedOn w:val="Normal"/>
    <w:rsid w:val="006211D9"/>
    <w:pPr>
      <w:spacing w:before="120"/>
      <w:jc w:val="right"/>
    </w:pPr>
    <w:rPr>
      <w:sz w:val="18"/>
    </w:rPr>
  </w:style>
  <w:style w:type="paragraph" w:customStyle="1" w:styleId="RectoFooter">
    <w:name w:val="Recto Footer"/>
    <w:basedOn w:val="Normal"/>
    <w:rsid w:val="006211D9"/>
    <w:pPr>
      <w:spacing w:before="120"/>
    </w:pPr>
    <w:rPr>
      <w:sz w:val="18"/>
    </w:r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uiPriority w:val="99"/>
    <w:rPr>
      <w:vertAlign w:val="superscript"/>
    </w:rPr>
  </w:style>
  <w:style w:type="paragraph" w:customStyle="1" w:styleId="Table">
    <w:name w:val="Table"/>
    <w:basedOn w:val="Figure"/>
  </w:style>
  <w:style w:type="paragraph" w:customStyle="1" w:styleId="Dash">
    <w:name w:val="Dash"/>
    <w:basedOn w:val="Bullet"/>
    <w:rsid w:val="00763BEB"/>
    <w:pPr>
      <w:numPr>
        <w:numId w:val="2"/>
      </w:numPr>
      <w:tabs>
        <w:tab w:val="clear" w:pos="284"/>
        <w:tab w:val="clear" w:pos="1134"/>
        <w:tab w:val="num" w:pos="567"/>
      </w:tabs>
      <w:spacing w:before="60"/>
      <w:ind w:left="1135" w:hanging="284"/>
    </w:pPr>
  </w:style>
  <w:style w:type="paragraph" w:customStyle="1" w:styleId="TableText">
    <w:name w:val="TableText"/>
    <w:basedOn w:val="Normal"/>
    <w:rsid w:val="00C26FE9"/>
    <w:pPr>
      <w:spacing w:before="60" w:after="60" w:line="240" w:lineRule="auto"/>
      <w:jc w:val="left"/>
    </w:pPr>
    <w:rPr>
      <w:sz w:val="18"/>
    </w:rPr>
  </w:style>
  <w:style w:type="paragraph" w:customStyle="1" w:styleId="TableBullet">
    <w:name w:val="TableBullet"/>
    <w:basedOn w:val="TableText"/>
    <w:rsid w:val="000B3D09"/>
    <w:pPr>
      <w:numPr>
        <w:numId w:val="3"/>
      </w:numPr>
      <w:spacing w:before="0"/>
      <w:ind w:left="709"/>
    </w:pPr>
  </w:style>
  <w:style w:type="paragraph" w:customStyle="1" w:styleId="BoxHeading">
    <w:name w:val="BoxHeading"/>
    <w:basedOn w:val="Box"/>
    <w:rsid w:val="001635AE"/>
    <w:pPr>
      <w:keepNext/>
    </w:pPr>
    <w:rPr>
      <w:b/>
    </w:rPr>
  </w:style>
  <w:style w:type="paragraph" w:customStyle="1" w:styleId="BoxBullet">
    <w:name w:val="BoxBullet"/>
    <w:basedOn w:val="Box"/>
    <w:rsid w:val="00F362FE"/>
    <w:pPr>
      <w:numPr>
        <w:numId w:val="4"/>
      </w:numPr>
      <w:spacing w:before="90"/>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sid w:val="00376A68"/>
    <w:rPr>
      <w:color w:val="595959" w:themeColor="text1" w:themeTint="A6"/>
      <w:u w:val="none"/>
    </w:rPr>
  </w:style>
  <w:style w:type="paragraph" w:customStyle="1" w:styleId="References">
    <w:name w:val="References"/>
    <w:basedOn w:val="Normal"/>
    <w:rsid w:val="00A14700"/>
    <w:pPr>
      <w:numPr>
        <w:numId w:val="5"/>
      </w:numPr>
      <w:spacing w:before="180"/>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340BD3"/>
    <w:pPr>
      <w:numPr>
        <w:numId w:val="6"/>
      </w:numPr>
      <w:spacing w:before="0" w:after="40"/>
      <w:ind w:left="851" w:hanging="567"/>
    </w:pPr>
    <w:rPr>
      <w:szCs w:val="22"/>
    </w:rPr>
  </w:style>
  <w:style w:type="table" w:styleId="TableGrid">
    <w:name w:val="Table Grid"/>
    <w:basedOn w:val="TableNormal"/>
    <w:uiPriority w:val="39"/>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2D661E"/>
    <w:rPr>
      <w:rFonts w:ascii="Arial" w:hAnsi="Arial"/>
      <w:sz w:val="22"/>
      <w:lang w:eastAsia="en-GB"/>
    </w:rPr>
  </w:style>
  <w:style w:type="paragraph" w:styleId="Header">
    <w:name w:val="header"/>
    <w:basedOn w:val="Normal"/>
    <w:link w:val="HeaderChar"/>
    <w:uiPriority w:val="99"/>
    <w:rsid w:val="00CE36D0"/>
    <w:rPr>
      <w:sz w:val="18"/>
    </w:rPr>
  </w:style>
  <w:style w:type="character" w:customStyle="1" w:styleId="HeaderChar">
    <w:name w:val="Header Char"/>
    <w:link w:val="Header"/>
    <w:uiPriority w:val="99"/>
    <w:rsid w:val="00164FD0"/>
    <w:rPr>
      <w:rFonts w:ascii="Arial" w:hAnsi="Arial"/>
      <w:sz w:val="18"/>
      <w:lang w:eastAsia="en-GB"/>
    </w:rPr>
  </w:style>
  <w:style w:type="paragraph" w:styleId="Footer">
    <w:name w:val="footer"/>
    <w:basedOn w:val="Normal"/>
    <w:link w:val="FooterChar"/>
    <w:uiPriority w:val="99"/>
    <w:rsid w:val="0086035A"/>
    <w:pPr>
      <w:tabs>
        <w:tab w:val="center" w:pos="4320"/>
        <w:tab w:val="right" w:pos="8640"/>
      </w:tabs>
    </w:pPr>
  </w:style>
  <w:style w:type="character" w:customStyle="1" w:styleId="FooterChar">
    <w:name w:val="Footer Char"/>
    <w:link w:val="Footer"/>
    <w:uiPriority w:val="99"/>
    <w:rsid w:val="008C7574"/>
    <w:rPr>
      <w:rFonts w:ascii="Arial" w:hAnsi="Arial"/>
      <w:sz w:val="22"/>
      <w:lang w:eastAsia="en-GB"/>
    </w:rPr>
  </w:style>
  <w:style w:type="paragraph" w:styleId="FootnoteText">
    <w:name w:val="footnote text"/>
    <w:basedOn w:val="Normal"/>
    <w:link w:val="FootnoteTextChar"/>
    <w:uiPriority w:val="99"/>
    <w:rsid w:val="002E4C11"/>
    <w:pPr>
      <w:spacing w:before="60"/>
      <w:ind w:left="284" w:hanging="284"/>
      <w:jc w:val="left"/>
    </w:pPr>
    <w:rPr>
      <w:sz w:val="18"/>
    </w:rPr>
  </w:style>
  <w:style w:type="character" w:customStyle="1" w:styleId="FootnoteTextChar">
    <w:name w:val="Footnote Text Char"/>
    <w:link w:val="FootnoteText"/>
    <w:uiPriority w:val="99"/>
    <w:rsid w:val="002E4C11"/>
    <w:rPr>
      <w:rFonts w:ascii="Arial" w:hAnsi="Arial"/>
      <w:sz w:val="18"/>
      <w:lang w:eastAsia="en-GB"/>
    </w:rPr>
  </w:style>
  <w:style w:type="character" w:customStyle="1" w:styleId="NumberChar">
    <w:name w:val="Number Char"/>
    <w:link w:val="Number"/>
    <w:rsid w:val="00970803"/>
    <w:rPr>
      <w:rFonts w:ascii="Arial" w:hAnsi="Arial"/>
      <w:sz w:val="22"/>
      <w:lang w:eastAsia="en-GB"/>
    </w:rPr>
  </w:style>
  <w:style w:type="paragraph" w:customStyle="1" w:styleId="Number">
    <w:name w:val="Number"/>
    <w:basedOn w:val="Normal"/>
    <w:link w:val="NumberChar"/>
    <w:qFormat/>
    <w:rsid w:val="00970803"/>
    <w:pPr>
      <w:numPr>
        <w:ilvl w:val="3"/>
        <w:numId w:val="10"/>
      </w:numPr>
      <w:spacing w:before="40"/>
    </w:pPr>
  </w:style>
  <w:style w:type="paragraph" w:customStyle="1" w:styleId="Letter">
    <w:name w:val="Letter"/>
    <w:basedOn w:val="Normal"/>
    <w:qFormat/>
    <w:rsid w:val="00723321"/>
    <w:pPr>
      <w:numPr>
        <w:ilvl w:val="4"/>
        <w:numId w:val="10"/>
      </w:numPr>
      <w:spacing w:before="90"/>
    </w:pPr>
  </w:style>
  <w:style w:type="paragraph" w:customStyle="1" w:styleId="TableNumber">
    <w:name w:val="TableNumber"/>
    <w:basedOn w:val="TableText"/>
    <w:qFormat/>
    <w:rsid w:val="00B86E69"/>
    <w:pPr>
      <w:ind w:left="425" w:hanging="425"/>
    </w:pPr>
  </w:style>
  <w:style w:type="paragraph" w:customStyle="1" w:styleId="TableLetter">
    <w:name w:val="TableLetter"/>
    <w:basedOn w:val="Normal"/>
    <w:qFormat/>
    <w:rsid w:val="000B3D09"/>
    <w:pPr>
      <w:numPr>
        <w:ilvl w:val="6"/>
        <w:numId w:val="10"/>
      </w:numPr>
      <w:spacing w:before="80" w:after="80"/>
      <w:jc w:val="left"/>
    </w:pPr>
    <w:rPr>
      <w:sz w:val="20"/>
    </w:rPr>
  </w:style>
  <w:style w:type="paragraph" w:customStyle="1" w:styleId="Roman">
    <w:name w:val="Roman"/>
    <w:basedOn w:val="Normal"/>
    <w:qFormat/>
    <w:rsid w:val="00E52CAF"/>
    <w:pPr>
      <w:spacing w:before="90" w:line="240" w:lineRule="auto"/>
      <w:ind w:left="1701" w:hanging="567"/>
      <w:jc w:val="left"/>
    </w:pPr>
    <w:rPr>
      <w:rFonts w:ascii="Segoe UI" w:hAnsi="Segoe UI"/>
      <w:sz w:val="21"/>
    </w:rPr>
  </w:style>
  <w:style w:type="paragraph" w:styleId="BalloonText">
    <w:name w:val="Balloon Text"/>
    <w:basedOn w:val="Normal"/>
    <w:link w:val="BalloonTextChar"/>
    <w:uiPriority w:val="99"/>
    <w:semiHidden/>
    <w:unhideWhenUsed/>
    <w:rsid w:val="00764E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EAB"/>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E26F82"/>
    <w:rPr>
      <w:sz w:val="16"/>
      <w:szCs w:val="16"/>
    </w:rPr>
  </w:style>
  <w:style w:type="paragraph" w:styleId="CommentText">
    <w:name w:val="annotation text"/>
    <w:basedOn w:val="Normal"/>
    <w:link w:val="CommentTextChar"/>
    <w:uiPriority w:val="99"/>
    <w:semiHidden/>
    <w:unhideWhenUsed/>
    <w:rsid w:val="00E26F82"/>
    <w:pPr>
      <w:spacing w:line="240" w:lineRule="auto"/>
    </w:pPr>
    <w:rPr>
      <w:sz w:val="20"/>
    </w:rPr>
  </w:style>
  <w:style w:type="character" w:customStyle="1" w:styleId="CommentTextChar">
    <w:name w:val="Comment Text Char"/>
    <w:basedOn w:val="DefaultParagraphFont"/>
    <w:link w:val="CommentText"/>
    <w:uiPriority w:val="99"/>
    <w:semiHidden/>
    <w:rsid w:val="00E26F82"/>
    <w:rPr>
      <w:rFonts w:ascii="Arial" w:hAnsi="Arial"/>
      <w:lang w:eastAsia="en-GB"/>
    </w:rPr>
  </w:style>
  <w:style w:type="paragraph" w:styleId="CommentSubject">
    <w:name w:val="annotation subject"/>
    <w:basedOn w:val="CommentText"/>
    <w:next w:val="CommentText"/>
    <w:link w:val="CommentSubjectChar"/>
    <w:uiPriority w:val="99"/>
    <w:semiHidden/>
    <w:unhideWhenUsed/>
    <w:rsid w:val="00E26F82"/>
    <w:rPr>
      <w:b/>
      <w:bCs/>
    </w:rPr>
  </w:style>
  <w:style w:type="character" w:customStyle="1" w:styleId="CommentSubjectChar">
    <w:name w:val="Comment Subject Char"/>
    <w:basedOn w:val="CommentTextChar"/>
    <w:link w:val="CommentSubject"/>
    <w:uiPriority w:val="99"/>
    <w:semiHidden/>
    <w:rsid w:val="00E26F82"/>
    <w:rPr>
      <w:rFonts w:ascii="Arial" w:hAnsi="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oter" Target="footer15.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jpeg"/><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cart@moh.govt.nz" TargetMode="External"/><Relationship Id="rId32" Type="http://schemas.openxmlformats.org/officeDocument/2006/relationships/footer" Target="footer11.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header" Target="header10.xml"/></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_rels/footer11.xml.rels><?xml version="1.0" encoding="UTF-8" standalone="yes"?>
<Relationships xmlns="http://schemas.openxmlformats.org/package/2006/relationships"><Relationship Id="rId1" Type="http://schemas.openxmlformats.org/officeDocument/2006/relationships/image" Target="media/image5.jpeg"/></Relationships>
</file>

<file path=word/_rels/footer12.xml.rels><?xml version="1.0" encoding="UTF-8" standalone="yes"?>
<Relationships xmlns="http://schemas.openxmlformats.org/package/2006/relationships"><Relationship Id="rId1" Type="http://schemas.openxmlformats.org/officeDocument/2006/relationships/image" Target="media/image4.jpeg"/></Relationships>
</file>

<file path=word/_rels/footer13.xml.rels><?xml version="1.0" encoding="UTF-8" standalone="yes"?>
<Relationships xmlns="http://schemas.openxmlformats.org/package/2006/relationships"><Relationship Id="rId1" Type="http://schemas.openxmlformats.org/officeDocument/2006/relationships/image" Target="media/image4.jpeg"/></Relationships>
</file>

<file path=word/_rels/footer14.xml.rels><?xml version="1.0" encoding="UTF-8" standalone="yes"?>
<Relationships xmlns="http://schemas.openxmlformats.org/package/2006/relationships"><Relationship Id="rId1" Type="http://schemas.openxmlformats.org/officeDocument/2006/relationships/image" Target="media/image5.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4.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5.xml.rels><?xml version="1.0" encoding="UTF-8" standalone="yes"?>
<Relationships xmlns="http://schemas.openxmlformats.org/package/2006/relationships"><Relationship Id="rId1" Type="http://schemas.openxmlformats.org/officeDocument/2006/relationships/image" Target="media/image3.wmf"/></Relationships>
</file>

<file path=word/_rels/header7.xml.rels><?xml version="1.0" encoding="UTF-8" standalone="yes"?>
<Relationships xmlns="http://schemas.openxmlformats.org/package/2006/relationships"><Relationship Id="rId1" Type="http://schemas.openxmlformats.org/officeDocument/2006/relationships/image" Target="media/image3.wmf"/></Relationships>
</file>

<file path=word/_rels/header9.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A18D-01F7-480A-8232-FDB7A1E20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402B4-91D8-4E9D-A417-818524616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327739-F1B9-4147-B3AC-859E28124CFB}">
  <ds:schemaRefs>
    <ds:schemaRef ds:uri="http://schemas.microsoft.com/sharepoint/v3/contenttype/forms"/>
  </ds:schemaRefs>
</ds:datastoreItem>
</file>

<file path=customXml/itemProps4.xml><?xml version="1.0" encoding="utf-8"?>
<ds:datastoreItem xmlns:ds="http://schemas.openxmlformats.org/officeDocument/2006/customXml" ds:itemID="{A4DD3EEB-DD43-4236-B232-C8523158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Report Sans Serif Body</Template>
  <TotalTime>8</TotalTime>
  <Pages>28</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Proposed Guidelines for the Posthumous Use of Gametes, Reproductive Tissue and Stored Embryos. Stage Two Consultation: Submissions Analysis</vt:lpstr>
    </vt:vector>
  </TitlesOfParts>
  <Company>Wordprocessing Services</Company>
  <LinksUpToDate>false</LinksUpToDate>
  <CharactersWithSpaces>46568</CharactersWithSpaces>
  <SharedDoc>false</SharedDoc>
  <HLinks>
    <vt:vector size="42" baseType="variant">
      <vt:variant>
        <vt:i4>4194371</vt:i4>
      </vt:variant>
      <vt:variant>
        <vt:i4>84</vt:i4>
      </vt:variant>
      <vt:variant>
        <vt:i4>0</vt:i4>
      </vt:variant>
      <vt:variant>
        <vt:i4>5</vt:i4>
      </vt:variant>
      <vt:variant>
        <vt:lpwstr>http://www.legislation.govt.nz/act/public/2004/0092/latest/link.aspx?id=DLM209079</vt:lpwstr>
      </vt:variant>
      <vt:variant>
        <vt:lpwstr/>
      </vt:variant>
      <vt:variant>
        <vt:i4>7340144</vt:i4>
      </vt:variant>
      <vt:variant>
        <vt:i4>15</vt:i4>
      </vt:variant>
      <vt:variant>
        <vt:i4>0</vt:i4>
      </vt:variant>
      <vt:variant>
        <vt:i4>5</vt:i4>
      </vt:variant>
      <vt:variant>
        <vt:lpwstr>http://www.legislation.govt.nz/</vt:lpwstr>
      </vt:variant>
      <vt:variant>
        <vt:lpwstr/>
      </vt:variant>
      <vt:variant>
        <vt:i4>5374027</vt:i4>
      </vt:variant>
      <vt:variant>
        <vt:i4>12</vt:i4>
      </vt:variant>
      <vt:variant>
        <vt:i4>0</vt:i4>
      </vt:variant>
      <vt:variant>
        <vt:i4>5</vt:i4>
      </vt:variant>
      <vt:variant>
        <vt:lpwstr>http://www.ecart.health.govt.nz/</vt:lpwstr>
      </vt:variant>
      <vt:variant>
        <vt:lpwstr/>
      </vt:variant>
      <vt:variant>
        <vt:i4>5636171</vt:i4>
      </vt:variant>
      <vt:variant>
        <vt:i4>9</vt:i4>
      </vt:variant>
      <vt:variant>
        <vt:i4>0</vt:i4>
      </vt:variant>
      <vt:variant>
        <vt:i4>5</vt:i4>
      </vt:variant>
      <vt:variant>
        <vt:lpwstr>http://www.acart.health.govt.nz/</vt:lpwstr>
      </vt:variant>
      <vt:variant>
        <vt:lpwstr/>
      </vt:variant>
      <vt:variant>
        <vt:i4>5636171</vt:i4>
      </vt:variant>
      <vt:variant>
        <vt:i4>6</vt:i4>
      </vt:variant>
      <vt:variant>
        <vt:i4>0</vt:i4>
      </vt:variant>
      <vt:variant>
        <vt:i4>5</vt:i4>
      </vt:variant>
      <vt:variant>
        <vt:lpwstr>http://www.acart.health.govt.nz/</vt:lpwstr>
      </vt:variant>
      <vt:variant>
        <vt:lpwstr/>
      </vt:variant>
      <vt:variant>
        <vt:i4>5636143</vt:i4>
      </vt:variant>
      <vt:variant>
        <vt:i4>3</vt:i4>
      </vt:variant>
      <vt:variant>
        <vt:i4>0</vt:i4>
      </vt:variant>
      <vt:variant>
        <vt:i4>5</vt:i4>
      </vt:variant>
      <vt:variant>
        <vt:lpwstr>mailto:acart@moh.govt.nz</vt:lpwstr>
      </vt:variant>
      <vt:variant>
        <vt:lpwstr/>
      </vt:variant>
      <vt:variant>
        <vt:i4>5636114</vt:i4>
      </vt:variant>
      <vt:variant>
        <vt:i4>0</vt:i4>
      </vt:variant>
      <vt:variant>
        <vt:i4>0</vt:i4>
      </vt:variant>
      <vt:variant>
        <vt:i4>5</vt:i4>
      </vt:variant>
      <vt:variant>
        <vt:lpwstr>http://acart.health.govt.nz/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Guidelines for the Posthumous Use of Gametes, Reproductive Tissue and Stored Embryos. Stage Two Consultation: Submissions Analysis</dc:title>
  <dc:creator>ACART</dc:creator>
  <cp:lastModifiedBy>Hayley Robertson</cp:lastModifiedBy>
  <cp:revision>3</cp:revision>
  <cp:lastPrinted>2021-03-18T21:19:00Z</cp:lastPrinted>
  <dcterms:created xsi:type="dcterms:W3CDTF">2021-03-18T21:19:00Z</dcterms:created>
  <dcterms:modified xsi:type="dcterms:W3CDTF">2021-03-18T21:20:00Z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