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D16" w:rsidRDefault="001B4D16" w:rsidP="000407A2">
      <w:pPr>
        <w:pStyle w:val="Title"/>
      </w:pPr>
      <w:r>
        <w:t>Advisory Committee on Assisted Reproductive Technology</w:t>
      </w:r>
    </w:p>
    <w:p w:rsidR="00C86248" w:rsidRDefault="001B4D16" w:rsidP="000407A2">
      <w:pPr>
        <w:pStyle w:val="Title"/>
      </w:pPr>
      <w:r>
        <w:t>Annual Report 201</w:t>
      </w:r>
      <w:r w:rsidR="00555DD0">
        <w:t>3</w:t>
      </w:r>
      <w:r w:rsidR="006A17F5">
        <w:t>/1</w:t>
      </w:r>
      <w:r w:rsidR="00555DD0">
        <w:t>4</w:t>
      </w:r>
    </w:p>
    <w:p w:rsidR="000407A2" w:rsidRDefault="000407A2" w:rsidP="000407A2">
      <w:pPr>
        <w:rPr>
          <w:highlight w:val="green"/>
        </w:rPr>
        <w:sectPr w:rsidR="000407A2" w:rsidSect="00B61609">
          <w:footerReference w:type="even" r:id="rId8"/>
          <w:footerReference w:type="first" r:id="rId9"/>
          <w:pgSz w:w="11907" w:h="16834" w:code="9"/>
          <w:pgMar w:top="9923" w:right="1134" w:bottom="1134" w:left="1985" w:header="0" w:footer="0" w:gutter="0"/>
          <w:cols w:space="720"/>
        </w:sectPr>
      </w:pPr>
    </w:p>
    <w:p w:rsidR="00B61609" w:rsidRPr="000407A2" w:rsidRDefault="00B61609" w:rsidP="000E5491">
      <w:pPr>
        <w:pStyle w:val="Imprint"/>
        <w:rPr>
          <w:szCs w:val="22"/>
        </w:rPr>
      </w:pPr>
      <w:r w:rsidRPr="004D655D">
        <w:lastRenderedPageBreak/>
        <w:t xml:space="preserve">Citation: </w:t>
      </w:r>
      <w:r w:rsidR="001B4D16">
        <w:t>ACART. 201</w:t>
      </w:r>
      <w:r w:rsidR="00555DD0">
        <w:t>5</w:t>
      </w:r>
      <w:r w:rsidR="001B4D16">
        <w:t xml:space="preserve">. </w:t>
      </w:r>
      <w:r w:rsidRPr="001B4D16">
        <w:rPr>
          <w:i/>
        </w:rPr>
        <w:t>Advisory Committee on Assisted Reproductive Technology</w:t>
      </w:r>
      <w:r w:rsidR="001B4D16">
        <w:rPr>
          <w:i/>
        </w:rPr>
        <w:t>: Annual report 201</w:t>
      </w:r>
      <w:r w:rsidR="00555DD0">
        <w:rPr>
          <w:i/>
        </w:rPr>
        <w:t>3</w:t>
      </w:r>
      <w:r w:rsidR="006A17F5">
        <w:rPr>
          <w:i/>
        </w:rPr>
        <w:t>/1</w:t>
      </w:r>
      <w:r w:rsidR="00555DD0">
        <w:rPr>
          <w:i/>
        </w:rPr>
        <w:t>4</w:t>
      </w:r>
      <w:r w:rsidR="00282A22" w:rsidRPr="001B4D16">
        <w:t>.</w:t>
      </w:r>
      <w:r w:rsidR="001B4D16" w:rsidRPr="001B4D16">
        <w:t xml:space="preserve"> </w:t>
      </w:r>
      <w:smartTag w:uri="urn:schemas-microsoft-com:office:smarttags" w:element="place">
        <w:smartTag w:uri="urn:schemas-microsoft-com:office:smarttags" w:element="City">
          <w:r w:rsidRPr="000407A2">
            <w:rPr>
              <w:szCs w:val="22"/>
            </w:rPr>
            <w:t>Wellington</w:t>
          </w:r>
        </w:smartTag>
      </w:smartTag>
      <w:r w:rsidRPr="000407A2">
        <w:rPr>
          <w:szCs w:val="22"/>
        </w:rPr>
        <w:t>: Advisory Committee on Assisted Reproductive Technology.</w:t>
      </w:r>
    </w:p>
    <w:p w:rsidR="00C86248" w:rsidRPr="000407A2" w:rsidRDefault="00C86248" w:rsidP="000E5491">
      <w:pPr>
        <w:pStyle w:val="Imprint"/>
        <w:rPr>
          <w:szCs w:val="22"/>
        </w:rPr>
      </w:pPr>
      <w:r w:rsidRPr="000407A2">
        <w:rPr>
          <w:szCs w:val="22"/>
        </w:rPr>
        <w:t xml:space="preserve">Published in </w:t>
      </w:r>
      <w:r w:rsidR="002D1997">
        <w:rPr>
          <w:szCs w:val="22"/>
        </w:rPr>
        <w:t>July</w:t>
      </w:r>
      <w:r w:rsidR="00555DD0">
        <w:rPr>
          <w:szCs w:val="22"/>
        </w:rPr>
        <w:t xml:space="preserve"> 2015</w:t>
      </w:r>
      <w:r w:rsidR="00B61609" w:rsidRPr="000407A2">
        <w:rPr>
          <w:szCs w:val="22"/>
        </w:rPr>
        <w:br/>
      </w:r>
      <w:r w:rsidRPr="000407A2">
        <w:rPr>
          <w:szCs w:val="22"/>
        </w:rPr>
        <w:t>by the</w:t>
      </w:r>
      <w:r w:rsidR="00B61609" w:rsidRPr="000407A2">
        <w:rPr>
          <w:szCs w:val="22"/>
        </w:rPr>
        <w:t xml:space="preserve"> Advisory Committee on Assisted Reproductive Technology</w:t>
      </w:r>
      <w:r w:rsidRPr="000407A2">
        <w:rPr>
          <w:szCs w:val="22"/>
        </w:rPr>
        <w:br/>
        <w:t>PO Box 5013, Wellington</w:t>
      </w:r>
      <w:r w:rsidR="000C2851" w:rsidRPr="000407A2">
        <w:rPr>
          <w:szCs w:val="22"/>
        </w:rPr>
        <w:t xml:space="preserve"> 6145</w:t>
      </w:r>
      <w:r w:rsidRPr="000407A2">
        <w:rPr>
          <w:szCs w:val="22"/>
        </w:rPr>
        <w:t>, New Zealand</w:t>
      </w:r>
    </w:p>
    <w:p w:rsidR="001D0E1C" w:rsidRPr="000407A2" w:rsidRDefault="00C86248" w:rsidP="000E5491">
      <w:pPr>
        <w:pStyle w:val="Imprint"/>
        <w:rPr>
          <w:szCs w:val="22"/>
        </w:rPr>
      </w:pPr>
      <w:r w:rsidRPr="000407A2">
        <w:rPr>
          <w:szCs w:val="22"/>
        </w:rPr>
        <w:t>ISBN</w:t>
      </w:r>
      <w:r w:rsidR="00B61609" w:rsidRPr="000407A2">
        <w:rPr>
          <w:szCs w:val="22"/>
        </w:rPr>
        <w:t>:</w:t>
      </w:r>
      <w:r w:rsidRPr="000407A2">
        <w:rPr>
          <w:szCs w:val="22"/>
        </w:rPr>
        <w:t xml:space="preserve"> </w:t>
      </w:r>
      <w:r w:rsidR="009F7589">
        <w:rPr>
          <w:szCs w:val="22"/>
        </w:rPr>
        <w:t>978-0-478</w:t>
      </w:r>
      <w:r w:rsidR="00555DD0">
        <w:rPr>
          <w:szCs w:val="22"/>
        </w:rPr>
        <w:t>-</w:t>
      </w:r>
      <w:r w:rsidR="009F7589">
        <w:rPr>
          <w:szCs w:val="22"/>
        </w:rPr>
        <w:t>4</w:t>
      </w:r>
      <w:r w:rsidR="00555DD0">
        <w:rPr>
          <w:szCs w:val="22"/>
        </w:rPr>
        <w:t>4492</w:t>
      </w:r>
      <w:r w:rsidR="009F7589">
        <w:rPr>
          <w:szCs w:val="22"/>
        </w:rPr>
        <w:t>-</w:t>
      </w:r>
      <w:r w:rsidR="00555DD0">
        <w:rPr>
          <w:szCs w:val="22"/>
        </w:rPr>
        <w:t>6</w:t>
      </w:r>
      <w:r w:rsidR="009F7589">
        <w:rPr>
          <w:szCs w:val="22"/>
        </w:rPr>
        <w:t xml:space="preserve"> (online)</w:t>
      </w:r>
      <w:r w:rsidR="001B4D16">
        <w:rPr>
          <w:szCs w:val="22"/>
        </w:rPr>
        <w:br/>
      </w:r>
      <w:r w:rsidR="00B236BF">
        <w:rPr>
          <w:szCs w:val="22"/>
        </w:rPr>
        <w:t xml:space="preserve">HP </w:t>
      </w:r>
      <w:r w:rsidR="00555DD0">
        <w:rPr>
          <w:szCs w:val="22"/>
        </w:rPr>
        <w:t>6133</w:t>
      </w:r>
    </w:p>
    <w:p w:rsidR="00C86248" w:rsidRPr="000407A2" w:rsidRDefault="00C86248" w:rsidP="000E5491">
      <w:pPr>
        <w:pStyle w:val="Imprint"/>
        <w:rPr>
          <w:szCs w:val="22"/>
        </w:rPr>
      </w:pPr>
      <w:r w:rsidRPr="000407A2">
        <w:rPr>
          <w:szCs w:val="22"/>
        </w:rPr>
        <w:t xml:space="preserve">This document is available on the </w:t>
      </w:r>
      <w:r w:rsidR="00B61609" w:rsidRPr="000407A2">
        <w:rPr>
          <w:szCs w:val="22"/>
        </w:rPr>
        <w:t xml:space="preserve">ACART </w:t>
      </w:r>
      <w:r w:rsidRPr="000407A2">
        <w:rPr>
          <w:szCs w:val="22"/>
        </w:rPr>
        <w:t>website:</w:t>
      </w:r>
      <w:r w:rsidRPr="000407A2">
        <w:rPr>
          <w:szCs w:val="22"/>
        </w:rPr>
        <w:br/>
        <w:t>www.</w:t>
      </w:r>
      <w:r w:rsidR="00B61609" w:rsidRPr="000407A2">
        <w:rPr>
          <w:szCs w:val="22"/>
        </w:rPr>
        <w:t>acart</w:t>
      </w:r>
      <w:r w:rsidRPr="000407A2">
        <w:rPr>
          <w:szCs w:val="22"/>
        </w:rPr>
        <w:t>.</w:t>
      </w:r>
      <w:r w:rsidR="00B61609" w:rsidRPr="000407A2">
        <w:rPr>
          <w:szCs w:val="22"/>
        </w:rPr>
        <w:t>health.</w:t>
      </w:r>
      <w:r w:rsidRPr="000407A2">
        <w:rPr>
          <w:szCs w:val="22"/>
        </w:rPr>
        <w:t>govt.nz</w:t>
      </w:r>
    </w:p>
    <w:p w:rsidR="00C86248" w:rsidRPr="004D655D" w:rsidRDefault="00184390" w:rsidP="001B4D16">
      <w:pPr>
        <w:spacing w:before="360"/>
        <w:jc w:val="center"/>
      </w:pPr>
      <w:r>
        <w:rPr>
          <w:rFonts w:cs="Arial Mäori"/>
          <w:noProof/>
          <w:lang w:eastAsia="en-NZ"/>
        </w:rPr>
        <w:drawing>
          <wp:inline distT="0" distB="0" distL="0" distR="0" wp14:anchorId="337D7BA7" wp14:editId="6FFD8ADC">
            <wp:extent cx="1762125" cy="48196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481965"/>
                    </a:xfrm>
                    <a:prstGeom prst="rect">
                      <a:avLst/>
                    </a:prstGeom>
                    <a:noFill/>
                    <a:ln>
                      <a:noFill/>
                    </a:ln>
                  </pic:spPr>
                </pic:pic>
              </a:graphicData>
            </a:graphic>
          </wp:inline>
        </w:drawing>
      </w:r>
    </w:p>
    <w:p w:rsidR="00C86248" w:rsidRPr="004D655D" w:rsidRDefault="00C86248" w:rsidP="00A66034">
      <w:pPr>
        <w:sectPr w:rsidR="00C86248" w:rsidRPr="004D655D" w:rsidSect="000407A2">
          <w:pgSz w:w="11907" w:h="16834" w:code="9"/>
          <w:pgMar w:top="9923" w:right="1134" w:bottom="1134" w:left="1985" w:header="0" w:footer="0" w:gutter="0"/>
          <w:cols w:space="720"/>
        </w:sectPr>
      </w:pPr>
    </w:p>
    <w:p w:rsidR="005F4B1B" w:rsidRPr="005F4B1B" w:rsidRDefault="0096438A" w:rsidP="005F4B1B">
      <w:pPr>
        <w:pStyle w:val="Heading1"/>
      </w:pPr>
      <w:bookmarkStart w:id="0" w:name="_Toc405792989"/>
      <w:bookmarkStart w:id="1" w:name="_Toc405793222"/>
      <w:bookmarkStart w:id="2" w:name="_Toc203291117"/>
      <w:bookmarkStart w:id="3" w:name="_Toc411328309"/>
      <w:r w:rsidRPr="00796AE8">
        <w:lastRenderedPageBreak/>
        <w:t>F</w:t>
      </w:r>
      <w:r w:rsidR="00451597" w:rsidRPr="00796AE8">
        <w:t>oreword</w:t>
      </w:r>
      <w:bookmarkEnd w:id="0"/>
      <w:bookmarkEnd w:id="1"/>
      <w:bookmarkEnd w:id="2"/>
      <w:bookmarkEnd w:id="3"/>
    </w:p>
    <w:p w:rsidR="00555DD0" w:rsidRDefault="00555DD0" w:rsidP="00555DD0">
      <w:r w:rsidRPr="00BE4553">
        <w:t>ACART undertook a considerable amount of work in the 2013–2014 year for a committee of its size, and I am pleased to report that several significant projects have been completed.</w:t>
      </w:r>
    </w:p>
    <w:p w:rsidR="00555DD0" w:rsidRPr="00BE4553" w:rsidRDefault="00555DD0" w:rsidP="00555DD0"/>
    <w:p w:rsidR="00555DD0" w:rsidRPr="00BE4553" w:rsidRDefault="009F71B1" w:rsidP="00555DD0">
      <w:r>
        <w:t xml:space="preserve">In December 2013 we issued </w:t>
      </w:r>
      <w:r w:rsidR="00555DD0" w:rsidRPr="00555DD0">
        <w:rPr>
          <w:rFonts w:eastAsia="Calibri"/>
          <w:i/>
        </w:rPr>
        <w:t>Guidelines on Surrogacy involving Assisted Reproductive Procedures</w:t>
      </w:r>
      <w:r w:rsidR="00555DD0" w:rsidRPr="00555DD0">
        <w:rPr>
          <w:rFonts w:eastAsia="Calibri"/>
          <w:b/>
          <w:i/>
        </w:rPr>
        <w:t xml:space="preserve"> </w:t>
      </w:r>
      <w:r w:rsidR="00555DD0" w:rsidRPr="00555DD0">
        <w:rPr>
          <w:rFonts w:eastAsia="Calibri"/>
          <w:i/>
        </w:rPr>
        <w:t>and</w:t>
      </w:r>
      <w:r w:rsidR="00555DD0" w:rsidRPr="00555DD0">
        <w:rPr>
          <w:rFonts w:eastAsia="Calibri"/>
          <w:b/>
          <w:i/>
        </w:rPr>
        <w:t xml:space="preserve"> </w:t>
      </w:r>
      <w:r w:rsidR="00555DD0" w:rsidRPr="00555DD0">
        <w:rPr>
          <w:rFonts w:eastAsia="Calibri"/>
          <w:i/>
        </w:rPr>
        <w:t>Guidelines</w:t>
      </w:r>
      <w:r w:rsidR="00555DD0" w:rsidRPr="00555DD0">
        <w:rPr>
          <w:rFonts w:eastAsia="Calibri"/>
          <w:i/>
          <w:lang w:eastAsia="en-US"/>
        </w:rPr>
        <w:t xml:space="preserve"> on Donation of Eggs or Sperm between Certain Family Members</w:t>
      </w:r>
      <w:r w:rsidR="00555DD0" w:rsidRPr="00BE4553">
        <w:rPr>
          <w:rFonts w:eastAsia="Calibri"/>
          <w:lang w:eastAsia="en-US"/>
        </w:rPr>
        <w:t>, meeting the commitments made in response to the complaint to the Human Rights Commission in 2011 to review and if necessary amend the</w:t>
      </w:r>
      <w:r>
        <w:rPr>
          <w:rFonts w:eastAsia="Calibri"/>
          <w:lang w:eastAsia="en-US"/>
        </w:rPr>
        <w:t xml:space="preserve"> surrogacy</w:t>
      </w:r>
      <w:r w:rsidR="00555DD0" w:rsidRPr="00BE4553">
        <w:rPr>
          <w:rFonts w:eastAsia="Calibri"/>
          <w:lang w:eastAsia="en-US"/>
        </w:rPr>
        <w:t xml:space="preserve"> guidelines to remove unjustified discrimination on the grounds of sex and sexual orientation. In June 2014 consultation with the Minister of Health was completed on </w:t>
      </w:r>
      <w:r w:rsidR="00555DD0" w:rsidRPr="00555DD0">
        <w:rPr>
          <w:i/>
        </w:rPr>
        <w:t xml:space="preserve">Guidelines on Preimplantation Genetic Diagnosis with Human Leucocyte Antigen </w:t>
      </w:r>
      <w:r w:rsidR="00555DD0">
        <w:rPr>
          <w:i/>
        </w:rPr>
        <w:t>T</w:t>
      </w:r>
      <w:r w:rsidR="00555DD0" w:rsidRPr="00555DD0">
        <w:rPr>
          <w:i/>
        </w:rPr>
        <w:t xml:space="preserve">issue </w:t>
      </w:r>
      <w:r w:rsidR="00555DD0">
        <w:rPr>
          <w:i/>
        </w:rPr>
        <w:t>T</w:t>
      </w:r>
      <w:r w:rsidR="00555DD0" w:rsidRPr="00555DD0">
        <w:rPr>
          <w:i/>
        </w:rPr>
        <w:t>yping</w:t>
      </w:r>
      <w:r w:rsidR="00555DD0" w:rsidRPr="00BE4553">
        <w:t>. The guidelines were issued in August 2014.</w:t>
      </w:r>
    </w:p>
    <w:p w:rsidR="00555DD0" w:rsidRDefault="00555DD0" w:rsidP="00555DD0"/>
    <w:p w:rsidR="00555DD0" w:rsidRPr="00BE4553" w:rsidRDefault="00555DD0" w:rsidP="00555DD0">
      <w:r w:rsidRPr="00BE4553">
        <w:t xml:space="preserve">Another major piece of work, almost completed, has been the preparation of advice to the Minister of Health on </w:t>
      </w:r>
      <w:r w:rsidRPr="009F71B1">
        <w:t>the import and export of gametes and embryos for human reproductive research and human assisted reproductive procedures</w:t>
      </w:r>
      <w:r w:rsidRPr="00BE4553">
        <w:rPr>
          <w:i/>
        </w:rPr>
        <w:t xml:space="preserve">. </w:t>
      </w:r>
      <w:r w:rsidRPr="00BE4553">
        <w:t xml:space="preserve">This work has grown in importance as more New Zealand couples seek fertility treatment overseas, and then seek to bring embryos </w:t>
      </w:r>
      <w:r w:rsidRPr="00BE4553">
        <w:rPr>
          <w:i/>
        </w:rPr>
        <w:t>in vitro</w:t>
      </w:r>
      <w:r w:rsidRPr="00BE4553">
        <w:t xml:space="preserve"> back into New Zealand. The advice, which was informed </w:t>
      </w:r>
      <w:r>
        <w:t>by</w:t>
      </w:r>
      <w:r w:rsidRPr="00BE4553">
        <w:t xml:space="preserve"> two rounds of consultation with stakeholders, is being finalised for presentation to the Minister of Health by the end of the year.</w:t>
      </w:r>
    </w:p>
    <w:p w:rsidR="00555DD0" w:rsidRDefault="00555DD0" w:rsidP="00555DD0"/>
    <w:p w:rsidR="00555DD0" w:rsidRPr="00BE4553" w:rsidRDefault="00555DD0" w:rsidP="00555DD0">
      <w:r>
        <w:t>ACART</w:t>
      </w:r>
      <w:r w:rsidR="000D459B">
        <w:t>’</w:t>
      </w:r>
      <w:r>
        <w:t xml:space="preserve">s </w:t>
      </w:r>
      <w:r w:rsidRPr="00BE4553">
        <w:t>work takes place in a world where assisted reproductive technologies,</w:t>
      </w:r>
      <w:r w:rsidR="000D459B">
        <w:t xml:space="preserve"> </w:t>
      </w:r>
      <w:r w:rsidRPr="00BE4553">
        <w:t>processes and practices are changing fast.</w:t>
      </w:r>
      <w:r>
        <w:t xml:space="preserve"> </w:t>
      </w:r>
      <w:r w:rsidRPr="00BE4553">
        <w:t>Over the past two or three years advances in egg freezing have opened up the possibility of women insuring against later loss of fertility</w:t>
      </w:r>
      <w:r>
        <w:t xml:space="preserve"> </w:t>
      </w:r>
      <w:r w:rsidRPr="00BE4553">
        <w:t>by storing eggs when they are younger.</w:t>
      </w:r>
      <w:r>
        <w:t xml:space="preserve"> </w:t>
      </w:r>
      <w:r w:rsidRPr="00BE4553">
        <w:t>The use of cryopreserved ovarian and testicular tissue for fertility purpo</w:t>
      </w:r>
      <w:r>
        <w:t>ses is growing</w:t>
      </w:r>
      <w:r w:rsidRPr="00BE4553">
        <w:t xml:space="preserve"> and the Committee has sought expert advice as part of keeping a watching brief on when it might be appropriate to consider guidelines for use in New Zealand. The processes </w:t>
      </w:r>
      <w:r>
        <w:t>of pre</w:t>
      </w:r>
      <w:r w:rsidRPr="00BE4553">
        <w:t>implantation genetic diagnosis are becoming less expensive and it</w:t>
      </w:r>
      <w:r>
        <w:t>s</w:t>
      </w:r>
      <w:r w:rsidRPr="00BE4553">
        <w:t xml:space="preserve"> use is likely to increase.</w:t>
      </w:r>
      <w:r>
        <w:t xml:space="preserve"> </w:t>
      </w:r>
      <w:r w:rsidRPr="00BE4553">
        <w:t>Access to and the regulation of surrogacy in countries accessible</w:t>
      </w:r>
      <w:r>
        <w:t xml:space="preserve"> to</w:t>
      </w:r>
      <w:r w:rsidRPr="00BE4553">
        <w:t xml:space="preserve"> and used by New Zealanders for </w:t>
      </w:r>
      <w:proofErr w:type="spellStart"/>
      <w:r w:rsidRPr="00BE4553">
        <w:t>transborder</w:t>
      </w:r>
      <w:proofErr w:type="spellEnd"/>
      <w:r w:rsidRPr="00BE4553">
        <w:t xml:space="preserve"> reproduction is constantly changing. In the research domain there is pressure to widen the range of research able to be done in New Zealand, where the constraint in the current guidelines on research on viable embryos has proved a barrier to building knowledge through clinical trials.</w:t>
      </w:r>
    </w:p>
    <w:p w:rsidR="00555DD0" w:rsidRDefault="00555DD0" w:rsidP="00555DD0"/>
    <w:p w:rsidR="00555DD0" w:rsidRPr="00BE4553" w:rsidRDefault="00555DD0" w:rsidP="00555DD0">
      <w:r w:rsidRPr="00BE4553">
        <w:t>In such a context the flexible regulatory regim</w:t>
      </w:r>
      <w:r>
        <w:t>e in New Zealand of laws, regulations</w:t>
      </w:r>
      <w:r w:rsidRPr="00BE4553">
        <w:t xml:space="preserve"> and guidelines has</w:t>
      </w:r>
      <w:r>
        <w:t xml:space="preserve"> its strengths. The ability for</w:t>
      </w:r>
      <w:r w:rsidRPr="00BE4553">
        <w:t xml:space="preserve"> changes to be made reflecting new knowledge and new practices without the requirement for legislative change is one such strength. On the other hand, such a process puts an obligation on a committee such as ACART to consult, to be open to different views and not</w:t>
      </w:r>
      <w:r>
        <w:t xml:space="preserve"> to adopt doctrinaire positons.</w:t>
      </w:r>
    </w:p>
    <w:p w:rsidR="00555DD0" w:rsidRDefault="00555DD0" w:rsidP="00555DD0"/>
    <w:p w:rsidR="00555DD0" w:rsidRPr="00BE4553" w:rsidRDefault="00555DD0" w:rsidP="00555DD0">
      <w:pPr>
        <w:keepLines/>
      </w:pPr>
      <w:r w:rsidRPr="00BE4553">
        <w:lastRenderedPageBreak/>
        <w:t>My time as Chair of ACART came to an end on 30 June 2014. It has been a privilege to undertake the role for the three years of my tenure. I am grateful to ACART members over that time for their commitment to the Committee</w:t>
      </w:r>
      <w:r w:rsidR="000D459B">
        <w:t>’</w:t>
      </w:r>
      <w:r w:rsidRPr="00BE4553">
        <w:t>s work and their willingness to provide both time and expertise. We have sought to make the workings of ACART more transparent to stakeholders and the general public. I have also sought to build a constructive relationship with providers. I wish to acknowledge their willingness to provide information, comment on proposa</w:t>
      </w:r>
      <w:r w:rsidR="00C71E30">
        <w:t>ls and work with the Committee.</w:t>
      </w:r>
    </w:p>
    <w:p w:rsidR="00C71E30" w:rsidRDefault="00C71E30" w:rsidP="00C71E30"/>
    <w:p w:rsidR="00555DD0" w:rsidRDefault="00555DD0" w:rsidP="00C71E30">
      <w:r w:rsidRPr="00BE4553">
        <w:t>In the course of its work in the period this report covers, ACART has worked closely with the Ethics Committee on Assisted Reproductive Technology (ECART), and the Ministry of Health. Our consultations with the outgoing Minister of Health have been frank and constructive. I have appreciated the time he has taken to understand and consider complex matters in what is in material terms a very small area of the health portfolio.</w:t>
      </w:r>
    </w:p>
    <w:p w:rsidR="00C71E30" w:rsidRPr="00BE4553" w:rsidRDefault="00C71E30" w:rsidP="00C71E30"/>
    <w:p w:rsidR="00555DD0" w:rsidRDefault="00555DD0" w:rsidP="00C71E30">
      <w:r w:rsidRPr="00BE4553">
        <w:t>I also wish to express my appreciation to those who have assisted ACART</w:t>
      </w:r>
      <w:r w:rsidR="000D459B">
        <w:t>’</w:t>
      </w:r>
      <w:r w:rsidRPr="00BE4553">
        <w:t>s work by responding to requests for submissions. Consumers, providers, members of various groups and organisations, and individual members of the public, have been most helpful: their feedback is a valuable contribution to our work in this past year.</w:t>
      </w:r>
    </w:p>
    <w:p w:rsidR="00C71E30" w:rsidRPr="00BE4553" w:rsidRDefault="00C71E30" w:rsidP="00C71E30"/>
    <w:p w:rsidR="00555DD0" w:rsidRPr="00BE4553" w:rsidRDefault="00555DD0" w:rsidP="00C71E30">
      <w:r w:rsidRPr="00BE4553">
        <w:t>The Committee has been very ably supported by the staff members in the Secretariat. I wish to record my appreciation of their hard work and high level of professionalism.</w:t>
      </w:r>
    </w:p>
    <w:p w:rsidR="00C71E30" w:rsidRDefault="00C71E30" w:rsidP="00C71E30"/>
    <w:p w:rsidR="00555DD0" w:rsidRDefault="00555DD0" w:rsidP="00C71E30">
      <w:r w:rsidRPr="00BE4553">
        <w:t xml:space="preserve">Finally I cannot let this opportunity pass without acknowledging the quality of the support work of </w:t>
      </w:r>
      <w:r>
        <w:t>Betty Ann Kelly, who leads the S</w:t>
      </w:r>
      <w:r w:rsidRPr="00BE4553">
        <w:t>ecretariat. She has brought an extraordinary range of knowledge and skills to her support of the Committee. I am pleased to be able pay tribute publically to her many attributes, which include her knowledge of the ART patch in New Zealand and overseas, the use she makes of her networks in the field in particular amongst academics and researchers, her ability to turn discursive ACART discussions into coherent papers, and her highly proficient and ethical management of the boundaries between the Committee and the Ministry.</w:t>
      </w:r>
      <w:r>
        <w:t xml:space="preserve"> </w:t>
      </w:r>
      <w:r w:rsidRPr="00BE4553">
        <w:t>Her work is outstanding, and ACART and the public of New Zealand benefit greatly from it.</w:t>
      </w:r>
    </w:p>
    <w:p w:rsidR="005F4B1B" w:rsidRPr="005F4B1B" w:rsidRDefault="005F4B1B" w:rsidP="00C71E30"/>
    <w:p w:rsidR="005F4B1B" w:rsidRPr="005F4B1B" w:rsidRDefault="00184390" w:rsidP="00654602">
      <w:pPr>
        <w:spacing w:line="240" w:lineRule="auto"/>
      </w:pPr>
      <w:r>
        <w:rPr>
          <w:noProof/>
          <w:lang w:eastAsia="en-NZ"/>
        </w:rPr>
        <w:drawing>
          <wp:inline distT="0" distB="0" distL="0" distR="0" wp14:anchorId="6CC507EA" wp14:editId="5DCD8EB9">
            <wp:extent cx="581660" cy="607060"/>
            <wp:effectExtent l="0" t="0" r="889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t="5804"/>
                    <a:stretch>
                      <a:fillRect/>
                    </a:stretch>
                  </pic:blipFill>
                  <pic:spPr bwMode="auto">
                    <a:xfrm>
                      <a:off x="0" y="0"/>
                      <a:ext cx="581660" cy="607060"/>
                    </a:xfrm>
                    <a:prstGeom prst="rect">
                      <a:avLst/>
                    </a:prstGeom>
                    <a:noFill/>
                    <a:ln>
                      <a:noFill/>
                    </a:ln>
                  </pic:spPr>
                </pic:pic>
              </a:graphicData>
            </a:graphic>
          </wp:inline>
        </w:drawing>
      </w:r>
    </w:p>
    <w:p w:rsidR="00096277" w:rsidRDefault="005F4B1B" w:rsidP="00654602">
      <w:pPr>
        <w:spacing w:line="240" w:lineRule="auto"/>
      </w:pPr>
      <w:r w:rsidRPr="005F4B1B">
        <w:t>Dr John Angus</w:t>
      </w:r>
    </w:p>
    <w:p w:rsidR="00476C69" w:rsidRPr="00476C69" w:rsidRDefault="00C71E30" w:rsidP="00654602">
      <w:pPr>
        <w:spacing w:line="240" w:lineRule="auto"/>
      </w:pPr>
      <w:r>
        <w:rPr>
          <w:b/>
        </w:rPr>
        <w:t xml:space="preserve">Retiring </w:t>
      </w:r>
      <w:r w:rsidR="005F4B1B" w:rsidRPr="00476C69">
        <w:rPr>
          <w:b/>
        </w:rPr>
        <w:t>Chair, Advisory Committee on Assisted Reproductive Technology</w:t>
      </w:r>
    </w:p>
    <w:p w:rsidR="005F4B1B" w:rsidRDefault="005F4B1B" w:rsidP="0088119F">
      <w:pPr>
        <w:rPr>
          <w:sz w:val="12"/>
          <w:szCs w:val="12"/>
        </w:rPr>
      </w:pPr>
    </w:p>
    <w:p w:rsidR="00C71E30" w:rsidRPr="0088119F" w:rsidRDefault="00C71E30" w:rsidP="0088119F">
      <w:pPr>
        <w:rPr>
          <w:sz w:val="12"/>
          <w:szCs w:val="12"/>
        </w:rPr>
      </w:pPr>
    </w:p>
    <w:p w:rsidR="002F174D" w:rsidRDefault="002F174D" w:rsidP="00372576">
      <w:pPr>
        <w:sectPr w:rsidR="002F174D" w:rsidSect="009F48DD">
          <w:headerReference w:type="even" r:id="rId12"/>
          <w:headerReference w:type="default" r:id="rId13"/>
          <w:footerReference w:type="even" r:id="rId14"/>
          <w:footerReference w:type="default" r:id="rId15"/>
          <w:headerReference w:type="first" r:id="rId16"/>
          <w:pgSz w:w="11907" w:h="16840" w:code="9"/>
          <w:pgMar w:top="1701" w:right="1418" w:bottom="1701" w:left="1701" w:header="0" w:footer="425" w:gutter="0"/>
          <w:pgNumType w:fmt="lowerRoman"/>
          <w:cols w:space="720"/>
          <w:titlePg/>
        </w:sectPr>
      </w:pPr>
    </w:p>
    <w:p w:rsidR="00C71E30" w:rsidRPr="00C71E30" w:rsidRDefault="00C71E30" w:rsidP="00C71E30">
      <w:pPr>
        <w:pStyle w:val="Box"/>
        <w:rPr>
          <w:rFonts w:eastAsia="Calibri"/>
          <w:b/>
          <w:lang w:eastAsia="en-US"/>
        </w:rPr>
      </w:pPr>
      <w:r w:rsidRPr="00C71E30">
        <w:rPr>
          <w:rFonts w:eastAsia="Calibri"/>
          <w:b/>
          <w:lang w:eastAsia="en-US"/>
        </w:rPr>
        <w:lastRenderedPageBreak/>
        <w:t>In memory o</w:t>
      </w:r>
      <w:r>
        <w:rPr>
          <w:rFonts w:eastAsia="Calibri"/>
          <w:b/>
          <w:lang w:eastAsia="en-US"/>
        </w:rPr>
        <w:t>f Dr John Angus MNZM, PhD (1948–</w:t>
      </w:r>
      <w:r w:rsidRPr="00C71E30">
        <w:rPr>
          <w:rFonts w:eastAsia="Calibri"/>
          <w:b/>
          <w:lang w:eastAsia="en-US"/>
        </w:rPr>
        <w:t>2015)</w:t>
      </w:r>
    </w:p>
    <w:p w:rsidR="00C71E30" w:rsidRPr="00DF3657" w:rsidRDefault="00C71E30" w:rsidP="00C71E30">
      <w:pPr>
        <w:pStyle w:val="Box"/>
        <w:rPr>
          <w:rFonts w:eastAsia="Calibri"/>
          <w:lang w:eastAsia="en-US"/>
        </w:rPr>
      </w:pPr>
      <w:r w:rsidRPr="00DF3657">
        <w:rPr>
          <w:rFonts w:eastAsia="Calibri"/>
          <w:lang w:eastAsia="en-US"/>
        </w:rPr>
        <w:t>John Angus was the Chair of ACART for the period of this Annual Report and oversaw its preparation, but died before publication.</w:t>
      </w:r>
    </w:p>
    <w:p w:rsidR="00C71E30" w:rsidRPr="00DF3657" w:rsidRDefault="00C71E30" w:rsidP="00C71E30">
      <w:pPr>
        <w:pStyle w:val="Box"/>
        <w:rPr>
          <w:rFonts w:eastAsia="Calibri"/>
          <w:lang w:eastAsia="en-US"/>
        </w:rPr>
      </w:pPr>
      <w:r w:rsidRPr="00DF3657">
        <w:rPr>
          <w:rFonts w:eastAsia="Calibri"/>
          <w:lang w:eastAsia="en-US"/>
        </w:rPr>
        <w:t>John became a member of ACART in 2011 when he was Children</w:t>
      </w:r>
      <w:r w:rsidR="000D459B">
        <w:rPr>
          <w:rFonts w:eastAsia="Calibri"/>
          <w:lang w:eastAsia="en-US"/>
        </w:rPr>
        <w:t>’</w:t>
      </w:r>
      <w:r w:rsidRPr="00DF3657">
        <w:rPr>
          <w:rFonts w:eastAsia="Calibri"/>
          <w:lang w:eastAsia="en-US"/>
        </w:rPr>
        <w:t>s Commissioner. When he retired from that role he continued as a member of ACART.</w:t>
      </w:r>
      <w:r w:rsidR="000D459B">
        <w:rPr>
          <w:rFonts w:eastAsia="Calibri"/>
          <w:lang w:eastAsia="en-US"/>
        </w:rPr>
        <w:t xml:space="preserve"> </w:t>
      </w:r>
      <w:r w:rsidRPr="00DF3657">
        <w:rPr>
          <w:rFonts w:eastAsia="Calibri"/>
          <w:lang w:eastAsia="en-US"/>
        </w:rPr>
        <w:t>He was appointed as Chair in 2012 and continued in the role until he stepped down in June 2014. He remained as a member until December 2014.</w:t>
      </w:r>
    </w:p>
    <w:p w:rsidR="00C71E30" w:rsidRPr="00DF3657" w:rsidRDefault="00C71E30" w:rsidP="00C71E30">
      <w:pPr>
        <w:pStyle w:val="Box"/>
        <w:rPr>
          <w:rFonts w:eastAsia="Calibri"/>
          <w:lang w:eastAsia="en-US"/>
        </w:rPr>
      </w:pPr>
      <w:r w:rsidRPr="00DF3657">
        <w:rPr>
          <w:rFonts w:eastAsia="Calibri"/>
          <w:lang w:eastAsia="en-US"/>
        </w:rPr>
        <w:t>As is evident from this annual report, ACART completed several major projects under John</w:t>
      </w:r>
      <w:r w:rsidR="000D459B">
        <w:rPr>
          <w:rFonts w:eastAsia="Calibri"/>
          <w:lang w:eastAsia="en-US"/>
        </w:rPr>
        <w:t>’</w:t>
      </w:r>
      <w:r w:rsidRPr="00DF3657">
        <w:rPr>
          <w:rFonts w:eastAsia="Calibri"/>
          <w:lang w:eastAsia="en-US"/>
        </w:rPr>
        <w:t>s leadership.</w:t>
      </w:r>
      <w:r>
        <w:rPr>
          <w:rFonts w:eastAsia="Calibri"/>
          <w:lang w:eastAsia="en-US"/>
        </w:rPr>
        <w:t xml:space="preserve"> </w:t>
      </w:r>
      <w:r w:rsidRPr="00DF3657">
        <w:rPr>
          <w:rFonts w:eastAsia="Calibri"/>
          <w:lang w:eastAsia="en-US"/>
        </w:rPr>
        <w:t>These included: developing an ethical framework for ACART, issuing guidelines on extending storage of gametes and embryos, amending surrogacy and family donation guidelines, amending guidelines on preimplantation genetic diagnosis with human leucocyte antigen</w:t>
      </w:r>
      <w:r>
        <w:rPr>
          <w:rFonts w:eastAsia="Calibri"/>
          <w:lang w:eastAsia="en-US"/>
        </w:rPr>
        <w:t xml:space="preserve"> tissue typing</w:t>
      </w:r>
      <w:r w:rsidRPr="00DF3657">
        <w:rPr>
          <w:rFonts w:eastAsia="Calibri"/>
          <w:lang w:eastAsia="en-US"/>
        </w:rPr>
        <w:t>, and advising the Minister of Health on requirements for importing and exporting gametes and embryos.</w:t>
      </w:r>
      <w:r w:rsidR="000D459B">
        <w:rPr>
          <w:rFonts w:eastAsia="Calibri"/>
          <w:lang w:eastAsia="en-US"/>
        </w:rPr>
        <w:t xml:space="preserve"> </w:t>
      </w:r>
      <w:r w:rsidRPr="00DF3657">
        <w:rPr>
          <w:rFonts w:eastAsia="Calibri"/>
          <w:lang w:eastAsia="en-US"/>
        </w:rPr>
        <w:t>John worked positively to raise the profile of ACART and to establish constructive relationships in the ART sector, including through meeting fertility clinic personnel, conference presentations, and statutory consultations.</w:t>
      </w:r>
    </w:p>
    <w:p w:rsidR="00C71E30" w:rsidRPr="00DF3657" w:rsidRDefault="00C71E30" w:rsidP="00C71E30">
      <w:pPr>
        <w:pStyle w:val="Box"/>
        <w:rPr>
          <w:rFonts w:eastAsia="Calibri"/>
          <w:lang w:eastAsia="en-US"/>
        </w:rPr>
      </w:pPr>
      <w:r w:rsidRPr="00DF3657">
        <w:rPr>
          <w:rFonts w:eastAsia="Calibri"/>
          <w:lang w:eastAsia="en-US"/>
        </w:rPr>
        <w:t>John had a deep commitment to children</w:t>
      </w:r>
      <w:r w:rsidR="000D459B">
        <w:rPr>
          <w:rFonts w:eastAsia="Calibri"/>
          <w:lang w:eastAsia="en-US"/>
        </w:rPr>
        <w:t>’</w:t>
      </w:r>
      <w:r w:rsidRPr="00DF3657">
        <w:rPr>
          <w:rFonts w:eastAsia="Calibri"/>
          <w:lang w:eastAsia="en-US"/>
        </w:rPr>
        <w:t>s interests.</w:t>
      </w:r>
      <w:r>
        <w:rPr>
          <w:rFonts w:eastAsia="Calibri"/>
          <w:lang w:eastAsia="en-US"/>
        </w:rPr>
        <w:t xml:space="preserve"> </w:t>
      </w:r>
      <w:r w:rsidRPr="00DF3657">
        <w:rPr>
          <w:rFonts w:eastAsia="Calibri"/>
          <w:lang w:eastAsia="en-US"/>
        </w:rPr>
        <w:t>He brought to ACART</w:t>
      </w:r>
      <w:r w:rsidR="000D459B">
        <w:rPr>
          <w:rFonts w:eastAsia="Calibri"/>
          <w:lang w:eastAsia="en-US"/>
        </w:rPr>
        <w:t>’</w:t>
      </w:r>
      <w:r w:rsidRPr="00DF3657">
        <w:rPr>
          <w:rFonts w:eastAsia="Calibri"/>
          <w:lang w:eastAsia="en-US"/>
        </w:rPr>
        <w:t>s work vast policy experience, both from within government and as an independent voice.</w:t>
      </w:r>
      <w:r>
        <w:rPr>
          <w:rFonts w:eastAsia="Calibri"/>
          <w:lang w:eastAsia="en-US"/>
        </w:rPr>
        <w:t xml:space="preserve"> </w:t>
      </w:r>
      <w:r w:rsidRPr="00DF3657">
        <w:rPr>
          <w:rFonts w:eastAsia="Calibri"/>
          <w:lang w:eastAsia="en-US"/>
        </w:rPr>
        <w:t>ACART members recognise John</w:t>
      </w:r>
      <w:r w:rsidR="000D459B">
        <w:rPr>
          <w:rFonts w:eastAsia="Calibri"/>
          <w:lang w:eastAsia="en-US"/>
        </w:rPr>
        <w:t>’</w:t>
      </w:r>
      <w:r w:rsidRPr="00DF3657">
        <w:rPr>
          <w:rFonts w:eastAsia="Calibri"/>
          <w:lang w:eastAsia="en-US"/>
        </w:rPr>
        <w:t>s significant contribution to the work of the Committee and will remember him fondly for his thoughtfulness,</w:t>
      </w:r>
      <w:r>
        <w:rPr>
          <w:rFonts w:eastAsia="Calibri"/>
          <w:lang w:eastAsia="en-US"/>
        </w:rPr>
        <w:t xml:space="preserve"> humour, wisdom and compassion.</w:t>
      </w:r>
    </w:p>
    <w:p w:rsidR="00C71E30" w:rsidRPr="00DF3657" w:rsidRDefault="00C71E30" w:rsidP="00C71E30">
      <w:pPr>
        <w:pStyle w:val="Box"/>
        <w:rPr>
          <w:rFonts w:eastAsia="Calibri"/>
          <w:lang w:eastAsia="en-US"/>
        </w:rPr>
      </w:pPr>
    </w:p>
    <w:p w:rsidR="00C71E30" w:rsidRPr="00DF3657" w:rsidRDefault="00C71E30" w:rsidP="00C71E30">
      <w:pPr>
        <w:pStyle w:val="Box"/>
        <w:rPr>
          <w:rFonts w:eastAsia="Calibri"/>
          <w:lang w:eastAsia="en-US"/>
        </w:rPr>
      </w:pPr>
      <w:r w:rsidRPr="00DF3657">
        <w:rPr>
          <w:rFonts w:eastAsia="Calibri"/>
          <w:lang w:eastAsia="en-US"/>
        </w:rPr>
        <w:t>Alison Douglass</w:t>
      </w:r>
      <w:r w:rsidR="009F71B1">
        <w:rPr>
          <w:rFonts w:eastAsia="Calibri"/>
          <w:lang w:eastAsia="en-US"/>
        </w:rPr>
        <w:t>, Chair, Advisory Committee on Assisted Reproductive Technology</w:t>
      </w:r>
    </w:p>
    <w:p w:rsidR="00C71E30" w:rsidRDefault="00C71E30" w:rsidP="00C71E30"/>
    <w:p w:rsidR="00334CE6" w:rsidRDefault="00334CE6" w:rsidP="00372576">
      <w:pPr>
        <w:sectPr w:rsidR="00334CE6" w:rsidSect="009F48DD">
          <w:headerReference w:type="first" r:id="rId17"/>
          <w:footerReference w:type="first" r:id="rId18"/>
          <w:pgSz w:w="11907" w:h="16840" w:code="9"/>
          <w:pgMar w:top="1701" w:right="1418" w:bottom="1701" w:left="1701" w:header="0" w:footer="425" w:gutter="0"/>
          <w:pgNumType w:fmt="lowerRoman"/>
          <w:cols w:space="720"/>
          <w:titlePg/>
        </w:sectPr>
      </w:pPr>
    </w:p>
    <w:p w:rsidR="00C71E30" w:rsidRDefault="00C71E30" w:rsidP="00372576"/>
    <w:p w:rsidR="002F174D" w:rsidRDefault="002F174D" w:rsidP="00372576">
      <w:pPr>
        <w:sectPr w:rsidR="002F174D" w:rsidSect="009F48DD">
          <w:footerReference w:type="first" r:id="rId19"/>
          <w:pgSz w:w="11907" w:h="16840" w:code="9"/>
          <w:pgMar w:top="1701" w:right="1418" w:bottom="1701" w:left="1701" w:header="0" w:footer="425" w:gutter="0"/>
          <w:pgNumType w:fmt="lowerRoman"/>
          <w:cols w:space="720"/>
          <w:titlePg/>
        </w:sectPr>
      </w:pPr>
    </w:p>
    <w:p w:rsidR="00762F00" w:rsidRDefault="00C86248" w:rsidP="002F174D">
      <w:pPr>
        <w:pStyle w:val="IntroHead"/>
      </w:pPr>
      <w:bookmarkStart w:id="4" w:name="_Toc405792991"/>
      <w:bookmarkStart w:id="5" w:name="_Toc405793224"/>
      <w:r w:rsidRPr="00741713">
        <w:lastRenderedPageBreak/>
        <w:t>Contents</w:t>
      </w:r>
      <w:bookmarkEnd w:id="4"/>
      <w:bookmarkEnd w:id="5"/>
    </w:p>
    <w:p w:rsidR="00B0327B" w:rsidRDefault="00C7149F">
      <w:pPr>
        <w:pStyle w:val="TOC1"/>
        <w:rPr>
          <w:rFonts w:asciiTheme="minorHAnsi" w:eastAsiaTheme="minorEastAsia" w:hAnsiTheme="minorHAnsi" w:cstheme="minorBidi"/>
          <w:b w:val="0"/>
          <w:noProof/>
          <w:szCs w:val="22"/>
          <w:lang w:eastAsia="en-NZ"/>
        </w:rPr>
      </w:pPr>
      <w:r>
        <w:rPr>
          <w:b w:val="0"/>
        </w:rPr>
        <w:fldChar w:fldCharType="begin"/>
      </w:r>
      <w:r>
        <w:rPr>
          <w:b w:val="0"/>
        </w:rPr>
        <w:instrText xml:space="preserve"> TOC \o "1-2" \u </w:instrText>
      </w:r>
      <w:r>
        <w:rPr>
          <w:b w:val="0"/>
        </w:rPr>
        <w:fldChar w:fldCharType="separate"/>
      </w:r>
      <w:r w:rsidR="00B0327B">
        <w:rPr>
          <w:noProof/>
        </w:rPr>
        <w:t>Foreword</w:t>
      </w:r>
      <w:r w:rsidR="00B0327B">
        <w:rPr>
          <w:noProof/>
        </w:rPr>
        <w:tab/>
      </w:r>
      <w:r w:rsidR="00B0327B">
        <w:rPr>
          <w:noProof/>
        </w:rPr>
        <w:fldChar w:fldCharType="begin"/>
      </w:r>
      <w:r w:rsidR="00B0327B">
        <w:rPr>
          <w:noProof/>
        </w:rPr>
        <w:instrText xml:space="preserve"> PAGEREF _Toc411328309 \h </w:instrText>
      </w:r>
      <w:r w:rsidR="00B0327B">
        <w:rPr>
          <w:noProof/>
        </w:rPr>
      </w:r>
      <w:r w:rsidR="00B0327B">
        <w:rPr>
          <w:noProof/>
        </w:rPr>
        <w:fldChar w:fldCharType="separate"/>
      </w:r>
      <w:r w:rsidR="001051A1">
        <w:rPr>
          <w:noProof/>
        </w:rPr>
        <w:t>iii</w:t>
      </w:r>
      <w:r w:rsidR="00B0327B">
        <w:rPr>
          <w:noProof/>
        </w:rPr>
        <w:fldChar w:fldCharType="end"/>
      </w:r>
    </w:p>
    <w:p w:rsidR="00B0327B" w:rsidRDefault="00B0327B">
      <w:pPr>
        <w:pStyle w:val="TOC1"/>
        <w:rPr>
          <w:rFonts w:asciiTheme="minorHAnsi" w:eastAsiaTheme="minorEastAsia" w:hAnsiTheme="minorHAnsi" w:cstheme="minorBidi"/>
          <w:b w:val="0"/>
          <w:noProof/>
          <w:szCs w:val="22"/>
          <w:lang w:eastAsia="en-NZ"/>
        </w:rPr>
      </w:pPr>
      <w:r>
        <w:rPr>
          <w:noProof/>
        </w:rPr>
        <w:t>Introduction</w:t>
      </w:r>
      <w:r>
        <w:rPr>
          <w:noProof/>
        </w:rPr>
        <w:tab/>
      </w:r>
      <w:r>
        <w:rPr>
          <w:noProof/>
        </w:rPr>
        <w:fldChar w:fldCharType="begin"/>
      </w:r>
      <w:r>
        <w:rPr>
          <w:noProof/>
        </w:rPr>
        <w:instrText xml:space="preserve"> PAGEREF _Toc411328310 \h </w:instrText>
      </w:r>
      <w:r>
        <w:rPr>
          <w:noProof/>
        </w:rPr>
      </w:r>
      <w:r>
        <w:rPr>
          <w:noProof/>
        </w:rPr>
        <w:fldChar w:fldCharType="separate"/>
      </w:r>
      <w:r w:rsidR="001051A1">
        <w:rPr>
          <w:noProof/>
        </w:rPr>
        <w:t>1</w:t>
      </w:r>
      <w:r>
        <w:rPr>
          <w:noProof/>
        </w:rPr>
        <w:fldChar w:fldCharType="end"/>
      </w:r>
    </w:p>
    <w:p w:rsidR="00B0327B" w:rsidRDefault="00B0327B">
      <w:pPr>
        <w:pStyle w:val="TOC2"/>
        <w:rPr>
          <w:rFonts w:asciiTheme="minorHAnsi" w:eastAsiaTheme="minorEastAsia" w:hAnsiTheme="minorHAnsi" w:cstheme="minorBidi"/>
          <w:noProof/>
          <w:sz w:val="22"/>
          <w:szCs w:val="22"/>
          <w:lang w:eastAsia="en-NZ"/>
        </w:rPr>
      </w:pPr>
      <w:r>
        <w:rPr>
          <w:noProof/>
        </w:rPr>
        <w:t>Purpose of this report</w:t>
      </w:r>
      <w:r>
        <w:rPr>
          <w:noProof/>
        </w:rPr>
        <w:tab/>
      </w:r>
      <w:r>
        <w:rPr>
          <w:noProof/>
        </w:rPr>
        <w:fldChar w:fldCharType="begin"/>
      </w:r>
      <w:r>
        <w:rPr>
          <w:noProof/>
        </w:rPr>
        <w:instrText xml:space="preserve"> PAGEREF _Toc411328311 \h </w:instrText>
      </w:r>
      <w:r>
        <w:rPr>
          <w:noProof/>
        </w:rPr>
      </w:r>
      <w:r>
        <w:rPr>
          <w:noProof/>
        </w:rPr>
        <w:fldChar w:fldCharType="separate"/>
      </w:r>
      <w:r w:rsidR="001051A1">
        <w:rPr>
          <w:noProof/>
        </w:rPr>
        <w:t>1</w:t>
      </w:r>
      <w:r>
        <w:rPr>
          <w:noProof/>
        </w:rPr>
        <w:fldChar w:fldCharType="end"/>
      </w:r>
    </w:p>
    <w:p w:rsidR="00B0327B" w:rsidRDefault="00B0327B">
      <w:pPr>
        <w:pStyle w:val="TOC2"/>
        <w:rPr>
          <w:rFonts w:asciiTheme="minorHAnsi" w:eastAsiaTheme="minorEastAsia" w:hAnsiTheme="minorHAnsi" w:cstheme="minorBidi"/>
          <w:noProof/>
          <w:sz w:val="22"/>
          <w:szCs w:val="22"/>
          <w:lang w:eastAsia="en-NZ"/>
        </w:rPr>
      </w:pPr>
      <w:r>
        <w:rPr>
          <w:noProof/>
        </w:rPr>
        <w:t>Background</w:t>
      </w:r>
      <w:r>
        <w:rPr>
          <w:noProof/>
        </w:rPr>
        <w:tab/>
      </w:r>
      <w:r>
        <w:rPr>
          <w:noProof/>
        </w:rPr>
        <w:fldChar w:fldCharType="begin"/>
      </w:r>
      <w:r>
        <w:rPr>
          <w:noProof/>
        </w:rPr>
        <w:instrText xml:space="preserve"> PAGEREF _Toc411328312 \h </w:instrText>
      </w:r>
      <w:r>
        <w:rPr>
          <w:noProof/>
        </w:rPr>
      </w:r>
      <w:r>
        <w:rPr>
          <w:noProof/>
        </w:rPr>
        <w:fldChar w:fldCharType="separate"/>
      </w:r>
      <w:r w:rsidR="001051A1">
        <w:rPr>
          <w:noProof/>
        </w:rPr>
        <w:t>1</w:t>
      </w:r>
      <w:r>
        <w:rPr>
          <w:noProof/>
        </w:rPr>
        <w:fldChar w:fldCharType="end"/>
      </w:r>
    </w:p>
    <w:p w:rsidR="00B0327B" w:rsidRDefault="00B0327B">
      <w:pPr>
        <w:pStyle w:val="TOC2"/>
        <w:rPr>
          <w:rFonts w:asciiTheme="minorHAnsi" w:eastAsiaTheme="minorEastAsia" w:hAnsiTheme="minorHAnsi" w:cstheme="minorBidi"/>
          <w:noProof/>
          <w:sz w:val="22"/>
          <w:szCs w:val="22"/>
          <w:lang w:eastAsia="en-NZ"/>
        </w:rPr>
      </w:pPr>
      <w:r>
        <w:rPr>
          <w:noProof/>
        </w:rPr>
        <w:t>ACART’s functions</w:t>
      </w:r>
      <w:r>
        <w:rPr>
          <w:noProof/>
        </w:rPr>
        <w:tab/>
      </w:r>
      <w:r>
        <w:rPr>
          <w:noProof/>
        </w:rPr>
        <w:fldChar w:fldCharType="begin"/>
      </w:r>
      <w:r>
        <w:rPr>
          <w:noProof/>
        </w:rPr>
        <w:instrText xml:space="preserve"> PAGEREF _Toc411328313 \h </w:instrText>
      </w:r>
      <w:r>
        <w:rPr>
          <w:noProof/>
        </w:rPr>
      </w:r>
      <w:r>
        <w:rPr>
          <w:noProof/>
        </w:rPr>
        <w:fldChar w:fldCharType="separate"/>
      </w:r>
      <w:r w:rsidR="001051A1">
        <w:rPr>
          <w:noProof/>
        </w:rPr>
        <w:t>1</w:t>
      </w:r>
      <w:r>
        <w:rPr>
          <w:noProof/>
        </w:rPr>
        <w:fldChar w:fldCharType="end"/>
      </w:r>
    </w:p>
    <w:p w:rsidR="00B0327B" w:rsidRDefault="00B0327B">
      <w:pPr>
        <w:pStyle w:val="TOC1"/>
        <w:rPr>
          <w:rFonts w:asciiTheme="minorHAnsi" w:eastAsiaTheme="minorEastAsia" w:hAnsiTheme="minorHAnsi" w:cstheme="minorBidi"/>
          <w:b w:val="0"/>
          <w:noProof/>
          <w:szCs w:val="22"/>
          <w:lang w:eastAsia="en-NZ"/>
        </w:rPr>
      </w:pPr>
      <w:r>
        <w:rPr>
          <w:noProof/>
        </w:rPr>
        <w:t>ACART’s work during 2013/14</w:t>
      </w:r>
      <w:r>
        <w:rPr>
          <w:noProof/>
        </w:rPr>
        <w:tab/>
      </w:r>
      <w:r>
        <w:rPr>
          <w:noProof/>
        </w:rPr>
        <w:fldChar w:fldCharType="begin"/>
      </w:r>
      <w:r>
        <w:rPr>
          <w:noProof/>
        </w:rPr>
        <w:instrText xml:space="preserve"> PAGEREF _Toc411328314 \h </w:instrText>
      </w:r>
      <w:r>
        <w:rPr>
          <w:noProof/>
        </w:rPr>
      </w:r>
      <w:r>
        <w:rPr>
          <w:noProof/>
        </w:rPr>
        <w:fldChar w:fldCharType="separate"/>
      </w:r>
      <w:r w:rsidR="001051A1">
        <w:rPr>
          <w:noProof/>
        </w:rPr>
        <w:t>3</w:t>
      </w:r>
      <w:r>
        <w:rPr>
          <w:noProof/>
        </w:rPr>
        <w:fldChar w:fldCharType="end"/>
      </w:r>
    </w:p>
    <w:p w:rsidR="00B0327B" w:rsidRDefault="00B0327B">
      <w:pPr>
        <w:pStyle w:val="TOC2"/>
        <w:rPr>
          <w:rFonts w:asciiTheme="minorHAnsi" w:eastAsiaTheme="minorEastAsia" w:hAnsiTheme="minorHAnsi" w:cstheme="minorBidi"/>
          <w:noProof/>
          <w:sz w:val="22"/>
          <w:szCs w:val="22"/>
          <w:lang w:eastAsia="en-NZ"/>
        </w:rPr>
      </w:pPr>
      <w:r>
        <w:rPr>
          <w:noProof/>
        </w:rPr>
        <w:t>ACART meetings</w:t>
      </w:r>
      <w:r>
        <w:rPr>
          <w:noProof/>
        </w:rPr>
        <w:tab/>
      </w:r>
      <w:r>
        <w:rPr>
          <w:noProof/>
        </w:rPr>
        <w:fldChar w:fldCharType="begin"/>
      </w:r>
      <w:r>
        <w:rPr>
          <w:noProof/>
        </w:rPr>
        <w:instrText xml:space="preserve"> PAGEREF _Toc411328315 \h </w:instrText>
      </w:r>
      <w:r>
        <w:rPr>
          <w:noProof/>
        </w:rPr>
      </w:r>
      <w:r>
        <w:rPr>
          <w:noProof/>
        </w:rPr>
        <w:fldChar w:fldCharType="separate"/>
      </w:r>
      <w:r w:rsidR="001051A1">
        <w:rPr>
          <w:noProof/>
        </w:rPr>
        <w:t>3</w:t>
      </w:r>
      <w:r>
        <w:rPr>
          <w:noProof/>
        </w:rPr>
        <w:fldChar w:fldCharType="end"/>
      </w:r>
    </w:p>
    <w:p w:rsidR="00B0327B" w:rsidRDefault="00B0327B">
      <w:pPr>
        <w:pStyle w:val="TOC2"/>
        <w:rPr>
          <w:rFonts w:asciiTheme="minorHAnsi" w:eastAsiaTheme="minorEastAsia" w:hAnsiTheme="minorHAnsi" w:cstheme="minorBidi"/>
          <w:noProof/>
          <w:sz w:val="22"/>
          <w:szCs w:val="22"/>
          <w:lang w:eastAsia="en-NZ"/>
        </w:rPr>
      </w:pPr>
      <w:r>
        <w:rPr>
          <w:noProof/>
        </w:rPr>
        <w:t>Key projects in 2013/14</w:t>
      </w:r>
      <w:r>
        <w:rPr>
          <w:noProof/>
        </w:rPr>
        <w:tab/>
      </w:r>
      <w:r>
        <w:rPr>
          <w:noProof/>
        </w:rPr>
        <w:fldChar w:fldCharType="begin"/>
      </w:r>
      <w:r>
        <w:rPr>
          <w:noProof/>
        </w:rPr>
        <w:instrText xml:space="preserve"> PAGEREF _Toc411328316 \h </w:instrText>
      </w:r>
      <w:r>
        <w:rPr>
          <w:noProof/>
        </w:rPr>
      </w:r>
      <w:r>
        <w:rPr>
          <w:noProof/>
        </w:rPr>
        <w:fldChar w:fldCharType="separate"/>
      </w:r>
      <w:r w:rsidR="001051A1">
        <w:rPr>
          <w:noProof/>
        </w:rPr>
        <w:t>3</w:t>
      </w:r>
      <w:r>
        <w:rPr>
          <w:noProof/>
        </w:rPr>
        <w:fldChar w:fldCharType="end"/>
      </w:r>
    </w:p>
    <w:p w:rsidR="00B0327B" w:rsidRDefault="00B0327B">
      <w:pPr>
        <w:pStyle w:val="TOC2"/>
        <w:rPr>
          <w:rFonts w:asciiTheme="minorHAnsi" w:eastAsiaTheme="minorEastAsia" w:hAnsiTheme="minorHAnsi" w:cstheme="minorBidi"/>
          <w:noProof/>
          <w:sz w:val="22"/>
          <w:szCs w:val="22"/>
          <w:lang w:eastAsia="en-NZ"/>
        </w:rPr>
      </w:pPr>
      <w:r>
        <w:rPr>
          <w:noProof/>
        </w:rPr>
        <w:t>ACART’s monitoring functions</w:t>
      </w:r>
      <w:r>
        <w:rPr>
          <w:noProof/>
        </w:rPr>
        <w:tab/>
      </w:r>
      <w:r>
        <w:rPr>
          <w:noProof/>
        </w:rPr>
        <w:fldChar w:fldCharType="begin"/>
      </w:r>
      <w:r>
        <w:rPr>
          <w:noProof/>
        </w:rPr>
        <w:instrText xml:space="preserve"> PAGEREF _Toc411328317 \h </w:instrText>
      </w:r>
      <w:r>
        <w:rPr>
          <w:noProof/>
        </w:rPr>
      </w:r>
      <w:r>
        <w:rPr>
          <w:noProof/>
        </w:rPr>
        <w:fldChar w:fldCharType="separate"/>
      </w:r>
      <w:r w:rsidR="001051A1">
        <w:rPr>
          <w:noProof/>
        </w:rPr>
        <w:t>6</w:t>
      </w:r>
      <w:r>
        <w:rPr>
          <w:noProof/>
        </w:rPr>
        <w:fldChar w:fldCharType="end"/>
      </w:r>
    </w:p>
    <w:p w:rsidR="00B0327B" w:rsidRDefault="00B0327B">
      <w:pPr>
        <w:pStyle w:val="TOC2"/>
        <w:rPr>
          <w:rFonts w:asciiTheme="minorHAnsi" w:eastAsiaTheme="minorEastAsia" w:hAnsiTheme="minorHAnsi" w:cstheme="minorBidi"/>
          <w:noProof/>
          <w:sz w:val="22"/>
          <w:szCs w:val="22"/>
          <w:lang w:eastAsia="en-NZ"/>
        </w:rPr>
      </w:pPr>
      <w:r>
        <w:rPr>
          <w:noProof/>
          <w:lang w:eastAsia="en-US"/>
        </w:rPr>
        <w:t>Other issues considered by ACART during 2013/14</w:t>
      </w:r>
      <w:r>
        <w:rPr>
          <w:noProof/>
        </w:rPr>
        <w:tab/>
      </w:r>
      <w:r>
        <w:rPr>
          <w:noProof/>
        </w:rPr>
        <w:fldChar w:fldCharType="begin"/>
      </w:r>
      <w:r>
        <w:rPr>
          <w:noProof/>
        </w:rPr>
        <w:instrText xml:space="preserve"> PAGEREF _Toc411328318 \h </w:instrText>
      </w:r>
      <w:r>
        <w:rPr>
          <w:noProof/>
        </w:rPr>
      </w:r>
      <w:r>
        <w:rPr>
          <w:noProof/>
        </w:rPr>
        <w:fldChar w:fldCharType="separate"/>
      </w:r>
      <w:r w:rsidR="001051A1">
        <w:rPr>
          <w:noProof/>
        </w:rPr>
        <w:t>7</w:t>
      </w:r>
      <w:r>
        <w:rPr>
          <w:noProof/>
        </w:rPr>
        <w:fldChar w:fldCharType="end"/>
      </w:r>
    </w:p>
    <w:p w:rsidR="00B0327B" w:rsidRDefault="00B0327B">
      <w:pPr>
        <w:pStyle w:val="TOC2"/>
        <w:rPr>
          <w:rFonts w:asciiTheme="minorHAnsi" w:eastAsiaTheme="minorEastAsia" w:hAnsiTheme="minorHAnsi" w:cstheme="minorBidi"/>
          <w:noProof/>
          <w:sz w:val="22"/>
          <w:szCs w:val="22"/>
          <w:lang w:eastAsia="en-NZ"/>
        </w:rPr>
      </w:pPr>
      <w:r>
        <w:rPr>
          <w:noProof/>
          <w:lang w:eastAsia="en-US"/>
        </w:rPr>
        <w:t>Links with ECART</w:t>
      </w:r>
      <w:r>
        <w:rPr>
          <w:noProof/>
        </w:rPr>
        <w:tab/>
      </w:r>
      <w:r>
        <w:rPr>
          <w:noProof/>
        </w:rPr>
        <w:fldChar w:fldCharType="begin"/>
      </w:r>
      <w:r>
        <w:rPr>
          <w:noProof/>
        </w:rPr>
        <w:instrText xml:space="preserve"> PAGEREF _Toc411328319 \h </w:instrText>
      </w:r>
      <w:r>
        <w:rPr>
          <w:noProof/>
        </w:rPr>
      </w:r>
      <w:r>
        <w:rPr>
          <w:noProof/>
        </w:rPr>
        <w:fldChar w:fldCharType="separate"/>
      </w:r>
      <w:r w:rsidR="001051A1">
        <w:rPr>
          <w:noProof/>
        </w:rPr>
        <w:t>8</w:t>
      </w:r>
      <w:r>
        <w:rPr>
          <w:noProof/>
        </w:rPr>
        <w:fldChar w:fldCharType="end"/>
      </w:r>
    </w:p>
    <w:p w:rsidR="00B0327B" w:rsidRDefault="00B0327B">
      <w:pPr>
        <w:pStyle w:val="TOC2"/>
        <w:rPr>
          <w:rFonts w:asciiTheme="minorHAnsi" w:eastAsiaTheme="minorEastAsia" w:hAnsiTheme="minorHAnsi" w:cstheme="minorBidi"/>
          <w:noProof/>
          <w:sz w:val="22"/>
          <w:szCs w:val="22"/>
          <w:lang w:eastAsia="en-NZ"/>
        </w:rPr>
      </w:pPr>
      <w:r>
        <w:rPr>
          <w:noProof/>
        </w:rPr>
        <w:t>Conference attendance</w:t>
      </w:r>
      <w:r>
        <w:rPr>
          <w:noProof/>
        </w:rPr>
        <w:tab/>
      </w:r>
      <w:r>
        <w:rPr>
          <w:noProof/>
        </w:rPr>
        <w:fldChar w:fldCharType="begin"/>
      </w:r>
      <w:r>
        <w:rPr>
          <w:noProof/>
        </w:rPr>
        <w:instrText xml:space="preserve"> PAGEREF _Toc411328320 \h </w:instrText>
      </w:r>
      <w:r>
        <w:rPr>
          <w:noProof/>
        </w:rPr>
      </w:r>
      <w:r>
        <w:rPr>
          <w:noProof/>
        </w:rPr>
        <w:fldChar w:fldCharType="separate"/>
      </w:r>
      <w:r w:rsidR="001051A1">
        <w:rPr>
          <w:noProof/>
        </w:rPr>
        <w:t>8</w:t>
      </w:r>
      <w:r>
        <w:rPr>
          <w:noProof/>
        </w:rPr>
        <w:fldChar w:fldCharType="end"/>
      </w:r>
    </w:p>
    <w:p w:rsidR="00B0327B" w:rsidRDefault="00B0327B">
      <w:pPr>
        <w:pStyle w:val="TOC2"/>
        <w:rPr>
          <w:rFonts w:asciiTheme="minorHAnsi" w:eastAsiaTheme="minorEastAsia" w:hAnsiTheme="minorHAnsi" w:cstheme="minorBidi"/>
          <w:noProof/>
          <w:sz w:val="22"/>
          <w:szCs w:val="22"/>
          <w:lang w:eastAsia="en-NZ"/>
        </w:rPr>
      </w:pPr>
      <w:r>
        <w:rPr>
          <w:noProof/>
        </w:rPr>
        <w:t>Other external engagement</w:t>
      </w:r>
      <w:r>
        <w:rPr>
          <w:noProof/>
        </w:rPr>
        <w:tab/>
      </w:r>
      <w:r>
        <w:rPr>
          <w:noProof/>
        </w:rPr>
        <w:fldChar w:fldCharType="begin"/>
      </w:r>
      <w:r>
        <w:rPr>
          <w:noProof/>
        </w:rPr>
        <w:instrText xml:space="preserve"> PAGEREF _Toc411328321 \h </w:instrText>
      </w:r>
      <w:r>
        <w:rPr>
          <w:noProof/>
        </w:rPr>
      </w:r>
      <w:r>
        <w:rPr>
          <w:noProof/>
        </w:rPr>
        <w:fldChar w:fldCharType="separate"/>
      </w:r>
      <w:r w:rsidR="001051A1">
        <w:rPr>
          <w:noProof/>
        </w:rPr>
        <w:t>9</w:t>
      </w:r>
      <w:r>
        <w:rPr>
          <w:noProof/>
        </w:rPr>
        <w:fldChar w:fldCharType="end"/>
      </w:r>
    </w:p>
    <w:p w:rsidR="00B0327B" w:rsidRDefault="00B0327B">
      <w:pPr>
        <w:pStyle w:val="TOC2"/>
        <w:rPr>
          <w:rFonts w:asciiTheme="minorHAnsi" w:eastAsiaTheme="minorEastAsia" w:hAnsiTheme="minorHAnsi" w:cstheme="minorBidi"/>
          <w:noProof/>
          <w:sz w:val="22"/>
          <w:szCs w:val="22"/>
          <w:lang w:eastAsia="en-NZ"/>
        </w:rPr>
      </w:pPr>
      <w:r>
        <w:rPr>
          <w:noProof/>
        </w:rPr>
        <w:t>Publications</w:t>
      </w:r>
      <w:r>
        <w:rPr>
          <w:noProof/>
        </w:rPr>
        <w:tab/>
      </w:r>
      <w:r>
        <w:rPr>
          <w:noProof/>
        </w:rPr>
        <w:fldChar w:fldCharType="begin"/>
      </w:r>
      <w:r>
        <w:rPr>
          <w:noProof/>
        </w:rPr>
        <w:instrText xml:space="preserve"> PAGEREF _Toc411328322 \h </w:instrText>
      </w:r>
      <w:r>
        <w:rPr>
          <w:noProof/>
        </w:rPr>
      </w:r>
      <w:r>
        <w:rPr>
          <w:noProof/>
        </w:rPr>
        <w:fldChar w:fldCharType="separate"/>
      </w:r>
      <w:r w:rsidR="001051A1">
        <w:rPr>
          <w:noProof/>
        </w:rPr>
        <w:t>9</w:t>
      </w:r>
      <w:r>
        <w:rPr>
          <w:noProof/>
        </w:rPr>
        <w:fldChar w:fldCharType="end"/>
      </w:r>
    </w:p>
    <w:p w:rsidR="00B0327B" w:rsidRDefault="00B0327B">
      <w:pPr>
        <w:pStyle w:val="TOC1"/>
        <w:rPr>
          <w:rFonts w:asciiTheme="minorHAnsi" w:eastAsiaTheme="minorEastAsia" w:hAnsiTheme="minorHAnsi" w:cstheme="minorBidi"/>
          <w:b w:val="0"/>
          <w:noProof/>
          <w:szCs w:val="22"/>
          <w:lang w:eastAsia="en-NZ"/>
        </w:rPr>
      </w:pPr>
      <w:r>
        <w:rPr>
          <w:noProof/>
        </w:rPr>
        <w:t>ECART decisions 2013/14</w:t>
      </w:r>
      <w:r>
        <w:rPr>
          <w:noProof/>
        </w:rPr>
        <w:tab/>
      </w:r>
      <w:r>
        <w:rPr>
          <w:noProof/>
        </w:rPr>
        <w:fldChar w:fldCharType="begin"/>
      </w:r>
      <w:r>
        <w:rPr>
          <w:noProof/>
        </w:rPr>
        <w:instrText xml:space="preserve"> PAGEREF _Toc411328323 \h </w:instrText>
      </w:r>
      <w:r>
        <w:rPr>
          <w:noProof/>
        </w:rPr>
      </w:r>
      <w:r>
        <w:rPr>
          <w:noProof/>
        </w:rPr>
        <w:fldChar w:fldCharType="separate"/>
      </w:r>
      <w:r w:rsidR="001051A1">
        <w:rPr>
          <w:noProof/>
        </w:rPr>
        <w:t>10</w:t>
      </w:r>
      <w:r>
        <w:rPr>
          <w:noProof/>
        </w:rPr>
        <w:fldChar w:fldCharType="end"/>
      </w:r>
    </w:p>
    <w:p w:rsidR="00B0327B" w:rsidRDefault="00B0327B">
      <w:pPr>
        <w:pStyle w:val="TOC1"/>
        <w:rPr>
          <w:rFonts w:asciiTheme="minorHAnsi" w:eastAsiaTheme="minorEastAsia" w:hAnsiTheme="minorHAnsi" w:cstheme="minorBidi"/>
          <w:b w:val="0"/>
          <w:noProof/>
          <w:szCs w:val="22"/>
          <w:lang w:eastAsia="en-NZ"/>
        </w:rPr>
      </w:pPr>
      <w:r w:rsidRPr="00BA2E1E">
        <w:rPr>
          <w:rFonts w:eastAsia="Calibri"/>
          <w:noProof/>
          <w:lang w:eastAsia="en-US"/>
        </w:rPr>
        <w:t>Governance</w:t>
      </w:r>
      <w:r>
        <w:rPr>
          <w:noProof/>
        </w:rPr>
        <w:tab/>
      </w:r>
      <w:r>
        <w:rPr>
          <w:noProof/>
        </w:rPr>
        <w:fldChar w:fldCharType="begin"/>
      </w:r>
      <w:r>
        <w:rPr>
          <w:noProof/>
        </w:rPr>
        <w:instrText xml:space="preserve"> PAGEREF _Toc411328324 \h </w:instrText>
      </w:r>
      <w:r>
        <w:rPr>
          <w:noProof/>
        </w:rPr>
      </w:r>
      <w:r>
        <w:rPr>
          <w:noProof/>
        </w:rPr>
        <w:fldChar w:fldCharType="separate"/>
      </w:r>
      <w:r w:rsidR="001051A1">
        <w:rPr>
          <w:noProof/>
        </w:rPr>
        <w:t>11</w:t>
      </w:r>
      <w:r>
        <w:rPr>
          <w:noProof/>
        </w:rPr>
        <w:fldChar w:fldCharType="end"/>
      </w:r>
    </w:p>
    <w:p w:rsidR="00B0327B" w:rsidRDefault="00B0327B">
      <w:pPr>
        <w:pStyle w:val="TOC2"/>
        <w:rPr>
          <w:rFonts w:asciiTheme="minorHAnsi" w:eastAsiaTheme="minorEastAsia" w:hAnsiTheme="minorHAnsi" w:cstheme="minorBidi"/>
          <w:noProof/>
          <w:sz w:val="22"/>
          <w:szCs w:val="22"/>
          <w:lang w:eastAsia="en-NZ"/>
        </w:rPr>
      </w:pPr>
      <w:r w:rsidRPr="00BA2E1E">
        <w:rPr>
          <w:rFonts w:eastAsia="Calibri"/>
          <w:noProof/>
          <w:lang w:eastAsia="en-US"/>
        </w:rPr>
        <w:t>Chair and Deputy Chair</w:t>
      </w:r>
      <w:r>
        <w:rPr>
          <w:noProof/>
        </w:rPr>
        <w:tab/>
      </w:r>
      <w:r>
        <w:rPr>
          <w:noProof/>
        </w:rPr>
        <w:fldChar w:fldCharType="begin"/>
      </w:r>
      <w:r>
        <w:rPr>
          <w:noProof/>
        </w:rPr>
        <w:instrText xml:space="preserve"> PAGEREF _Toc411328325 \h </w:instrText>
      </w:r>
      <w:r>
        <w:rPr>
          <w:noProof/>
        </w:rPr>
      </w:r>
      <w:r>
        <w:rPr>
          <w:noProof/>
        </w:rPr>
        <w:fldChar w:fldCharType="separate"/>
      </w:r>
      <w:r w:rsidR="001051A1">
        <w:rPr>
          <w:noProof/>
        </w:rPr>
        <w:t>11</w:t>
      </w:r>
      <w:r>
        <w:rPr>
          <w:noProof/>
        </w:rPr>
        <w:fldChar w:fldCharType="end"/>
      </w:r>
    </w:p>
    <w:p w:rsidR="00B0327B" w:rsidRDefault="00B0327B">
      <w:pPr>
        <w:pStyle w:val="TOC2"/>
        <w:rPr>
          <w:rFonts w:asciiTheme="minorHAnsi" w:eastAsiaTheme="minorEastAsia" w:hAnsiTheme="minorHAnsi" w:cstheme="minorBidi"/>
          <w:noProof/>
          <w:sz w:val="22"/>
          <w:szCs w:val="22"/>
          <w:lang w:eastAsia="en-NZ"/>
        </w:rPr>
      </w:pPr>
      <w:r w:rsidRPr="00BA2E1E">
        <w:rPr>
          <w:rFonts w:eastAsia="Calibri"/>
          <w:noProof/>
          <w:lang w:eastAsia="en-US"/>
        </w:rPr>
        <w:t>Contact with the Minister of Health</w:t>
      </w:r>
      <w:r>
        <w:rPr>
          <w:noProof/>
        </w:rPr>
        <w:tab/>
      </w:r>
      <w:r>
        <w:rPr>
          <w:noProof/>
        </w:rPr>
        <w:fldChar w:fldCharType="begin"/>
      </w:r>
      <w:r>
        <w:rPr>
          <w:noProof/>
        </w:rPr>
        <w:instrText xml:space="preserve"> PAGEREF _Toc411328326 \h </w:instrText>
      </w:r>
      <w:r>
        <w:rPr>
          <w:noProof/>
        </w:rPr>
      </w:r>
      <w:r>
        <w:rPr>
          <w:noProof/>
        </w:rPr>
        <w:fldChar w:fldCharType="separate"/>
      </w:r>
      <w:r w:rsidR="001051A1">
        <w:rPr>
          <w:noProof/>
        </w:rPr>
        <w:t>11</w:t>
      </w:r>
      <w:r>
        <w:rPr>
          <w:noProof/>
        </w:rPr>
        <w:fldChar w:fldCharType="end"/>
      </w:r>
    </w:p>
    <w:p w:rsidR="00B0327B" w:rsidRDefault="00B0327B">
      <w:pPr>
        <w:pStyle w:val="TOC1"/>
        <w:rPr>
          <w:rFonts w:asciiTheme="minorHAnsi" w:eastAsiaTheme="minorEastAsia" w:hAnsiTheme="minorHAnsi" w:cstheme="minorBidi"/>
          <w:b w:val="0"/>
          <w:noProof/>
          <w:szCs w:val="22"/>
          <w:lang w:eastAsia="en-NZ"/>
        </w:rPr>
      </w:pPr>
      <w:r>
        <w:rPr>
          <w:noProof/>
        </w:rPr>
        <w:t>Appendix 1: ACART membership</w:t>
      </w:r>
      <w:r>
        <w:rPr>
          <w:noProof/>
        </w:rPr>
        <w:tab/>
      </w:r>
      <w:r>
        <w:rPr>
          <w:noProof/>
        </w:rPr>
        <w:fldChar w:fldCharType="begin"/>
      </w:r>
      <w:r>
        <w:rPr>
          <w:noProof/>
        </w:rPr>
        <w:instrText xml:space="preserve"> PAGEREF _Toc411328327 \h </w:instrText>
      </w:r>
      <w:r>
        <w:rPr>
          <w:noProof/>
        </w:rPr>
      </w:r>
      <w:r>
        <w:rPr>
          <w:noProof/>
        </w:rPr>
        <w:fldChar w:fldCharType="separate"/>
      </w:r>
      <w:r w:rsidR="001051A1">
        <w:rPr>
          <w:noProof/>
        </w:rPr>
        <w:t>12</w:t>
      </w:r>
      <w:r>
        <w:rPr>
          <w:noProof/>
        </w:rPr>
        <w:fldChar w:fldCharType="end"/>
      </w:r>
    </w:p>
    <w:p w:rsidR="00B0327B" w:rsidRDefault="00B0327B">
      <w:pPr>
        <w:pStyle w:val="TOC2"/>
        <w:rPr>
          <w:rFonts w:asciiTheme="minorHAnsi" w:eastAsiaTheme="minorEastAsia" w:hAnsiTheme="minorHAnsi" w:cstheme="minorBidi"/>
          <w:noProof/>
          <w:sz w:val="22"/>
          <w:szCs w:val="22"/>
          <w:lang w:eastAsia="en-NZ"/>
        </w:rPr>
      </w:pPr>
      <w:r>
        <w:rPr>
          <w:noProof/>
        </w:rPr>
        <w:t>ACART members in the period</w:t>
      </w:r>
      <w:r>
        <w:rPr>
          <w:noProof/>
        </w:rPr>
        <w:tab/>
      </w:r>
      <w:r>
        <w:rPr>
          <w:noProof/>
        </w:rPr>
        <w:fldChar w:fldCharType="begin"/>
      </w:r>
      <w:r>
        <w:rPr>
          <w:noProof/>
        </w:rPr>
        <w:instrText xml:space="preserve"> PAGEREF _Toc411328328 \h </w:instrText>
      </w:r>
      <w:r>
        <w:rPr>
          <w:noProof/>
        </w:rPr>
      </w:r>
      <w:r>
        <w:rPr>
          <w:noProof/>
        </w:rPr>
        <w:fldChar w:fldCharType="separate"/>
      </w:r>
      <w:r w:rsidR="001051A1">
        <w:rPr>
          <w:noProof/>
        </w:rPr>
        <w:t>12</w:t>
      </w:r>
      <w:r>
        <w:rPr>
          <w:noProof/>
        </w:rPr>
        <w:fldChar w:fldCharType="end"/>
      </w:r>
    </w:p>
    <w:p w:rsidR="00B0327B" w:rsidRDefault="00B0327B">
      <w:pPr>
        <w:pStyle w:val="TOC2"/>
        <w:rPr>
          <w:rFonts w:asciiTheme="minorHAnsi" w:eastAsiaTheme="minorEastAsia" w:hAnsiTheme="minorHAnsi" w:cstheme="minorBidi"/>
          <w:noProof/>
          <w:sz w:val="22"/>
          <w:szCs w:val="22"/>
          <w:lang w:eastAsia="en-NZ"/>
        </w:rPr>
      </w:pPr>
      <w:r>
        <w:rPr>
          <w:noProof/>
        </w:rPr>
        <w:t>Biographies of ACART members</w:t>
      </w:r>
      <w:r>
        <w:rPr>
          <w:noProof/>
        </w:rPr>
        <w:tab/>
      </w:r>
      <w:r>
        <w:rPr>
          <w:noProof/>
        </w:rPr>
        <w:fldChar w:fldCharType="begin"/>
      </w:r>
      <w:r>
        <w:rPr>
          <w:noProof/>
        </w:rPr>
        <w:instrText xml:space="preserve"> PAGEREF _Toc411328329 \h </w:instrText>
      </w:r>
      <w:r>
        <w:rPr>
          <w:noProof/>
        </w:rPr>
      </w:r>
      <w:r>
        <w:rPr>
          <w:noProof/>
        </w:rPr>
        <w:fldChar w:fldCharType="separate"/>
      </w:r>
      <w:r w:rsidR="001051A1">
        <w:rPr>
          <w:noProof/>
        </w:rPr>
        <w:t>13</w:t>
      </w:r>
      <w:r>
        <w:rPr>
          <w:noProof/>
        </w:rPr>
        <w:fldChar w:fldCharType="end"/>
      </w:r>
    </w:p>
    <w:p w:rsidR="00B0327B" w:rsidRDefault="00B0327B">
      <w:pPr>
        <w:pStyle w:val="TOC1"/>
        <w:rPr>
          <w:rFonts w:asciiTheme="minorHAnsi" w:eastAsiaTheme="minorEastAsia" w:hAnsiTheme="minorHAnsi" w:cstheme="minorBidi"/>
          <w:b w:val="0"/>
          <w:noProof/>
          <w:szCs w:val="22"/>
          <w:lang w:eastAsia="en-NZ"/>
        </w:rPr>
      </w:pPr>
      <w:r>
        <w:rPr>
          <w:noProof/>
        </w:rPr>
        <w:t>Appendix 2: Member attendance at full ACART meetings</w:t>
      </w:r>
      <w:r>
        <w:rPr>
          <w:noProof/>
        </w:rPr>
        <w:tab/>
      </w:r>
      <w:r>
        <w:rPr>
          <w:noProof/>
        </w:rPr>
        <w:fldChar w:fldCharType="begin"/>
      </w:r>
      <w:r>
        <w:rPr>
          <w:noProof/>
        </w:rPr>
        <w:instrText xml:space="preserve"> PAGEREF _Toc411328330 \h </w:instrText>
      </w:r>
      <w:r>
        <w:rPr>
          <w:noProof/>
        </w:rPr>
      </w:r>
      <w:r>
        <w:rPr>
          <w:noProof/>
        </w:rPr>
        <w:fldChar w:fldCharType="separate"/>
      </w:r>
      <w:r w:rsidR="001051A1">
        <w:rPr>
          <w:noProof/>
        </w:rPr>
        <w:t>17</w:t>
      </w:r>
      <w:r>
        <w:rPr>
          <w:noProof/>
        </w:rPr>
        <w:fldChar w:fldCharType="end"/>
      </w:r>
    </w:p>
    <w:p w:rsidR="00B0327B" w:rsidRDefault="00B0327B">
      <w:pPr>
        <w:pStyle w:val="TOC1"/>
        <w:rPr>
          <w:rFonts w:asciiTheme="minorHAnsi" w:eastAsiaTheme="minorEastAsia" w:hAnsiTheme="minorHAnsi" w:cstheme="minorBidi"/>
          <w:b w:val="0"/>
          <w:noProof/>
          <w:szCs w:val="22"/>
          <w:lang w:eastAsia="en-NZ"/>
        </w:rPr>
      </w:pPr>
      <w:r>
        <w:rPr>
          <w:noProof/>
        </w:rPr>
        <w:t>Appendix 3: ACART working groups</w:t>
      </w:r>
      <w:r>
        <w:rPr>
          <w:noProof/>
        </w:rPr>
        <w:tab/>
      </w:r>
      <w:r>
        <w:rPr>
          <w:noProof/>
        </w:rPr>
        <w:fldChar w:fldCharType="begin"/>
      </w:r>
      <w:r>
        <w:rPr>
          <w:noProof/>
        </w:rPr>
        <w:instrText xml:space="preserve"> PAGEREF _Toc411328331 \h </w:instrText>
      </w:r>
      <w:r>
        <w:rPr>
          <w:noProof/>
        </w:rPr>
      </w:r>
      <w:r>
        <w:rPr>
          <w:noProof/>
        </w:rPr>
        <w:fldChar w:fldCharType="separate"/>
      </w:r>
      <w:r w:rsidR="001051A1">
        <w:rPr>
          <w:noProof/>
        </w:rPr>
        <w:t>18</w:t>
      </w:r>
      <w:r>
        <w:rPr>
          <w:noProof/>
        </w:rPr>
        <w:fldChar w:fldCharType="end"/>
      </w:r>
    </w:p>
    <w:p w:rsidR="00C86248" w:rsidRPr="004D655D" w:rsidRDefault="00C7149F" w:rsidP="00A66034">
      <w:r>
        <w:rPr>
          <w:b/>
        </w:rPr>
        <w:fldChar w:fldCharType="end"/>
      </w:r>
    </w:p>
    <w:p w:rsidR="00C86248" w:rsidRPr="004D655D" w:rsidRDefault="00C86248" w:rsidP="00A66034"/>
    <w:p w:rsidR="00C86248" w:rsidRPr="004D655D" w:rsidRDefault="00C86248" w:rsidP="00A66034">
      <w:pPr>
        <w:sectPr w:rsidR="00C86248" w:rsidRPr="004D655D" w:rsidSect="009F48DD">
          <w:headerReference w:type="first" r:id="rId20"/>
          <w:footerReference w:type="first" r:id="rId21"/>
          <w:pgSz w:w="11907" w:h="16840" w:code="9"/>
          <w:pgMar w:top="1701" w:right="1418" w:bottom="1701" w:left="1701" w:header="0" w:footer="425" w:gutter="0"/>
          <w:pgNumType w:fmt="lowerRoman"/>
          <w:cols w:space="720"/>
          <w:titlePg/>
        </w:sectPr>
      </w:pPr>
    </w:p>
    <w:p w:rsidR="00762F00" w:rsidRDefault="00543A52" w:rsidP="00FA0914">
      <w:pPr>
        <w:pStyle w:val="Heading1"/>
      </w:pPr>
      <w:bookmarkStart w:id="6" w:name="_Toc411328310"/>
      <w:r>
        <w:lastRenderedPageBreak/>
        <w:t>Introduction</w:t>
      </w:r>
      <w:bookmarkEnd w:id="6"/>
    </w:p>
    <w:p w:rsidR="00950E7A" w:rsidRPr="00D41ACA" w:rsidRDefault="00950E7A" w:rsidP="00FA0914">
      <w:pPr>
        <w:pStyle w:val="Heading2"/>
      </w:pPr>
      <w:bookmarkStart w:id="7" w:name="_Toc411328311"/>
      <w:r w:rsidRPr="00923B03">
        <w:t xml:space="preserve">Purpose of this </w:t>
      </w:r>
      <w:r w:rsidR="008A7203">
        <w:t>report</w:t>
      </w:r>
      <w:bookmarkEnd w:id="7"/>
    </w:p>
    <w:p w:rsidR="00BD3ADD" w:rsidRDefault="00BD3ADD" w:rsidP="00BD3ADD">
      <w:r w:rsidRPr="00972477">
        <w:t>Section 42(3) of the HART Act</w:t>
      </w:r>
      <w:r w:rsidRPr="004D294E">
        <w:t xml:space="preserve"> requires ACART, as soon </w:t>
      </w:r>
      <w:r w:rsidRPr="006C6728">
        <w:t>as practicable after each 12</w:t>
      </w:r>
      <w:r>
        <w:noBreakHyphen/>
      </w:r>
      <w:r w:rsidRPr="006C6728">
        <w:t xml:space="preserve">month period ending on 30 June, to </w:t>
      </w:r>
      <w:r>
        <w:t>provide</w:t>
      </w:r>
      <w:r w:rsidRPr="006C6728">
        <w:t xml:space="preserve"> the Minister of Health </w:t>
      </w:r>
      <w:r>
        <w:t xml:space="preserve">with </w:t>
      </w:r>
      <w:r w:rsidRPr="006C6728">
        <w:t>a</w:t>
      </w:r>
      <w:r w:rsidRPr="004D294E">
        <w:t xml:space="preserve"> report on</w:t>
      </w:r>
      <w:r>
        <w:t>:</w:t>
      </w:r>
    </w:p>
    <w:p w:rsidR="00BD3ADD" w:rsidRDefault="00BD3ADD" w:rsidP="00BD3ADD">
      <w:pPr>
        <w:pStyle w:val="Bullet"/>
      </w:pPr>
      <w:r>
        <w:t>its progress in carrying out its functions</w:t>
      </w:r>
    </w:p>
    <w:p w:rsidR="00BD3ADD" w:rsidRDefault="00BD3ADD" w:rsidP="00BD3ADD">
      <w:pPr>
        <w:pStyle w:val="Bullet"/>
      </w:pPr>
      <w:r>
        <w:t>the number and kinds of decisions made by ECART in that period.</w:t>
      </w:r>
    </w:p>
    <w:p w:rsidR="00BD3ADD" w:rsidRDefault="00BD3ADD" w:rsidP="00BD3ADD"/>
    <w:p w:rsidR="00BD3ADD" w:rsidRDefault="00BD3ADD" w:rsidP="00BD3ADD">
      <w:pPr>
        <w:pStyle w:val="Heading2"/>
      </w:pPr>
      <w:bookmarkStart w:id="8" w:name="_Toc150869213"/>
      <w:bookmarkStart w:id="9" w:name="_Toc178338220"/>
      <w:bookmarkStart w:id="10" w:name="_Toc206837284"/>
      <w:bookmarkStart w:id="11" w:name="_Toc210011655"/>
      <w:bookmarkStart w:id="12" w:name="_Toc210461435"/>
      <w:bookmarkStart w:id="13" w:name="_Toc210466428"/>
      <w:bookmarkStart w:id="14" w:name="_Toc272911742"/>
      <w:bookmarkStart w:id="15" w:name="_Toc411328312"/>
      <w:r w:rsidRPr="004D294E">
        <w:t>Background</w:t>
      </w:r>
      <w:bookmarkEnd w:id="8"/>
      <w:bookmarkEnd w:id="9"/>
      <w:bookmarkEnd w:id="10"/>
      <w:bookmarkEnd w:id="11"/>
      <w:bookmarkEnd w:id="12"/>
      <w:bookmarkEnd w:id="13"/>
      <w:bookmarkEnd w:id="14"/>
      <w:bookmarkEnd w:id="15"/>
    </w:p>
    <w:p w:rsidR="00BD3ADD" w:rsidRDefault="00BD3ADD" w:rsidP="00BD3ADD">
      <w:r>
        <w:t>ACART was established under section 32 of the HART Act, and first met in September 2005. Appendix 1 gives biographical information on ACART</w:t>
      </w:r>
      <w:r w:rsidR="000D459B">
        <w:t>’</w:t>
      </w:r>
      <w:r>
        <w:t>s membership during 2013/14.</w:t>
      </w:r>
    </w:p>
    <w:p w:rsidR="00BD3ADD" w:rsidRDefault="00BD3ADD" w:rsidP="00BD3ADD"/>
    <w:p w:rsidR="00BD3ADD" w:rsidRPr="004D294E" w:rsidRDefault="00BD3ADD" w:rsidP="00BD3ADD">
      <w:pPr>
        <w:pStyle w:val="Heading2"/>
      </w:pPr>
      <w:bookmarkStart w:id="16" w:name="_Toc150869214"/>
      <w:bookmarkStart w:id="17" w:name="_Toc178338222"/>
      <w:bookmarkStart w:id="18" w:name="_Toc206837286"/>
      <w:bookmarkStart w:id="19" w:name="_Toc272911743"/>
      <w:bookmarkStart w:id="20" w:name="_Toc411328313"/>
      <w:r w:rsidRPr="004D294E">
        <w:t>ACART</w:t>
      </w:r>
      <w:r w:rsidR="000D459B">
        <w:t>’</w:t>
      </w:r>
      <w:r w:rsidRPr="004D294E">
        <w:t>s functions</w:t>
      </w:r>
      <w:bookmarkEnd w:id="16"/>
      <w:bookmarkEnd w:id="17"/>
      <w:bookmarkEnd w:id="18"/>
      <w:bookmarkEnd w:id="19"/>
      <w:bookmarkEnd w:id="20"/>
    </w:p>
    <w:p w:rsidR="00BD3ADD" w:rsidRPr="004D294E" w:rsidRDefault="00BD3ADD" w:rsidP="00BD3ADD">
      <w:r w:rsidRPr="004D294E">
        <w:t>ACART</w:t>
      </w:r>
      <w:r w:rsidR="000D459B">
        <w:t>’</w:t>
      </w:r>
      <w:r w:rsidRPr="004D294E">
        <w:t>s functions, as set out in section</w:t>
      </w:r>
      <w:r>
        <w:t> </w:t>
      </w:r>
      <w:r w:rsidRPr="004D294E">
        <w:t>35 of the HART Act, are to:</w:t>
      </w:r>
    </w:p>
    <w:p w:rsidR="00BD3ADD" w:rsidRDefault="00BD3ADD" w:rsidP="00BD3ADD">
      <w:pPr>
        <w:pStyle w:val="Bullet"/>
      </w:pPr>
      <w:r>
        <w:t xml:space="preserve">issue guidelines and give advice to ECART on the matters that ECART must take into account in considering whether to give, change or cancel an approval for an extension to the applicable period for the storage of a human </w:t>
      </w:r>
      <w:r w:rsidRPr="00357669">
        <w:rPr>
          <w:i/>
        </w:rPr>
        <w:t>in vitro</w:t>
      </w:r>
      <w:r>
        <w:t xml:space="preserve"> gamete or a human </w:t>
      </w:r>
      <w:r w:rsidRPr="00357669">
        <w:rPr>
          <w:i/>
        </w:rPr>
        <w:t>in vitro</w:t>
      </w:r>
      <w:r>
        <w:t xml:space="preserve"> embryo</w:t>
      </w:r>
    </w:p>
    <w:p w:rsidR="00BD3ADD" w:rsidRPr="004D294E" w:rsidRDefault="00BD3ADD" w:rsidP="00BD3ADD">
      <w:pPr>
        <w:pStyle w:val="Bullet"/>
      </w:pPr>
      <w:r w:rsidRPr="004D294E">
        <w:t xml:space="preserve">issue guidelines and </w:t>
      </w:r>
      <w:r>
        <w:t xml:space="preserve">give </w:t>
      </w:r>
      <w:r w:rsidRPr="004D294E">
        <w:t>advice to ECART on any matter relating to any kind of assisted reproductive procedure or human reproductive research</w:t>
      </w:r>
      <w:r>
        <w:t>, and keep such guidelines and advice under review</w:t>
      </w:r>
    </w:p>
    <w:p w:rsidR="00BD3ADD" w:rsidRPr="00A469DC" w:rsidRDefault="00BD3ADD" w:rsidP="00BD3ADD">
      <w:pPr>
        <w:pStyle w:val="Bullet"/>
      </w:pPr>
      <w:r w:rsidRPr="00A469DC">
        <w:t xml:space="preserve">advise the Minister of Health on aspects of, or issues arising out of, kinds of assisted reproductive research and, without limitation, </w:t>
      </w:r>
      <w:r>
        <w:t xml:space="preserve">provide </w:t>
      </w:r>
      <w:r w:rsidRPr="00A469DC">
        <w:t>advi</w:t>
      </w:r>
      <w:r>
        <w:t>c</w:t>
      </w:r>
      <w:r w:rsidRPr="00A469DC">
        <w:t>e as to whether:</w:t>
      </w:r>
    </w:p>
    <w:p w:rsidR="00BD3ADD" w:rsidRPr="004D294E" w:rsidRDefault="00BD3ADD" w:rsidP="00BD3ADD">
      <w:pPr>
        <w:pStyle w:val="Dash"/>
      </w:pPr>
      <w:r w:rsidRPr="00A469DC">
        <w:t>the HART Act or another enactment should be amended to prohibit or provide fo</w:t>
      </w:r>
      <w:r w:rsidRPr="004D294E">
        <w:t>r any kind of assisted reproductive procedure or human reproductive research</w:t>
      </w:r>
    </w:p>
    <w:p w:rsidR="00BD3ADD" w:rsidRPr="004D294E" w:rsidRDefault="00BD3ADD" w:rsidP="00BD3ADD">
      <w:pPr>
        <w:pStyle w:val="Dash"/>
      </w:pPr>
      <w:r w:rsidRPr="004D294E">
        <w:t xml:space="preserve">any kind of procedure or treatment should be declared an established procedure </w:t>
      </w:r>
      <w:r>
        <w:t>(</w:t>
      </w:r>
      <w:r w:rsidRPr="008E074D">
        <w:t xml:space="preserve">that is, a procedure </w:t>
      </w:r>
      <w:r>
        <w:t xml:space="preserve">that </w:t>
      </w:r>
      <w:r w:rsidRPr="008E074D">
        <w:t>does not require ECART approval</w:t>
      </w:r>
      <w:r>
        <w:t>)</w:t>
      </w:r>
      <w:r w:rsidRPr="008E074D">
        <w:t xml:space="preserve"> </w:t>
      </w:r>
      <w:r w:rsidRPr="004D294E">
        <w:t>on the basis of the information, assessment, advice and ethical analysis required under section 6 of the HART Act</w:t>
      </w:r>
    </w:p>
    <w:p w:rsidR="00BD3ADD" w:rsidRPr="004D294E" w:rsidRDefault="00BD3ADD" w:rsidP="00BD3ADD">
      <w:pPr>
        <w:pStyle w:val="Dash"/>
      </w:pPr>
      <w:r w:rsidRPr="004D294E">
        <w:t>any established procedure should be modified or should cease to be an established procedure</w:t>
      </w:r>
    </w:p>
    <w:p w:rsidR="00BD3ADD" w:rsidRPr="004D294E" w:rsidRDefault="00BD3ADD" w:rsidP="00BD3ADD">
      <w:pPr>
        <w:pStyle w:val="Dash"/>
      </w:pPr>
      <w:r w:rsidRPr="004D294E">
        <w:t>a moratorium should be imposed on any kind of assisted reproductive procedure or human reproductive research</w:t>
      </w:r>
    </w:p>
    <w:p w:rsidR="00BD3ADD" w:rsidRPr="004D294E" w:rsidRDefault="00BD3ADD" w:rsidP="00BD3ADD">
      <w:pPr>
        <w:pStyle w:val="Dash"/>
      </w:pPr>
      <w:r w:rsidRPr="004D294E">
        <w:t>regulations should be made under section 76 of the HART Act to regulate the performance of any kind of assisted reproductive procedure or the conduct of any kind of human reproductive research</w:t>
      </w:r>
    </w:p>
    <w:p w:rsidR="00BD3ADD" w:rsidRPr="004D294E" w:rsidRDefault="00BD3ADD" w:rsidP="00BD3ADD">
      <w:pPr>
        <w:pStyle w:val="Bullet"/>
      </w:pPr>
      <w:r w:rsidRPr="004D294E">
        <w:lastRenderedPageBreak/>
        <w:t xml:space="preserve">liaise with </w:t>
      </w:r>
      <w:r>
        <w:t xml:space="preserve">ECART </w:t>
      </w:r>
      <w:r w:rsidRPr="004D294E">
        <w:t xml:space="preserve">on general and specific matters relating to assisted reproductive procedures </w:t>
      </w:r>
      <w:r>
        <w:t>or</w:t>
      </w:r>
      <w:r w:rsidRPr="004D294E">
        <w:t xml:space="preserve"> human reproductive research</w:t>
      </w:r>
    </w:p>
    <w:p w:rsidR="00BD3ADD" w:rsidRPr="004D294E" w:rsidRDefault="00BD3ADD" w:rsidP="00BD3ADD">
      <w:pPr>
        <w:pStyle w:val="Bullet"/>
      </w:pPr>
      <w:r w:rsidRPr="004D294E">
        <w:t>consult with anyone who, in the opinion of ACART, is able to assist it to perform its functions</w:t>
      </w:r>
    </w:p>
    <w:p w:rsidR="00BD3ADD" w:rsidRPr="004D294E" w:rsidRDefault="00BD3ADD" w:rsidP="00BD3ADD">
      <w:pPr>
        <w:pStyle w:val="Bullet"/>
      </w:pPr>
      <w:r w:rsidRPr="004D294E">
        <w:t>perform any other function that the Minister of Health assigns to it by written notice.</w:t>
      </w:r>
    </w:p>
    <w:p w:rsidR="00BD3ADD" w:rsidRPr="004D294E" w:rsidRDefault="00BD3ADD" w:rsidP="00BD3ADD"/>
    <w:p w:rsidR="00BD3ADD" w:rsidRPr="004D294E" w:rsidRDefault="00BD3ADD" w:rsidP="00BD3ADD">
      <w:r w:rsidRPr="004D294E">
        <w:t>For the purposes of performing the above functions, ACART must monitor:</w:t>
      </w:r>
    </w:p>
    <w:p w:rsidR="00BD3ADD" w:rsidRPr="004D294E" w:rsidRDefault="00BD3ADD" w:rsidP="00BD3ADD">
      <w:pPr>
        <w:pStyle w:val="Bullet"/>
      </w:pPr>
      <w:r w:rsidRPr="004D294E">
        <w:t>the application, and health outcomes, of assisted reproductive procedures and established procedures</w:t>
      </w:r>
    </w:p>
    <w:p w:rsidR="00BD3ADD" w:rsidRDefault="00BD3ADD" w:rsidP="00BD3ADD">
      <w:pPr>
        <w:pStyle w:val="Bullet"/>
      </w:pPr>
      <w:r w:rsidRPr="004D294E">
        <w:t>developments in human reproductive research.</w:t>
      </w:r>
    </w:p>
    <w:p w:rsidR="00BD3ADD" w:rsidRDefault="00BD3ADD" w:rsidP="00BD3ADD"/>
    <w:p w:rsidR="00BD3ADD" w:rsidRDefault="00BD3ADD" w:rsidP="00BD3ADD">
      <w:r>
        <w:t>ACART</w:t>
      </w:r>
      <w:r w:rsidR="000D459B">
        <w:t>’</w:t>
      </w:r>
      <w:r>
        <w:t>s terms of reference are available on its website www.acart.health.govt.nz</w:t>
      </w:r>
    </w:p>
    <w:p w:rsidR="008569C6" w:rsidRDefault="008569C6" w:rsidP="00BD3ADD"/>
    <w:p w:rsidR="00950BDD" w:rsidRPr="003B2165" w:rsidRDefault="00950BDD" w:rsidP="00200E40"/>
    <w:p w:rsidR="00570F40" w:rsidRDefault="00570F40" w:rsidP="00200E40">
      <w:pPr>
        <w:pStyle w:val="Heading1"/>
        <w:jc w:val="both"/>
        <w:sectPr w:rsidR="00570F40" w:rsidSect="00E414C6">
          <w:footerReference w:type="even" r:id="rId22"/>
          <w:headerReference w:type="first" r:id="rId23"/>
          <w:footerReference w:type="first" r:id="rId24"/>
          <w:pgSz w:w="11907" w:h="16834" w:code="9"/>
          <w:pgMar w:top="1701" w:right="1418" w:bottom="1701" w:left="1701" w:header="0" w:footer="425" w:gutter="0"/>
          <w:pgNumType w:start="1"/>
          <w:cols w:space="720"/>
          <w:titlePg/>
        </w:sectPr>
      </w:pPr>
      <w:bookmarkStart w:id="21" w:name="_Toc206837288"/>
      <w:bookmarkStart w:id="22" w:name="_Toc210011656"/>
      <w:bookmarkStart w:id="23" w:name="_Toc210461436"/>
      <w:bookmarkStart w:id="24" w:name="_Toc210466429"/>
      <w:bookmarkStart w:id="25" w:name="_Toc272911744"/>
    </w:p>
    <w:p w:rsidR="008569C6" w:rsidRDefault="000F0E9D" w:rsidP="000D78C6">
      <w:pPr>
        <w:pStyle w:val="Heading1"/>
      </w:pPr>
      <w:bookmarkStart w:id="26" w:name="_Toc411328314"/>
      <w:r>
        <w:lastRenderedPageBreak/>
        <w:t>ACART</w:t>
      </w:r>
      <w:r w:rsidR="000D459B">
        <w:t>’</w:t>
      </w:r>
      <w:r>
        <w:t>s w</w:t>
      </w:r>
      <w:r w:rsidR="008569C6" w:rsidRPr="004D294E">
        <w:t>ork</w:t>
      </w:r>
      <w:r w:rsidR="008569C6">
        <w:t xml:space="preserve"> </w:t>
      </w:r>
      <w:r w:rsidR="006C3777">
        <w:t>d</w:t>
      </w:r>
      <w:r w:rsidR="008569C6">
        <w:t xml:space="preserve">uring </w:t>
      </w:r>
      <w:bookmarkEnd w:id="21"/>
      <w:bookmarkEnd w:id="22"/>
      <w:bookmarkEnd w:id="23"/>
      <w:bookmarkEnd w:id="24"/>
      <w:r w:rsidR="008569C6">
        <w:t>20</w:t>
      </w:r>
      <w:r w:rsidR="00066C03">
        <w:t>1</w:t>
      </w:r>
      <w:r w:rsidR="00370BDB">
        <w:t>3</w:t>
      </w:r>
      <w:r w:rsidR="00066C03">
        <w:t>/1</w:t>
      </w:r>
      <w:bookmarkEnd w:id="25"/>
      <w:r w:rsidR="00370BDB">
        <w:t>4</w:t>
      </w:r>
      <w:bookmarkEnd w:id="26"/>
    </w:p>
    <w:p w:rsidR="005F4B1B" w:rsidRDefault="005F4B1B" w:rsidP="00BD3ADD">
      <w:pPr>
        <w:pStyle w:val="Heading2"/>
      </w:pPr>
      <w:bookmarkStart w:id="27" w:name="_Toc411328315"/>
      <w:r w:rsidRPr="005F4B1B">
        <w:t xml:space="preserve">ACART </w:t>
      </w:r>
      <w:r w:rsidR="00DE4E14">
        <w:t>meetings</w:t>
      </w:r>
      <w:bookmarkEnd w:id="27"/>
    </w:p>
    <w:p w:rsidR="00BD3ADD" w:rsidRDefault="00BD3ADD" w:rsidP="00BD3ADD">
      <w:r>
        <w:t>ACART met as a full committee, with the support of the Secretariat, six times during 2013/14. (Appendix 2 sets out member attendance at these meetings.) Working groups met as required between meetings to progress projects. (Appendix 3 sets out further information on working group membership and meetings.)</w:t>
      </w:r>
    </w:p>
    <w:p w:rsidR="00BD3ADD" w:rsidRDefault="00BD3ADD" w:rsidP="00BD3ADD"/>
    <w:p w:rsidR="00BD3ADD" w:rsidRDefault="00BD3ADD" w:rsidP="00BD3ADD">
      <w:pPr>
        <w:pStyle w:val="Heading2"/>
      </w:pPr>
      <w:bookmarkStart w:id="28" w:name="_Toc150869218"/>
      <w:bookmarkStart w:id="29" w:name="_Toc178338226"/>
      <w:bookmarkStart w:id="30" w:name="_Toc206837289"/>
      <w:bookmarkStart w:id="31" w:name="_Toc210011658"/>
      <w:bookmarkStart w:id="32" w:name="_Toc210461438"/>
      <w:bookmarkStart w:id="33" w:name="_Toc210466431"/>
      <w:bookmarkStart w:id="34" w:name="_Toc272911747"/>
      <w:bookmarkStart w:id="35" w:name="_Toc304292505"/>
      <w:bookmarkStart w:id="36" w:name="_Toc411328316"/>
      <w:r w:rsidRPr="006C3777">
        <w:t xml:space="preserve">Key projects in </w:t>
      </w:r>
      <w:bookmarkEnd w:id="28"/>
      <w:bookmarkEnd w:id="29"/>
      <w:bookmarkEnd w:id="30"/>
      <w:bookmarkEnd w:id="31"/>
      <w:bookmarkEnd w:id="32"/>
      <w:bookmarkEnd w:id="33"/>
      <w:r w:rsidRPr="006C3777">
        <w:t>201</w:t>
      </w:r>
      <w:r>
        <w:t>3</w:t>
      </w:r>
      <w:r w:rsidRPr="006C3777">
        <w:t>/1</w:t>
      </w:r>
      <w:bookmarkStart w:id="37" w:name="_Toc178338227"/>
      <w:bookmarkStart w:id="38" w:name="_Toc206837290"/>
      <w:bookmarkEnd w:id="34"/>
      <w:bookmarkEnd w:id="35"/>
      <w:r>
        <w:t>4</w:t>
      </w:r>
      <w:bookmarkEnd w:id="36"/>
    </w:p>
    <w:p w:rsidR="00BD3ADD" w:rsidRPr="00BE4553" w:rsidRDefault="00BD3ADD" w:rsidP="00BD3ADD">
      <w:pPr>
        <w:pStyle w:val="Heading3"/>
      </w:pPr>
      <w:r w:rsidRPr="00BE4553">
        <w:t>Guidelines projects</w:t>
      </w:r>
    </w:p>
    <w:p w:rsidR="00BD3ADD" w:rsidRPr="00BE4553" w:rsidRDefault="00BD3ADD" w:rsidP="00BD3ADD">
      <w:pPr>
        <w:pStyle w:val="Heading4"/>
      </w:pPr>
      <w:r w:rsidRPr="00BD3ADD">
        <w:rPr>
          <w:i w:val="0"/>
        </w:rPr>
        <w:t>Issuing</w:t>
      </w:r>
      <w:r w:rsidRPr="00BE4553">
        <w:t xml:space="preserve"> Guidelines on Surrogacy involving Assisted Reproductive Procedures and Guidelines on Donation of Eggs or Sperm between Certain Family Members</w:t>
      </w:r>
    </w:p>
    <w:p w:rsidR="00BD3ADD" w:rsidRDefault="00BD3ADD" w:rsidP="00BD3ADD">
      <w:r>
        <w:t>ACART received a complaint from a male couple in August 2011, through the Human Rights Commission, that ACART</w:t>
      </w:r>
      <w:r w:rsidR="000D459B">
        <w:t>’</w:t>
      </w:r>
      <w:r>
        <w:t xml:space="preserve">s </w:t>
      </w:r>
      <w:r w:rsidRPr="001E1A00">
        <w:rPr>
          <w:i/>
        </w:rPr>
        <w:t>Guidelines on Surrogacy Arrangements involving Providers of Fertility Services</w:t>
      </w:r>
      <w:r w:rsidRPr="00CC69B4">
        <w:t xml:space="preserve"> discriminate on the basis of sex and sexual orientation, because the guidelines requi</w:t>
      </w:r>
      <w:r>
        <w:t xml:space="preserve">re ECART to determine that the </w:t>
      </w:r>
      <w:r w:rsidR="000D459B">
        <w:t>‘</w:t>
      </w:r>
      <w:r>
        <w:t>intending mother</w:t>
      </w:r>
      <w:r w:rsidR="000D459B">
        <w:t>’</w:t>
      </w:r>
      <w:r>
        <w:t xml:space="preserve"> must meet criteria based on medical need. ACART agreed that the policy was </w:t>
      </w:r>
      <w:r w:rsidRPr="00357669">
        <w:t>prima facie</w:t>
      </w:r>
      <w:r>
        <w:t xml:space="preserve"> discriminatory.</w:t>
      </w:r>
    </w:p>
    <w:p w:rsidR="00BD3ADD" w:rsidRDefault="00BD3ADD" w:rsidP="00BD3ADD"/>
    <w:p w:rsidR="00BD3ADD" w:rsidRDefault="00BD3ADD" w:rsidP="00BD3ADD">
      <w:r>
        <w:t>In June 2012 ACART completed work on a consultation document about proposed amendments to the surrogacy and family gamete donation guidelines. Public consultation took place between July and September 2012.</w:t>
      </w:r>
      <w:r w:rsidR="000D459B">
        <w:t xml:space="preserve"> </w:t>
      </w:r>
      <w:r>
        <w:t>ACART then consulted with the Minister of Health before issuing the amended guidelines, as required by section 41(2) of the HART Act.</w:t>
      </w:r>
    </w:p>
    <w:p w:rsidR="00BD3ADD" w:rsidRDefault="00BD3ADD" w:rsidP="00BD3ADD"/>
    <w:p w:rsidR="00BD3ADD" w:rsidRDefault="00BD3ADD" w:rsidP="00BD3ADD">
      <w:r>
        <w:t xml:space="preserve">ACART issued amended </w:t>
      </w:r>
      <w:r w:rsidRPr="00BD3ADD">
        <w:rPr>
          <w:i/>
        </w:rPr>
        <w:t>Guidelines on Surrogacy involving Assisted Reproductive Procedures</w:t>
      </w:r>
      <w:r>
        <w:t xml:space="preserve"> and </w:t>
      </w:r>
      <w:r w:rsidRPr="00BD3ADD">
        <w:rPr>
          <w:i/>
        </w:rPr>
        <w:t>Guidelines on Donation of Eggs or Sperm between Certain Family Members</w:t>
      </w:r>
      <w:r>
        <w:t xml:space="preserve"> to come into effect on 16 December 2013.</w:t>
      </w:r>
    </w:p>
    <w:p w:rsidR="00BD3ADD" w:rsidRDefault="00BD3ADD" w:rsidP="00BD3ADD"/>
    <w:p w:rsidR="00BD3ADD" w:rsidRPr="00BE4553" w:rsidRDefault="00BD3ADD" w:rsidP="00BD3ADD">
      <w:pPr>
        <w:pStyle w:val="Heading4"/>
      </w:pPr>
      <w:bookmarkStart w:id="39" w:name="_Toc178338228"/>
      <w:bookmarkStart w:id="40" w:name="_Toc206837291"/>
      <w:bookmarkEnd w:id="37"/>
      <w:bookmarkEnd w:id="38"/>
      <w:r w:rsidRPr="00BD3ADD">
        <w:rPr>
          <w:i w:val="0"/>
        </w:rPr>
        <w:t>Review of eligibility criteria in</w:t>
      </w:r>
      <w:r w:rsidRPr="00BE4553">
        <w:t xml:space="preserve"> Guidelines on Embryo Donation for Reproductive Purposes</w:t>
      </w:r>
      <w:r w:rsidRPr="00BD3ADD">
        <w:rPr>
          <w:i w:val="0"/>
        </w:rPr>
        <w:t xml:space="preserve"> and </w:t>
      </w:r>
      <w:r w:rsidRPr="00BE4553">
        <w:t>Guidelines on the Creation and Use, for Reproductive Purposes, of an Embryo created from Donated Eggs in conjunction with Donated Sperm</w:t>
      </w:r>
    </w:p>
    <w:p w:rsidR="00BD3ADD" w:rsidRDefault="00BD3ADD" w:rsidP="0070358F">
      <w:r>
        <w:t xml:space="preserve">This review of eligibility criteria follows the review instigated by the 2011 complaint to the Human Rights Commission. ACART decided in March 2013 that the project should include reviewing whether the embryo donation guidelines should be amended to enable the donation of an embryo created from donated gametes. The project has been on hold while other projects are progressed, and will resume in </w:t>
      </w:r>
      <w:r w:rsidR="0070358F">
        <w:t>early 2015.</w:t>
      </w:r>
    </w:p>
    <w:p w:rsidR="0070358F" w:rsidRDefault="0070358F" w:rsidP="0070358F"/>
    <w:p w:rsidR="00BD3ADD" w:rsidRPr="00787792" w:rsidRDefault="00BD3ADD" w:rsidP="0070358F">
      <w:pPr>
        <w:pStyle w:val="Heading4"/>
      </w:pPr>
      <w:r w:rsidRPr="00787792">
        <w:lastRenderedPageBreak/>
        <w:t>Guidelines on Preimplantation Genetic Diagnosis with Human Leucocyte Antigen Tissue Typing</w:t>
      </w:r>
    </w:p>
    <w:p w:rsidR="00BD3ADD" w:rsidRDefault="00BD3ADD" w:rsidP="0070358F">
      <w:r>
        <w:t>In May 2009 ACART consulted with the Minister of Health on g</w:t>
      </w:r>
      <w:r w:rsidRPr="00357669">
        <w:t>uidel</w:t>
      </w:r>
      <w:r>
        <w:t>ines for the use of p</w:t>
      </w:r>
      <w:r w:rsidRPr="00357669">
        <w:t>reimplantation genetic</w:t>
      </w:r>
      <w:r>
        <w:t xml:space="preserve"> </w:t>
      </w:r>
      <w:r w:rsidRPr="00357669">
        <w:t>di</w:t>
      </w:r>
      <w:r>
        <w:t>agnosis (PGD) with human leuc</w:t>
      </w:r>
      <w:r w:rsidRPr="00357669">
        <w:t>ocyte antigen</w:t>
      </w:r>
      <w:r>
        <w:t xml:space="preserve"> (HLA)</w:t>
      </w:r>
      <w:r w:rsidRPr="00357669">
        <w:t xml:space="preserve"> tissue typing</w:t>
      </w:r>
      <w:r w:rsidRPr="00D8398F">
        <w:t>.</w:t>
      </w:r>
      <w:r>
        <w:t xml:space="preserve"> The guidelines are intended to replace the existing PGD guidelines, developed by the former National Ethics Committee on Assisted Human Reproduction.</w:t>
      </w:r>
    </w:p>
    <w:p w:rsidR="00BD3ADD" w:rsidRDefault="00BD3ADD" w:rsidP="0070358F"/>
    <w:p w:rsidR="00BD3ADD" w:rsidRDefault="00BD3ADD" w:rsidP="0070358F">
      <w:r>
        <w:t>After receiving ACART</w:t>
      </w:r>
      <w:r w:rsidR="000D459B">
        <w:t>’</w:t>
      </w:r>
      <w:r>
        <w:t>s consultation report, the Minister asked the National Ethics Advisory Committee (NEAC) to provide him with advice on the guidelines. After receiving NEAC</w:t>
      </w:r>
      <w:r w:rsidR="000D459B">
        <w:t>’</w:t>
      </w:r>
      <w:r>
        <w:t>s advice in August 2009, the Minister invited ACART to comment on some matters raised by NEAC.</w:t>
      </w:r>
    </w:p>
    <w:p w:rsidR="00BD3ADD" w:rsidRDefault="00BD3ADD" w:rsidP="0070358F"/>
    <w:p w:rsidR="00BD3ADD" w:rsidRPr="00BE4553" w:rsidRDefault="00BD3ADD" w:rsidP="0070358F">
      <w:r>
        <w:t>ACART subsequently presented amended guidelines to the Minister in July 2011. The Deputy Chair, with the Chair of ECART and an ECART member, met the Minister on 9</w:t>
      </w:r>
      <w:bookmarkStart w:id="41" w:name="_GoBack"/>
      <w:bookmarkEnd w:id="41"/>
      <w:r w:rsidR="0070358F">
        <w:t> </w:t>
      </w:r>
      <w:r>
        <w:t xml:space="preserve">June 2014 to discuss the guidelines. ACART issued </w:t>
      </w:r>
      <w:r>
        <w:rPr>
          <w:i/>
        </w:rPr>
        <w:t xml:space="preserve">Guidelines on Preimplantation Genetic Diagnosis with Human Leucocyte Antigen Tissue Typing </w:t>
      </w:r>
      <w:r>
        <w:t>which came into effect in August 2014.</w:t>
      </w:r>
    </w:p>
    <w:p w:rsidR="00BD3ADD" w:rsidRDefault="00BD3ADD" w:rsidP="0070358F"/>
    <w:p w:rsidR="00BD3ADD" w:rsidRPr="00BE4553" w:rsidRDefault="00BD3ADD" w:rsidP="0070358F">
      <w:pPr>
        <w:pStyle w:val="Heading3"/>
      </w:pPr>
      <w:r w:rsidRPr="00BE4553">
        <w:t>Advice projects</w:t>
      </w:r>
    </w:p>
    <w:p w:rsidR="00BD3ADD" w:rsidRPr="0070358F" w:rsidRDefault="00BD3ADD" w:rsidP="0070358F">
      <w:pPr>
        <w:pStyle w:val="Heading4"/>
        <w:rPr>
          <w:i w:val="0"/>
        </w:rPr>
      </w:pPr>
      <w:r w:rsidRPr="0070358F">
        <w:rPr>
          <w:i w:val="0"/>
        </w:rPr>
        <w:t>Advice to the Minister of Health on import and export of gametes and embryos</w:t>
      </w:r>
    </w:p>
    <w:p w:rsidR="00BD3ADD" w:rsidRDefault="00BD3ADD" w:rsidP="0070358F">
      <w:pPr>
        <w:rPr>
          <w:szCs w:val="22"/>
        </w:rPr>
      </w:pPr>
      <w:r>
        <w:t>The movement of gametes and embryos in and out of New Zealand can be seen in the context of recent growth in cross-border reproductive care. T</w:t>
      </w:r>
      <w:r>
        <w:rPr>
          <w:szCs w:val="22"/>
        </w:rPr>
        <w:t>he HART Act requires ACART to:</w:t>
      </w:r>
    </w:p>
    <w:p w:rsidR="00BD3ADD" w:rsidRDefault="00BD3ADD" w:rsidP="0070358F">
      <w:pPr>
        <w:pStyle w:val="Bullet"/>
      </w:pPr>
      <w:r>
        <w:t xml:space="preserve">provide the Minister of Health with information, advice and, if it thinks fit, recommendations on the import into, or export from, New Zealand of </w:t>
      </w:r>
      <w:r w:rsidRPr="00357669">
        <w:rPr>
          <w:i/>
        </w:rPr>
        <w:t>in vitro</w:t>
      </w:r>
      <w:r>
        <w:t xml:space="preserve"> human gametes or </w:t>
      </w:r>
      <w:r w:rsidRPr="00357669">
        <w:rPr>
          <w:i/>
        </w:rPr>
        <w:t>in vitro</w:t>
      </w:r>
      <w:r>
        <w:t xml:space="preserve"> human embryos in respect of human reproductive research (section 37(1)(g))</w:t>
      </w:r>
    </w:p>
    <w:p w:rsidR="00BD3ADD" w:rsidRDefault="00BD3ADD" w:rsidP="0070358F">
      <w:pPr>
        <w:pStyle w:val="Bullet"/>
      </w:pPr>
      <w:r>
        <w:t xml:space="preserve">provide the Minister of Health with information, advice and, if it thinks fit, recommendations on the import into, or export from, New Zealand of </w:t>
      </w:r>
      <w:r w:rsidRPr="00DF3657">
        <w:rPr>
          <w:i/>
        </w:rPr>
        <w:t xml:space="preserve">in vitro </w:t>
      </w:r>
      <w:r>
        <w:t xml:space="preserve">donated cells or </w:t>
      </w:r>
      <w:r w:rsidRPr="00DF3657">
        <w:rPr>
          <w:i/>
        </w:rPr>
        <w:t>in vitro</w:t>
      </w:r>
      <w:r>
        <w:t xml:space="preserve"> donated embryos in relation to human assisted reproductive technology (section 38(f)).</w:t>
      </w:r>
    </w:p>
    <w:p w:rsidR="00BD3ADD" w:rsidRDefault="00BD3ADD" w:rsidP="0070358F"/>
    <w:p w:rsidR="00BD3ADD" w:rsidRDefault="00BD3ADD" w:rsidP="0070358F">
      <w:r>
        <w:t>ACART must undertake public consultation on proposed advice before it advises the Minister of Health. For this project ACART has undertaken two rounds of public consultation.</w:t>
      </w:r>
    </w:p>
    <w:p w:rsidR="00BD3ADD" w:rsidRDefault="00BD3ADD" w:rsidP="0070358F"/>
    <w:p w:rsidR="00BD3ADD" w:rsidRDefault="00BD3ADD" w:rsidP="0070358F">
      <w:pPr>
        <w:rPr>
          <w:rFonts w:cs="Arial"/>
          <w:i/>
        </w:rPr>
      </w:pPr>
      <w:r>
        <w:t>The first consultation stage, between March and June 2013, focused on eliciting views on some key ethical and policy issues that arise from the differences between requirements in other countries and in New Zealand.</w:t>
      </w:r>
      <w:r w:rsidRPr="0015778B">
        <w:rPr>
          <w:rFonts w:cs="Arial"/>
          <w:szCs w:val="22"/>
          <w:lang w:eastAsia="en-NZ"/>
        </w:rPr>
        <w:t xml:space="preserve"> The consultation was based on a paper ACART issued entitled </w:t>
      </w:r>
      <w:r w:rsidRPr="00AB76BB">
        <w:rPr>
          <w:rFonts w:cs="Arial"/>
          <w:i/>
        </w:rPr>
        <w:t>Import and Export of Gametes and Embryos: Background pa</w:t>
      </w:r>
      <w:r>
        <w:rPr>
          <w:rFonts w:cs="Arial"/>
          <w:i/>
        </w:rPr>
        <w:t>per for stakeholder discussion.</w:t>
      </w:r>
    </w:p>
    <w:p w:rsidR="00BD3ADD" w:rsidRDefault="00BD3ADD" w:rsidP="0070358F"/>
    <w:p w:rsidR="00BD3ADD" w:rsidRPr="0070358F" w:rsidRDefault="00BD3ADD" w:rsidP="0070358F">
      <w:pPr>
        <w:keepLines/>
      </w:pPr>
      <w:r>
        <w:lastRenderedPageBreak/>
        <w:t xml:space="preserve">ACART then undertook in February–March 2014 the public consultation on proposed advice to the Minister of Health, as required by the HART Act. ACART issued a public consultation document </w:t>
      </w:r>
      <w:r>
        <w:rPr>
          <w:i/>
        </w:rPr>
        <w:t>Import and Export of Gametes and Embryos: Proposed advice to the Mi</w:t>
      </w:r>
      <w:r w:rsidR="0070358F">
        <w:rPr>
          <w:i/>
        </w:rPr>
        <w:t>nister of Health</w:t>
      </w:r>
      <w:r w:rsidR="0070358F" w:rsidRPr="0070358F">
        <w:t>.</w:t>
      </w:r>
    </w:p>
    <w:p w:rsidR="00BD3ADD" w:rsidRPr="0015778B" w:rsidRDefault="00BD3ADD" w:rsidP="0070358F">
      <w:pPr>
        <w:rPr>
          <w:lang w:eastAsia="en-NZ"/>
        </w:rPr>
      </w:pPr>
    </w:p>
    <w:p w:rsidR="00BD3ADD" w:rsidRDefault="00BD3ADD" w:rsidP="0070358F">
      <w:pPr>
        <w:rPr>
          <w:lang w:eastAsia="en-NZ"/>
        </w:rPr>
      </w:pPr>
      <w:r>
        <w:rPr>
          <w:lang w:eastAsia="en-NZ"/>
        </w:rPr>
        <w:t xml:space="preserve">The consultation elicited 17 </w:t>
      </w:r>
      <w:r w:rsidRPr="0015778B">
        <w:rPr>
          <w:lang w:eastAsia="en-NZ"/>
        </w:rPr>
        <w:t>submissions</w:t>
      </w:r>
      <w:r>
        <w:rPr>
          <w:lang w:eastAsia="en-NZ"/>
        </w:rPr>
        <w:t xml:space="preserve"> and the Chair held one meeting. </w:t>
      </w:r>
      <w:r>
        <w:t>ACART reported finalised advice to the Minister of Health in late 2014.</w:t>
      </w:r>
    </w:p>
    <w:p w:rsidR="00BD3ADD" w:rsidRDefault="00BD3ADD" w:rsidP="0070358F"/>
    <w:p w:rsidR="00BD3ADD" w:rsidRPr="0070358F" w:rsidRDefault="00BD3ADD" w:rsidP="0070358F">
      <w:pPr>
        <w:pStyle w:val="Heading4"/>
        <w:rPr>
          <w:i w:val="0"/>
        </w:rPr>
      </w:pPr>
      <w:r w:rsidRPr="0070358F">
        <w:rPr>
          <w:i w:val="0"/>
        </w:rPr>
        <w:t>Advice to the Minister of Health on human reproductive research</w:t>
      </w:r>
    </w:p>
    <w:p w:rsidR="00BD3ADD" w:rsidRDefault="00BD3ADD" w:rsidP="0070358F">
      <w:r w:rsidRPr="004D294E">
        <w:t xml:space="preserve">Section 37 </w:t>
      </w:r>
      <w:r>
        <w:t>of the HART Act requires</w:t>
      </w:r>
      <w:r w:rsidRPr="004D294E">
        <w:t xml:space="preserve"> ACART to provide the Minister of Health with information, advice and, if it thinks fit, recommendations on </w:t>
      </w:r>
      <w:r>
        <w:t>certain</w:t>
      </w:r>
      <w:r w:rsidRPr="004D294E">
        <w:t xml:space="preserve"> matters in relation to the use of gametes and embryos in human reproductive research</w:t>
      </w:r>
      <w:r>
        <w:t>.</w:t>
      </w:r>
    </w:p>
    <w:p w:rsidR="00BD3ADD" w:rsidRPr="004D294E" w:rsidRDefault="00BD3ADD" w:rsidP="0070358F"/>
    <w:p w:rsidR="00BD3ADD" w:rsidRDefault="00BD3ADD" w:rsidP="0070358F">
      <w:r>
        <w:t xml:space="preserve">In June 2007 </w:t>
      </w:r>
      <w:r w:rsidRPr="004306C6">
        <w:t>ACART provided the</w:t>
      </w:r>
      <w:r>
        <w:t xml:space="preserve"> then</w:t>
      </w:r>
      <w:r w:rsidRPr="004306C6">
        <w:t xml:space="preserve"> Minister of Health with advice on</w:t>
      </w:r>
      <w:r>
        <w:t xml:space="preserve"> human reproductive research</w:t>
      </w:r>
      <w:r w:rsidRPr="00AC4FAF">
        <w:t xml:space="preserve"> </w:t>
      </w:r>
      <w:r>
        <w:t xml:space="preserve">following extensive public consultation in the 2006/07 financial year. At the request of the Minister, ACART has not undertaken any work to develop guidelines or further advice. The current </w:t>
      </w:r>
      <w:r>
        <w:rPr>
          <w:i/>
        </w:rPr>
        <w:t>Guidelines for Research on Gametes and Non-Viable Embryos</w:t>
      </w:r>
      <w:r>
        <w:t>, developed by the former National Ethics Committee on Assisted Human Reproduction, remain in force.</w:t>
      </w:r>
    </w:p>
    <w:p w:rsidR="00BD3ADD" w:rsidRDefault="00BD3ADD" w:rsidP="0070358F"/>
    <w:p w:rsidR="00BD3ADD" w:rsidRDefault="00BD3ADD" w:rsidP="0070358F">
      <w:r>
        <w:t>ACART continues to monitor human reproductive research, including statutory requirements in other jurisdictions. ACART</w:t>
      </w:r>
      <w:r w:rsidR="000D459B">
        <w:t>’</w:t>
      </w:r>
      <w:r>
        <w:t>s Briefing to the Incoming Minister of Health includes discussion about human reproductive research</w:t>
      </w:r>
      <w:r w:rsidR="0070358F">
        <w:t>.</w:t>
      </w:r>
    </w:p>
    <w:p w:rsidR="0070358F" w:rsidRDefault="0070358F" w:rsidP="0070358F"/>
    <w:p w:rsidR="00BD3ADD" w:rsidRPr="0070358F" w:rsidRDefault="00BD3ADD" w:rsidP="0070358F">
      <w:pPr>
        <w:pStyle w:val="Heading4"/>
        <w:rPr>
          <w:i w:val="0"/>
        </w:rPr>
      </w:pPr>
      <w:r w:rsidRPr="0070358F">
        <w:rPr>
          <w:i w:val="0"/>
        </w:rPr>
        <w:t>Advice to the Minister of Health on informed consent</w:t>
      </w:r>
    </w:p>
    <w:p w:rsidR="00BD3ADD" w:rsidRDefault="00BD3ADD" w:rsidP="0070358F">
      <w:r>
        <w:t>ACART is required to provide the Minister of Health with advice on requirements for informed consent in relation to the use of gametes and embryos in human reproductive research (section 37(1)(f) of the HART Act), and in relation to human assisted reproductive technology (section 38(d)).</w:t>
      </w:r>
    </w:p>
    <w:p w:rsidR="00BD3ADD" w:rsidRDefault="00BD3ADD" w:rsidP="0070358F"/>
    <w:p w:rsidR="00BD3ADD" w:rsidRDefault="00BD3ADD" w:rsidP="0070358F">
      <w:r>
        <w:t>ACART</w:t>
      </w:r>
      <w:r w:rsidR="000D459B">
        <w:t>’</w:t>
      </w:r>
      <w:r>
        <w:t>s current work to develop advice on informed consent is focused on the context of human assisted reproductive technology. ACART has concluded that informed consent in the context of human reproductive research is best addressed as part of any future work to review guidelines on human reproductive research.</w:t>
      </w:r>
    </w:p>
    <w:p w:rsidR="00BD3ADD" w:rsidRDefault="00BD3ADD" w:rsidP="0070358F"/>
    <w:p w:rsidR="00BD3ADD" w:rsidRDefault="00BD3ADD" w:rsidP="0070358F">
      <w:r>
        <w:t>The work in this period included a subproject with the goal of obtaining robust descriptive information on clinics</w:t>
      </w:r>
      <w:r w:rsidR="000D459B">
        <w:t>’</w:t>
      </w:r>
      <w:r>
        <w:t xml:space="preserve"> informed consent processes, and any challenges for clinics in respect of informed consent. Secretariat staff interviewed staff members in the three Auckland fertility clinics. The report of the subproject was sent to the clinics involved for review.</w:t>
      </w:r>
    </w:p>
    <w:p w:rsidR="00BD3ADD" w:rsidRDefault="00BD3ADD" w:rsidP="0070358F"/>
    <w:p w:rsidR="00BD3ADD" w:rsidRDefault="00BD3ADD" w:rsidP="0070358F">
      <w:r>
        <w:t>ACART plans to undertake public consultation in the first half of 2015 on its proposed advice to the Minister of Health.</w:t>
      </w:r>
    </w:p>
    <w:p w:rsidR="00BD3ADD" w:rsidRDefault="00BD3ADD" w:rsidP="0070358F"/>
    <w:p w:rsidR="00BD3ADD" w:rsidRDefault="00BD3ADD" w:rsidP="0070358F">
      <w:pPr>
        <w:pStyle w:val="Heading2"/>
      </w:pPr>
      <w:bookmarkStart w:id="42" w:name="_Toc206837293"/>
      <w:bookmarkStart w:id="43" w:name="_Toc210011659"/>
      <w:bookmarkStart w:id="44" w:name="_Toc210461439"/>
      <w:bookmarkStart w:id="45" w:name="_Toc210466432"/>
      <w:bookmarkStart w:id="46" w:name="_Toc272911750"/>
      <w:bookmarkStart w:id="47" w:name="_Toc304292508"/>
      <w:bookmarkStart w:id="48" w:name="_Toc411328317"/>
      <w:bookmarkEnd w:id="39"/>
      <w:bookmarkEnd w:id="40"/>
      <w:r>
        <w:lastRenderedPageBreak/>
        <w:t>ACART</w:t>
      </w:r>
      <w:r w:rsidR="000D459B">
        <w:t>’</w:t>
      </w:r>
      <w:r>
        <w:t>s m</w:t>
      </w:r>
      <w:r w:rsidRPr="00A65535">
        <w:t>onitoring</w:t>
      </w:r>
      <w:bookmarkEnd w:id="42"/>
      <w:bookmarkEnd w:id="43"/>
      <w:bookmarkEnd w:id="44"/>
      <w:bookmarkEnd w:id="45"/>
      <w:bookmarkEnd w:id="46"/>
      <w:bookmarkEnd w:id="47"/>
      <w:r>
        <w:t xml:space="preserve"> functions</w:t>
      </w:r>
      <w:bookmarkEnd w:id="48"/>
    </w:p>
    <w:p w:rsidR="00BD3ADD" w:rsidRPr="00B954F8" w:rsidRDefault="00BD3ADD" w:rsidP="0070358F">
      <w:pPr>
        <w:pStyle w:val="Heading3"/>
      </w:pPr>
      <w:r w:rsidRPr="00B954F8">
        <w:t>Monitoring the application and health outcomes of assisted reproductive procedures and established procedures</w:t>
      </w:r>
    </w:p>
    <w:p w:rsidR="00BD3ADD" w:rsidRDefault="00BD3ADD" w:rsidP="0070358F">
      <w:r w:rsidRPr="00B954F8">
        <w:t>Section 35(2) of the HART Act requires ACART to monitor the application and health outcomes of assisted reproductive procedures and established procedures.</w:t>
      </w:r>
    </w:p>
    <w:p w:rsidR="00BD3ADD" w:rsidRDefault="00BD3ADD" w:rsidP="0070358F"/>
    <w:p w:rsidR="00BD3ADD" w:rsidRPr="00B90E91" w:rsidRDefault="00BD3ADD" w:rsidP="0070358F">
      <w:pPr>
        <w:pStyle w:val="Heading3"/>
      </w:pPr>
      <w:r w:rsidRPr="00B90E91">
        <w:t>Quantitative data</w:t>
      </w:r>
    </w:p>
    <w:p w:rsidR="00BD3ADD" w:rsidRDefault="00BD3ADD" w:rsidP="0070358F">
      <w:r>
        <w:t>A key way in which ACART monitors</w:t>
      </w:r>
      <w:r>
        <w:rPr>
          <w:i/>
        </w:rPr>
        <w:t xml:space="preserve"> </w:t>
      </w:r>
      <w:r w:rsidRPr="00B954F8">
        <w:t xml:space="preserve">outcomes of assisted reproductive procedures </w:t>
      </w:r>
      <w:r>
        <w:t xml:space="preserve">is </w:t>
      </w:r>
      <w:r w:rsidRPr="00B954F8">
        <w:t>through the annual report of the Australia and New Zealand Assisted Reproduction Database (ANZARD)</w:t>
      </w:r>
      <w:r>
        <w:t xml:space="preserve">. </w:t>
      </w:r>
      <w:r w:rsidRPr="00B954F8">
        <w:t>New Zealand fertility services provi</w:t>
      </w:r>
      <w:r>
        <w:t>ders contribute data to ANZARD.</w:t>
      </w:r>
    </w:p>
    <w:p w:rsidR="00BD3ADD" w:rsidRPr="008C6760" w:rsidRDefault="00BD3ADD" w:rsidP="0070358F"/>
    <w:p w:rsidR="00BD3ADD" w:rsidRDefault="00BD3ADD" w:rsidP="0070358F">
      <w:r w:rsidRPr="00B954F8">
        <w:t>During 2012 ACART finalised a contract with the University of New South Wales to produce a</w:t>
      </w:r>
      <w:r>
        <w:t xml:space="preserve"> quantitative </w:t>
      </w:r>
      <w:r w:rsidRPr="00B954F8">
        <w:t>New Zealand-specific report on</w:t>
      </w:r>
      <w:r>
        <w:t xml:space="preserve"> numbers, </w:t>
      </w:r>
      <w:r w:rsidRPr="00B954F8">
        <w:t>types</w:t>
      </w:r>
      <w:r>
        <w:t xml:space="preserve"> and perinatal outcomes</w:t>
      </w:r>
      <w:r w:rsidRPr="00B954F8">
        <w:t xml:space="preserve"> of assisted reproductive treatments, based on the annual ANZARD report (which in most aspects combines Australian and New Zealand data). The New Zealand</w:t>
      </w:r>
      <w:r>
        <w:t xml:space="preserve"> report drew on</w:t>
      </w:r>
      <w:r w:rsidRPr="00B954F8">
        <w:t xml:space="preserve"> 2009 data, and has been placed on ACART</w:t>
      </w:r>
      <w:r w:rsidR="000D459B">
        <w:t>’</w:t>
      </w:r>
      <w:r w:rsidRPr="00B954F8">
        <w:t>s website.</w:t>
      </w:r>
    </w:p>
    <w:p w:rsidR="00BD3ADD" w:rsidRDefault="00BD3ADD" w:rsidP="0070358F"/>
    <w:p w:rsidR="00BD3ADD" w:rsidRDefault="00BD3ADD" w:rsidP="0070358F">
      <w:r>
        <w:t>Two further New Zealand-specific reports have now been received, for 2010 and 2011. ACART anticipates continuing to contract for annual New Zealand-specific reports, following the</w:t>
      </w:r>
      <w:r w:rsidR="0070358F">
        <w:t xml:space="preserve"> release of each ANZARD report.</w:t>
      </w:r>
    </w:p>
    <w:p w:rsidR="00BD3ADD" w:rsidRPr="005F3855" w:rsidRDefault="00BD3ADD" w:rsidP="0070358F"/>
    <w:p w:rsidR="00BD3ADD" w:rsidRPr="00B90E91" w:rsidRDefault="00BD3ADD" w:rsidP="0070358F">
      <w:pPr>
        <w:pStyle w:val="Heading3"/>
      </w:pPr>
      <w:r w:rsidRPr="00B90E91">
        <w:t>Psychosocial outcomes</w:t>
      </w:r>
    </w:p>
    <w:p w:rsidR="00BD3ADD" w:rsidRDefault="00BD3ADD" w:rsidP="0070358F">
      <w:r>
        <w:t>ACART also monitors, through published papers, health and psychosocial outcomes for parties involved in assisted reproduction and resulting children. Research of interest includes:</w:t>
      </w:r>
    </w:p>
    <w:p w:rsidR="00BD3ADD" w:rsidRDefault="00BD3ADD" w:rsidP="0070358F">
      <w:pPr>
        <w:pStyle w:val="Bullet"/>
      </w:pPr>
      <w:r>
        <w:t xml:space="preserve">(New Zealand) Sonja </w:t>
      </w:r>
      <w:proofErr w:type="spellStart"/>
      <w:r>
        <w:t>Goedeke</w:t>
      </w:r>
      <w:r w:rsidR="000D459B">
        <w:t>’</w:t>
      </w:r>
      <w:r>
        <w:t>s</w:t>
      </w:r>
      <w:proofErr w:type="spellEnd"/>
      <w:r>
        <w:t xml:space="preserve"> doctoral research on embryo donation</w:t>
      </w:r>
    </w:p>
    <w:p w:rsidR="00BD3ADD" w:rsidRDefault="00BD3ADD" w:rsidP="0070358F">
      <w:pPr>
        <w:pStyle w:val="Bullet"/>
      </w:pPr>
      <w:r>
        <w:t>(New Zealand) Papers by Adjunct Professor Ken Daniels on outcomes for families formed from gamete donation</w:t>
      </w:r>
    </w:p>
    <w:p w:rsidR="00BD3ADD" w:rsidRDefault="00BD3ADD" w:rsidP="0070358F">
      <w:pPr>
        <w:pStyle w:val="Bullet"/>
      </w:pPr>
      <w:r>
        <w:t>(United Kingdom) Papers from longitudinal research looking at outcomes for children born from assisted reproduction.</w:t>
      </w:r>
    </w:p>
    <w:p w:rsidR="00BD3ADD" w:rsidRPr="00B954F8" w:rsidRDefault="00BD3ADD" w:rsidP="0070358F"/>
    <w:p w:rsidR="00BD3ADD" w:rsidRPr="000F0E9D" w:rsidRDefault="00BD3ADD" w:rsidP="0070358F">
      <w:pPr>
        <w:pStyle w:val="Heading3"/>
      </w:pPr>
      <w:r w:rsidRPr="000F0E9D">
        <w:t>Monitoring developments in human reproductive research</w:t>
      </w:r>
    </w:p>
    <w:p w:rsidR="00BD3ADD" w:rsidRDefault="00BD3ADD" w:rsidP="0070358F">
      <w:r w:rsidRPr="004D294E">
        <w:t xml:space="preserve">Section 35(2) of the HART Act </w:t>
      </w:r>
      <w:r>
        <w:t xml:space="preserve">also </w:t>
      </w:r>
      <w:r w:rsidRPr="004D294E">
        <w:t>re</w:t>
      </w:r>
      <w:r>
        <w:t xml:space="preserve">quires ACART to monitor </w:t>
      </w:r>
      <w:r w:rsidRPr="004D294E">
        <w:t>developments in human reproductive research</w:t>
      </w:r>
      <w:r>
        <w:t>.</w:t>
      </w:r>
    </w:p>
    <w:p w:rsidR="00BD3ADD" w:rsidRDefault="00BD3ADD" w:rsidP="0070358F"/>
    <w:p w:rsidR="00BD3ADD" w:rsidRDefault="00BD3ADD" w:rsidP="0070358F">
      <w:r>
        <w:t>In New Zealand it is currently permissible to store cryopreserved ovarian tissue. However, it is not possible to use the material because the procedure is classified as an assisted reproductive procedure requiring ECART approval. However, ACART has not yet issued guidelines. Following a 2010 technical report on the procedure, ACART decided that the limited evidence about the safety of the procedure did not support undertaking further work at that stage.</w:t>
      </w:r>
    </w:p>
    <w:p w:rsidR="00BD3ADD" w:rsidRDefault="00BD3ADD" w:rsidP="0070358F">
      <w:pPr>
        <w:spacing w:before="240"/>
      </w:pPr>
      <w:r w:rsidRPr="00BE4553">
        <w:lastRenderedPageBreak/>
        <w:t>However, ACART has maintained a watching brief on international evidence about outcomes of the procedure.</w:t>
      </w:r>
    </w:p>
    <w:p w:rsidR="00BD3ADD" w:rsidRDefault="00BD3ADD" w:rsidP="0070358F"/>
    <w:p w:rsidR="00BD3ADD" w:rsidRDefault="00BD3ADD" w:rsidP="0070358F">
      <w:r>
        <w:t>In April 2014 ACART agreed to commission a further technical report because of potential future demand in New Zealand for the use of cryopreserved ovarian and testicular tissue, and developments since the 2010 report was received. The update</w:t>
      </w:r>
      <w:r w:rsidR="009F71B1">
        <w:t xml:space="preserve">d report </w:t>
      </w:r>
      <w:r w:rsidRPr="00BE4553">
        <w:t>prepared</w:t>
      </w:r>
      <w:r>
        <w:t xml:space="preserve"> by Professor Claus Andersen at t</w:t>
      </w:r>
      <w:r w:rsidR="009F71B1">
        <w:t xml:space="preserve">he University of Copenhagen </w:t>
      </w:r>
      <w:r>
        <w:t>was received in December 2014.</w:t>
      </w:r>
    </w:p>
    <w:p w:rsidR="00BD3ADD" w:rsidRDefault="00BD3ADD" w:rsidP="0070358F"/>
    <w:p w:rsidR="00BD3ADD" w:rsidRPr="00B954F8" w:rsidRDefault="00BD3ADD" w:rsidP="0070358F">
      <w:pPr>
        <w:pStyle w:val="Heading3"/>
      </w:pPr>
      <w:r w:rsidRPr="00B954F8">
        <w:t>Monitoring the decisions of ECART</w:t>
      </w:r>
    </w:p>
    <w:p w:rsidR="00BD3ADD" w:rsidRDefault="00BD3ADD" w:rsidP="0070358F">
      <w:r w:rsidRPr="00B954F8">
        <w:t>ACART</w:t>
      </w:r>
      <w:r w:rsidR="000D459B">
        <w:t>’</w:t>
      </w:r>
      <w:r w:rsidRPr="00B954F8">
        <w:t>s terms of reference require it to monitor ECART</w:t>
      </w:r>
      <w:r w:rsidR="000D459B">
        <w:t>’</w:t>
      </w:r>
      <w:r w:rsidRPr="00B954F8">
        <w:t>s</w:t>
      </w:r>
      <w:r>
        <w:t xml:space="preserve"> decisions, to ensure the decisions fall </w:t>
      </w:r>
      <w:r w:rsidRPr="00B954F8">
        <w:t>within the guidelines set by ACART. In April 2012 ACART considered options for the f</w:t>
      </w:r>
      <w:r>
        <w:t xml:space="preserve">uture operation of the function. </w:t>
      </w:r>
      <w:r w:rsidRPr="00B954F8">
        <w:t>In August 2012 ACART wrote to ECART seeking views</w:t>
      </w:r>
      <w:r>
        <w:t xml:space="preserve"> on ACART</w:t>
      </w:r>
      <w:r w:rsidR="000D459B">
        <w:t>’</w:t>
      </w:r>
      <w:r>
        <w:t>s proposal. ECART is in agreement with the proposal.</w:t>
      </w:r>
    </w:p>
    <w:p w:rsidR="00BD3ADD" w:rsidRDefault="00BD3ADD" w:rsidP="0070358F"/>
    <w:p w:rsidR="00BD3ADD" w:rsidRPr="0015778B" w:rsidRDefault="00BD3ADD" w:rsidP="0070358F">
      <w:pPr>
        <w:rPr>
          <w:lang w:eastAsia="en-US"/>
        </w:rPr>
      </w:pPr>
      <w:r w:rsidRPr="0015778B">
        <w:rPr>
          <w:lang w:eastAsia="en-US"/>
        </w:rPr>
        <w:t>ACART will continue the current practice of including in agendas the summaries of applications prepared by the ECART Secretariat, with the relevant ECART minutes.</w:t>
      </w:r>
      <w:r>
        <w:t xml:space="preserve"> In addition, </w:t>
      </w:r>
      <w:r w:rsidRPr="0015778B">
        <w:rPr>
          <w:lang w:eastAsia="en-US"/>
        </w:rPr>
        <w:t>the ACART Secretariat will report annually to ACART about ECART applications and decisions.</w:t>
      </w:r>
    </w:p>
    <w:p w:rsidR="00BD3ADD" w:rsidRPr="00B90E91" w:rsidRDefault="00BD3ADD" w:rsidP="0070358F"/>
    <w:p w:rsidR="00BD3ADD" w:rsidRPr="0015778B" w:rsidRDefault="00BD3ADD" w:rsidP="0070358F">
      <w:pPr>
        <w:rPr>
          <w:lang w:eastAsia="en-US"/>
        </w:rPr>
      </w:pPr>
      <w:r w:rsidRPr="0015778B">
        <w:rPr>
          <w:lang w:eastAsia="en-US"/>
        </w:rPr>
        <w:t>The first annual report about ECART</w:t>
      </w:r>
      <w:r w:rsidR="000D459B">
        <w:rPr>
          <w:lang w:eastAsia="en-US"/>
        </w:rPr>
        <w:t>’</w:t>
      </w:r>
      <w:r>
        <w:rPr>
          <w:lang w:eastAsia="en-US"/>
        </w:rPr>
        <w:t xml:space="preserve">s decisions was </w:t>
      </w:r>
      <w:r w:rsidRPr="0015778B">
        <w:rPr>
          <w:lang w:eastAsia="en-US"/>
        </w:rPr>
        <w:t>provided to ACART</w:t>
      </w:r>
      <w:r w:rsidR="000D459B">
        <w:rPr>
          <w:lang w:eastAsia="en-US"/>
        </w:rPr>
        <w:t>’</w:t>
      </w:r>
      <w:r w:rsidRPr="0015778B">
        <w:rPr>
          <w:lang w:eastAsia="en-US"/>
        </w:rPr>
        <w:t>s March 2014 meeting, to cover the perio</w:t>
      </w:r>
      <w:r>
        <w:rPr>
          <w:lang w:eastAsia="en-US"/>
        </w:rPr>
        <w:t>d July 2012</w:t>
      </w:r>
      <w:r w:rsidRPr="0015778B">
        <w:rPr>
          <w:lang w:eastAsia="en-US"/>
        </w:rPr>
        <w:t>–June 2013.</w:t>
      </w:r>
    </w:p>
    <w:p w:rsidR="00BD3ADD" w:rsidRPr="0015778B" w:rsidRDefault="00BD3ADD" w:rsidP="0070358F">
      <w:pPr>
        <w:rPr>
          <w:lang w:eastAsia="en-US"/>
        </w:rPr>
      </w:pPr>
    </w:p>
    <w:p w:rsidR="00BD3ADD" w:rsidRPr="0015778B" w:rsidRDefault="00BD3ADD" w:rsidP="0070358F">
      <w:pPr>
        <w:rPr>
          <w:lang w:eastAsia="en-US"/>
        </w:rPr>
      </w:pPr>
      <w:r w:rsidRPr="0015778B">
        <w:rPr>
          <w:lang w:eastAsia="en-US"/>
        </w:rPr>
        <w:t>ACART receives full copies of all applications to ECART. ECART is required to give ACART a copy of an approval and the relevant application, as soon as is practicable after giving an approval. The copies are available at ACART meetings for members to read if interested.</w:t>
      </w:r>
    </w:p>
    <w:p w:rsidR="00BD3ADD" w:rsidRPr="0015778B" w:rsidRDefault="00BD3ADD" w:rsidP="0070358F">
      <w:pPr>
        <w:rPr>
          <w:lang w:eastAsia="en-US"/>
        </w:rPr>
      </w:pPr>
    </w:p>
    <w:p w:rsidR="00BD3ADD" w:rsidRPr="0015778B" w:rsidRDefault="00BD3ADD" w:rsidP="0070358F">
      <w:pPr>
        <w:pStyle w:val="Heading2"/>
        <w:rPr>
          <w:lang w:eastAsia="en-US"/>
        </w:rPr>
      </w:pPr>
      <w:bookmarkStart w:id="49" w:name="_Toc411328318"/>
      <w:r w:rsidRPr="0015778B">
        <w:rPr>
          <w:lang w:eastAsia="en-US"/>
        </w:rPr>
        <w:t>Other issues</w:t>
      </w:r>
      <w:r>
        <w:rPr>
          <w:lang w:eastAsia="en-US"/>
        </w:rPr>
        <w:t xml:space="preserve"> considered by ACART during 2013</w:t>
      </w:r>
      <w:r w:rsidRPr="0015778B">
        <w:rPr>
          <w:lang w:eastAsia="en-US"/>
        </w:rPr>
        <w:t>/1</w:t>
      </w:r>
      <w:r>
        <w:rPr>
          <w:lang w:eastAsia="en-US"/>
        </w:rPr>
        <w:t>4</w:t>
      </w:r>
      <w:bookmarkEnd w:id="49"/>
    </w:p>
    <w:p w:rsidR="00BD3ADD" w:rsidRPr="0015778B" w:rsidRDefault="00BD3ADD" w:rsidP="0070358F">
      <w:pPr>
        <w:pStyle w:val="Heading3"/>
        <w:rPr>
          <w:lang w:eastAsia="en-US"/>
        </w:rPr>
      </w:pPr>
      <w:r w:rsidRPr="0015778B">
        <w:rPr>
          <w:lang w:eastAsia="en-US"/>
        </w:rPr>
        <w:t>Applicability of the Code of Health and Disability Services Consumers</w:t>
      </w:r>
      <w:r w:rsidR="000D459B">
        <w:rPr>
          <w:lang w:eastAsia="en-US"/>
        </w:rPr>
        <w:t>’</w:t>
      </w:r>
      <w:r w:rsidRPr="0015778B">
        <w:rPr>
          <w:lang w:eastAsia="en-US"/>
        </w:rPr>
        <w:t xml:space="preserve"> Rights</w:t>
      </w:r>
    </w:p>
    <w:p w:rsidR="00BD3ADD" w:rsidRDefault="00BD3ADD" w:rsidP="0070358F">
      <w:pPr>
        <w:rPr>
          <w:lang w:eastAsia="en-US"/>
        </w:rPr>
      </w:pPr>
      <w:r w:rsidRPr="0015778B">
        <w:rPr>
          <w:lang w:eastAsia="en-US"/>
        </w:rPr>
        <w:t>ACART wrote to the Health and Disability Commissioner in November 2012 about potential gaps in the scope of the Code of Health and Disability Services Consumers</w:t>
      </w:r>
      <w:r w:rsidR="000D459B">
        <w:rPr>
          <w:lang w:eastAsia="en-US"/>
        </w:rPr>
        <w:t>’</w:t>
      </w:r>
      <w:r w:rsidRPr="0015778B">
        <w:rPr>
          <w:lang w:eastAsia="en-US"/>
        </w:rPr>
        <w:t xml:space="preserve"> Rights in regard to embryo donors. Following a response from the Health and Disability Commissioner in February 2013, ACART invited him or a representative to discuss the matter at ACART</w:t>
      </w:r>
      <w:r w:rsidR="000D459B">
        <w:rPr>
          <w:lang w:eastAsia="en-US"/>
        </w:rPr>
        <w:t>’</w:t>
      </w:r>
      <w:r w:rsidRPr="0015778B">
        <w:rPr>
          <w:lang w:eastAsia="en-US"/>
        </w:rPr>
        <w:t>s September 2013 meeting.</w:t>
      </w:r>
    </w:p>
    <w:p w:rsidR="00BD3ADD" w:rsidRDefault="00BD3ADD" w:rsidP="0070358F">
      <w:pPr>
        <w:rPr>
          <w:lang w:eastAsia="en-US"/>
        </w:rPr>
      </w:pPr>
    </w:p>
    <w:p w:rsidR="00BD3ADD" w:rsidRPr="00F67351" w:rsidRDefault="00BD3ADD" w:rsidP="0070358F">
      <w:r w:rsidRPr="00F67351">
        <w:t>On 5 February 2014 ACART made a submission to the Health and Disability Commissioner</w:t>
      </w:r>
      <w:r w:rsidR="000D459B">
        <w:t>’</w:t>
      </w:r>
      <w:r w:rsidRPr="00F67351">
        <w:t xml:space="preserve">s periodic review of the </w:t>
      </w:r>
      <w:r w:rsidRPr="00F67351">
        <w:rPr>
          <w:lang w:eastAsia="en-NZ"/>
        </w:rPr>
        <w:t xml:space="preserve">Health and Disability Commissioner </w:t>
      </w:r>
      <w:r>
        <w:rPr>
          <w:lang w:eastAsia="en-NZ"/>
        </w:rPr>
        <w:t xml:space="preserve">Act 1994 and the associated Code of </w:t>
      </w:r>
      <w:r w:rsidRPr="00F67351">
        <w:rPr>
          <w:lang w:eastAsia="en-NZ"/>
        </w:rPr>
        <w:t>Health and Disability Services Consumers</w:t>
      </w:r>
      <w:r w:rsidR="000D459B">
        <w:rPr>
          <w:lang w:eastAsia="en-NZ"/>
        </w:rPr>
        <w:t>’</w:t>
      </w:r>
      <w:r>
        <w:rPr>
          <w:lang w:eastAsia="en-NZ"/>
        </w:rPr>
        <w:t xml:space="preserve"> </w:t>
      </w:r>
      <w:r w:rsidRPr="00F67351">
        <w:rPr>
          <w:lang w:eastAsia="en-NZ"/>
        </w:rPr>
        <w:t>Rights.</w:t>
      </w:r>
    </w:p>
    <w:p w:rsidR="00BD3ADD" w:rsidRPr="0015778B" w:rsidRDefault="00BD3ADD" w:rsidP="0070358F">
      <w:pPr>
        <w:rPr>
          <w:lang w:eastAsia="en-US"/>
        </w:rPr>
      </w:pPr>
    </w:p>
    <w:p w:rsidR="00BD3ADD" w:rsidRPr="0015778B" w:rsidRDefault="00BD3ADD" w:rsidP="0070358F">
      <w:pPr>
        <w:pStyle w:val="Heading3"/>
        <w:rPr>
          <w:lang w:eastAsia="en-US"/>
        </w:rPr>
      </w:pPr>
      <w:r>
        <w:rPr>
          <w:lang w:eastAsia="en-US"/>
        </w:rPr>
        <w:lastRenderedPageBreak/>
        <w:t>Preparation of Briefing to the Incoming Minister</w:t>
      </w:r>
    </w:p>
    <w:p w:rsidR="00BD3ADD" w:rsidRDefault="00BD3ADD" w:rsidP="0070358F">
      <w:pPr>
        <w:rPr>
          <w:lang w:eastAsia="en-US"/>
        </w:rPr>
      </w:pPr>
      <w:r>
        <w:rPr>
          <w:lang w:eastAsia="en-US"/>
        </w:rPr>
        <w:t>Work began in the period on a Briefing to the Incoming Minister of Health (BIM). The purpose of the BIM was to:</w:t>
      </w:r>
    </w:p>
    <w:p w:rsidR="00BD3ADD" w:rsidRDefault="0070358F" w:rsidP="0070358F">
      <w:pPr>
        <w:pStyle w:val="Bullet"/>
        <w:rPr>
          <w:lang w:eastAsia="en-US"/>
        </w:rPr>
      </w:pPr>
      <w:r>
        <w:rPr>
          <w:lang w:eastAsia="en-US"/>
        </w:rPr>
        <w:t>i</w:t>
      </w:r>
      <w:r w:rsidR="00BD3ADD">
        <w:rPr>
          <w:lang w:eastAsia="en-US"/>
        </w:rPr>
        <w:t>ntroduce ACART to the incoming Minister</w:t>
      </w:r>
    </w:p>
    <w:p w:rsidR="00BD3ADD" w:rsidRDefault="0070358F" w:rsidP="0070358F">
      <w:pPr>
        <w:pStyle w:val="Bullet"/>
        <w:rPr>
          <w:lang w:eastAsia="en-US"/>
        </w:rPr>
      </w:pPr>
      <w:r>
        <w:rPr>
          <w:lang w:eastAsia="en-US"/>
        </w:rPr>
        <w:t>h</w:t>
      </w:r>
      <w:r w:rsidR="00BD3ADD">
        <w:rPr>
          <w:lang w:eastAsia="en-US"/>
        </w:rPr>
        <w:t>ighlight ACART</w:t>
      </w:r>
      <w:r w:rsidR="000D459B">
        <w:rPr>
          <w:lang w:eastAsia="en-US"/>
        </w:rPr>
        <w:t>’</w:t>
      </w:r>
      <w:r w:rsidR="00BD3ADD">
        <w:rPr>
          <w:lang w:eastAsia="en-US"/>
        </w:rPr>
        <w:t>s relationship with the Minister</w:t>
      </w:r>
    </w:p>
    <w:p w:rsidR="00BD3ADD" w:rsidRDefault="0070358F" w:rsidP="0070358F">
      <w:pPr>
        <w:pStyle w:val="Bullet"/>
        <w:rPr>
          <w:lang w:eastAsia="en-US"/>
        </w:rPr>
      </w:pPr>
      <w:r>
        <w:rPr>
          <w:lang w:eastAsia="en-US"/>
        </w:rPr>
        <w:t>d</w:t>
      </w:r>
      <w:r w:rsidR="00BD3ADD">
        <w:rPr>
          <w:lang w:eastAsia="en-US"/>
        </w:rPr>
        <w:t>iscuss ACART</w:t>
      </w:r>
      <w:r w:rsidR="000D459B">
        <w:rPr>
          <w:lang w:eastAsia="en-US"/>
        </w:rPr>
        <w:t>’</w:t>
      </w:r>
      <w:r w:rsidR="00BD3ADD">
        <w:rPr>
          <w:lang w:eastAsia="en-US"/>
        </w:rPr>
        <w:t>s current and upcoming work programme</w:t>
      </w:r>
    </w:p>
    <w:p w:rsidR="00BD3ADD" w:rsidRDefault="0070358F" w:rsidP="0070358F">
      <w:pPr>
        <w:pStyle w:val="Bullet"/>
        <w:rPr>
          <w:lang w:eastAsia="en-US"/>
        </w:rPr>
      </w:pPr>
      <w:r>
        <w:rPr>
          <w:lang w:eastAsia="en-US"/>
        </w:rPr>
        <w:t>h</w:t>
      </w:r>
      <w:r w:rsidR="00BD3ADD">
        <w:rPr>
          <w:lang w:eastAsia="en-US"/>
        </w:rPr>
        <w:t>ighlight key issues that may be of interest to the Minister.</w:t>
      </w:r>
    </w:p>
    <w:p w:rsidR="0070358F" w:rsidRDefault="0070358F" w:rsidP="0070358F">
      <w:pPr>
        <w:rPr>
          <w:lang w:eastAsia="en-US"/>
        </w:rPr>
      </w:pPr>
    </w:p>
    <w:p w:rsidR="00BD3ADD" w:rsidRDefault="00BD3ADD" w:rsidP="0070358F">
      <w:pPr>
        <w:rPr>
          <w:lang w:eastAsia="en-US"/>
        </w:rPr>
      </w:pPr>
      <w:r>
        <w:rPr>
          <w:lang w:eastAsia="en-US"/>
        </w:rPr>
        <w:t xml:space="preserve">The Minister of Health has delegated responsibility for ACART to the Associate Minister of Health, the </w:t>
      </w:r>
      <w:proofErr w:type="spellStart"/>
      <w:r>
        <w:rPr>
          <w:lang w:eastAsia="en-US"/>
        </w:rPr>
        <w:t>Honorable</w:t>
      </w:r>
      <w:proofErr w:type="spellEnd"/>
      <w:r>
        <w:rPr>
          <w:lang w:eastAsia="en-US"/>
        </w:rPr>
        <w:t xml:space="preserve"> Peter Dunne. ACART forwarded the BIM to the Associate Minister of Health on 10 November 2014.</w:t>
      </w:r>
    </w:p>
    <w:p w:rsidR="0070358F" w:rsidRDefault="0070358F" w:rsidP="0070358F">
      <w:pPr>
        <w:rPr>
          <w:lang w:eastAsia="en-US"/>
        </w:rPr>
      </w:pPr>
    </w:p>
    <w:p w:rsidR="00BD3ADD" w:rsidRDefault="00BD3ADD" w:rsidP="0070358F">
      <w:pPr>
        <w:pStyle w:val="Heading2"/>
        <w:rPr>
          <w:lang w:eastAsia="en-US"/>
        </w:rPr>
      </w:pPr>
      <w:bookmarkStart w:id="50" w:name="_Toc411328319"/>
      <w:r>
        <w:rPr>
          <w:lang w:eastAsia="en-US"/>
        </w:rPr>
        <w:t>Links with ECART</w:t>
      </w:r>
      <w:bookmarkEnd w:id="50"/>
    </w:p>
    <w:p w:rsidR="00BD3ADD" w:rsidRDefault="00BD3ADD" w:rsidP="0070358F">
      <w:pPr>
        <w:rPr>
          <w:lang w:eastAsia="en-US"/>
        </w:rPr>
      </w:pPr>
      <w:r>
        <w:rPr>
          <w:lang w:eastAsia="en-US"/>
        </w:rPr>
        <w:t>The HART Act requires that ACART and ECART each liaise with the other committee. ACART is required to liaise with ECART on general and specific matters relating to assisted reproductive procedures and the conduct of any kind of human reproductive research.</w:t>
      </w:r>
    </w:p>
    <w:p w:rsidR="00BD3ADD" w:rsidRDefault="00BD3ADD" w:rsidP="0070358F">
      <w:pPr>
        <w:rPr>
          <w:lang w:eastAsia="en-US"/>
        </w:rPr>
      </w:pPr>
    </w:p>
    <w:p w:rsidR="00BD3ADD" w:rsidRDefault="00BD3ADD" w:rsidP="0070358F">
      <w:pPr>
        <w:rPr>
          <w:lang w:eastAsia="en-US"/>
        </w:rPr>
      </w:pPr>
      <w:r>
        <w:rPr>
          <w:lang w:eastAsia="en-US"/>
        </w:rPr>
        <w:t>ACART</w:t>
      </w:r>
      <w:r w:rsidR="000D459B">
        <w:rPr>
          <w:lang w:eastAsia="en-US"/>
        </w:rPr>
        <w:t>’</w:t>
      </w:r>
      <w:r>
        <w:rPr>
          <w:lang w:eastAsia="en-US"/>
        </w:rPr>
        <w:t>s liaison with ECART during the period included:</w:t>
      </w:r>
    </w:p>
    <w:p w:rsidR="00BD3ADD" w:rsidRDefault="00BD3ADD" w:rsidP="0070358F">
      <w:pPr>
        <w:pStyle w:val="Bullet"/>
        <w:rPr>
          <w:lang w:eastAsia="en-US"/>
        </w:rPr>
      </w:pPr>
      <w:r>
        <w:rPr>
          <w:lang w:eastAsia="en-US"/>
        </w:rPr>
        <w:t>a member of each committee attended meetings of the other committee as a member-in-attendance</w:t>
      </w:r>
    </w:p>
    <w:p w:rsidR="00BD3ADD" w:rsidRPr="00DF3657" w:rsidRDefault="0070358F" w:rsidP="0070358F">
      <w:pPr>
        <w:pStyle w:val="Bullet"/>
        <w:rPr>
          <w:lang w:eastAsia="en-US"/>
        </w:rPr>
      </w:pPr>
      <w:r>
        <w:rPr>
          <w:lang w:eastAsia="en-US"/>
        </w:rPr>
        <w:t>t</w:t>
      </w:r>
      <w:r w:rsidR="00BD3ADD">
        <w:rPr>
          <w:lang w:eastAsia="en-US"/>
        </w:rPr>
        <w:t>he Chairs of ACART and ECART, with Dr Freddie Graham (member of ECART) met on 3 October 2013 to discuss issues related to Pr</w:t>
      </w:r>
      <w:r>
        <w:rPr>
          <w:lang w:eastAsia="en-US"/>
        </w:rPr>
        <w:t>eimplantation Genetic Diagnosis</w:t>
      </w:r>
    </w:p>
    <w:p w:rsidR="00BD3ADD" w:rsidRDefault="00BD3ADD" w:rsidP="0070358F">
      <w:pPr>
        <w:pStyle w:val="Bullet"/>
        <w:rPr>
          <w:lang w:eastAsia="en-US"/>
        </w:rPr>
      </w:pPr>
      <w:r>
        <w:rPr>
          <w:lang w:eastAsia="en-US"/>
        </w:rPr>
        <w:t>ACART invited ECART to provide feedback to the consultation on proposed advice on requirements for importing and exporting in vitro gametes and embryos</w:t>
      </w:r>
      <w:r w:rsidR="0070358F">
        <w:rPr>
          <w:lang w:eastAsia="en-US"/>
        </w:rPr>
        <w:t>.</w:t>
      </w:r>
    </w:p>
    <w:p w:rsidR="00BD3ADD" w:rsidRPr="00B90E91" w:rsidRDefault="00BD3ADD" w:rsidP="0070358F">
      <w:pPr>
        <w:rPr>
          <w:lang w:eastAsia="en-US"/>
        </w:rPr>
      </w:pPr>
    </w:p>
    <w:p w:rsidR="00BD3ADD" w:rsidRDefault="00BD3ADD" w:rsidP="0070358F">
      <w:pPr>
        <w:pStyle w:val="Heading2"/>
      </w:pPr>
      <w:bookmarkStart w:id="51" w:name="_Toc411328320"/>
      <w:r w:rsidRPr="00A067D8">
        <w:t>Conference attendance</w:t>
      </w:r>
      <w:bookmarkEnd w:id="51"/>
    </w:p>
    <w:p w:rsidR="00BD3ADD" w:rsidRDefault="00BD3ADD" w:rsidP="0070358F">
      <w:r>
        <w:t>ACART supported members to attend three conferences in the period.</w:t>
      </w:r>
    </w:p>
    <w:p w:rsidR="00BD3ADD" w:rsidRDefault="00BD3ADD" w:rsidP="0070358F"/>
    <w:p w:rsidR="00BD3ADD" w:rsidRDefault="00BD3ADD" w:rsidP="0070358F">
      <w:pPr>
        <w:rPr>
          <w:bCs/>
          <w:color w:val="333333"/>
        </w:rPr>
      </w:pPr>
      <w:r w:rsidRPr="00F67351">
        <w:t>Sue McKenzie and Jonat</w:t>
      </w:r>
      <w:r>
        <w:t xml:space="preserve">han Darby attended the New Zealand </w:t>
      </w:r>
      <w:r w:rsidRPr="00F67351">
        <w:t>Bioethics Conference</w:t>
      </w:r>
      <w:r>
        <w:t xml:space="preserve"> </w:t>
      </w:r>
      <w:r>
        <w:rPr>
          <w:i/>
        </w:rPr>
        <w:t>New questions new answers</w:t>
      </w:r>
      <w:r w:rsidRPr="00F67351">
        <w:t xml:space="preserve"> in Dunedin</w:t>
      </w:r>
      <w:r w:rsidR="0070358F">
        <w:t>,</w:t>
      </w:r>
      <w:r w:rsidRPr="00F67351">
        <w:t xml:space="preserve"> </w:t>
      </w:r>
      <w:r w:rsidRPr="00F67351">
        <w:rPr>
          <w:bCs/>
          <w:color w:val="333333"/>
        </w:rPr>
        <w:t>24</w:t>
      </w:r>
      <w:r w:rsidR="0070358F">
        <w:rPr>
          <w:bCs/>
          <w:color w:val="333333"/>
        </w:rPr>
        <w:t>–</w:t>
      </w:r>
      <w:r w:rsidRPr="00F67351">
        <w:rPr>
          <w:bCs/>
          <w:color w:val="333333"/>
        </w:rPr>
        <w:t>26 January 2014</w:t>
      </w:r>
      <w:r>
        <w:rPr>
          <w:bCs/>
          <w:color w:val="333333"/>
        </w:rPr>
        <w:t>.</w:t>
      </w:r>
    </w:p>
    <w:p w:rsidR="00BD3ADD" w:rsidRDefault="00BD3ADD" w:rsidP="0070358F"/>
    <w:p w:rsidR="00BD3ADD" w:rsidRDefault="00BD3ADD" w:rsidP="0070358F">
      <w:r>
        <w:t xml:space="preserve">Mike </w:t>
      </w:r>
      <w:proofErr w:type="spellStart"/>
      <w:r>
        <w:t>Legge</w:t>
      </w:r>
      <w:proofErr w:type="spellEnd"/>
      <w:r>
        <w:t xml:space="preserve"> attended the </w:t>
      </w:r>
      <w:r w:rsidRPr="0070358F">
        <w:rPr>
          <w:i/>
        </w:rPr>
        <w:t>International Symposium on Transforming Public Engagement on Controversial Science and Technology</w:t>
      </w:r>
      <w:r>
        <w:t xml:space="preserve"> in Hamilton</w:t>
      </w:r>
      <w:r w:rsidR="0070358F">
        <w:t>,</w:t>
      </w:r>
      <w:r>
        <w:t xml:space="preserve"> 17</w:t>
      </w:r>
      <w:r w:rsidR="0070358F">
        <w:t>–</w:t>
      </w:r>
      <w:r>
        <w:t>18 February 2014.</w:t>
      </w:r>
    </w:p>
    <w:p w:rsidR="00BD3ADD" w:rsidRDefault="00BD3ADD" w:rsidP="0070358F"/>
    <w:p w:rsidR="00BD3ADD" w:rsidRDefault="00BD3ADD" w:rsidP="0070358F">
      <w:r w:rsidRPr="0070358F">
        <w:rPr>
          <w:rFonts w:cs="Arial"/>
          <w:bCs/>
          <w:szCs w:val="22"/>
        </w:rPr>
        <w:t>Alison Douglass attended the Law Society conference</w:t>
      </w:r>
      <w:r w:rsidRPr="0070358F">
        <w:rPr>
          <w:rFonts w:ascii="Helvetica" w:hAnsi="Helvetica"/>
        </w:rPr>
        <w:t xml:space="preserve"> </w:t>
      </w:r>
      <w:r w:rsidRPr="003E2816">
        <w:rPr>
          <w:rFonts w:ascii="Helvetica" w:hAnsi="Helvetica"/>
          <w:i/>
        </w:rPr>
        <w:t>International Adoption and Surrogacy – family formation in the 21st Century</w:t>
      </w:r>
      <w:r w:rsidRPr="0070358F">
        <w:t xml:space="preserve"> in Wellington on 9 April 2014.</w:t>
      </w:r>
    </w:p>
    <w:p w:rsidR="0070358F" w:rsidRPr="0070358F" w:rsidRDefault="0070358F" w:rsidP="0070358F"/>
    <w:p w:rsidR="00BD3ADD" w:rsidRDefault="00BD3ADD" w:rsidP="0070358F">
      <w:pPr>
        <w:pStyle w:val="Heading2"/>
      </w:pPr>
      <w:bookmarkStart w:id="52" w:name="_Toc411328321"/>
      <w:r>
        <w:lastRenderedPageBreak/>
        <w:t>Other external engagement</w:t>
      </w:r>
      <w:bookmarkEnd w:id="52"/>
    </w:p>
    <w:p w:rsidR="00BD3ADD" w:rsidRDefault="00BD3ADD" w:rsidP="0070358F">
      <w:r>
        <w:t>On 6 August 2013 the Chair attended a meeting of the National Ethics Advisory Committee (NEAC) at the invitation of NEAC.</w:t>
      </w:r>
    </w:p>
    <w:p w:rsidR="00BD3ADD" w:rsidRDefault="00BD3ADD" w:rsidP="0070358F"/>
    <w:p w:rsidR="00BD3ADD" w:rsidRDefault="00BD3ADD" w:rsidP="0070358F">
      <w:r>
        <w:t>On 2 September 2013 the Chair participated by teleconference in a meeting with Mr</w:t>
      </w:r>
      <w:r w:rsidR="0070358F">
        <w:t> </w:t>
      </w:r>
      <w:r>
        <w:t xml:space="preserve">Anders </w:t>
      </w:r>
      <w:proofErr w:type="spellStart"/>
      <w:r>
        <w:t>Jonsson</w:t>
      </w:r>
      <w:proofErr w:type="spellEnd"/>
      <w:r>
        <w:t>, a Swedish member of Parliament who was interested in learning about the policy and operation of surrogacy in New Zealand. Other meeting participants included the Chair of ECART, a counsellor from Fertility Associates Wellington, an</w:t>
      </w:r>
      <w:r w:rsidR="0070358F">
        <w:t>d Ministry of Health officials.</w:t>
      </w:r>
    </w:p>
    <w:p w:rsidR="00BD3ADD" w:rsidRDefault="00BD3ADD" w:rsidP="0070358F"/>
    <w:p w:rsidR="00BD3ADD" w:rsidRDefault="00BD3ADD" w:rsidP="0070358F">
      <w:r>
        <w:t xml:space="preserve">On 24 October 2013 the Chair met by teleconference with Dr </w:t>
      </w:r>
      <w:proofErr w:type="spellStart"/>
      <w:r>
        <w:t>Naoake</w:t>
      </w:r>
      <w:proofErr w:type="spellEnd"/>
      <w:r>
        <w:t xml:space="preserve"> </w:t>
      </w:r>
      <w:proofErr w:type="spellStart"/>
      <w:r>
        <w:t>Kuji</w:t>
      </w:r>
      <w:proofErr w:type="spellEnd"/>
      <w:r>
        <w:t>, a Japanese obstetrician who was interested in learning about the policy and impacts of donor offspring having access to identi</w:t>
      </w:r>
      <w:r w:rsidR="0070358F">
        <w:t>fying information about donors.</w:t>
      </w:r>
    </w:p>
    <w:p w:rsidR="00BD3ADD" w:rsidRDefault="00BD3ADD" w:rsidP="0070358F"/>
    <w:p w:rsidR="00BD3ADD" w:rsidRPr="001739F8" w:rsidRDefault="00BD3ADD" w:rsidP="0070358F">
      <w:pPr>
        <w:pStyle w:val="Heading2"/>
      </w:pPr>
      <w:bookmarkStart w:id="53" w:name="_Toc411328322"/>
      <w:r w:rsidRPr="00FF1925">
        <w:t>Publications</w:t>
      </w:r>
      <w:bookmarkEnd w:id="53"/>
    </w:p>
    <w:p w:rsidR="00BD3ADD" w:rsidRDefault="00BD3ADD" w:rsidP="0070358F">
      <w:r>
        <w:t>ACART published on its website (</w:t>
      </w:r>
      <w:hyperlink r:id="rId25" w:history="1">
        <w:r w:rsidRPr="00FF22E7">
          <w:rPr>
            <w:rStyle w:val="Hyperlink"/>
          </w:rPr>
          <w:t>www.acart.health.govt.nz</w:t>
        </w:r>
      </w:hyperlink>
      <w:r>
        <w:t>):</w:t>
      </w:r>
    </w:p>
    <w:p w:rsidR="00BD3ADD" w:rsidRDefault="00BD3ADD" w:rsidP="0070358F">
      <w:pPr>
        <w:pStyle w:val="Bullet"/>
      </w:pPr>
      <w:r>
        <w:t>ACART</w:t>
      </w:r>
      <w:r w:rsidR="000D459B">
        <w:t>’</w:t>
      </w:r>
      <w:r>
        <w:t xml:space="preserve">s </w:t>
      </w:r>
      <w:r w:rsidRPr="0070358F">
        <w:rPr>
          <w:i/>
        </w:rPr>
        <w:t>Annual Report 2012/13</w:t>
      </w:r>
    </w:p>
    <w:p w:rsidR="00BD3ADD" w:rsidRDefault="00BD3ADD" w:rsidP="0070358F">
      <w:pPr>
        <w:pStyle w:val="Bullet"/>
      </w:pPr>
      <w:r>
        <w:t>agendas of ACART meetings, after each meeting</w:t>
      </w:r>
    </w:p>
    <w:p w:rsidR="00BD3ADD" w:rsidRDefault="00BD3ADD" w:rsidP="0070358F">
      <w:pPr>
        <w:pStyle w:val="Bullet"/>
      </w:pPr>
      <w:r>
        <w:t>minutes of ACART meetings, after their confirmation at each following meeting</w:t>
      </w:r>
    </w:p>
    <w:p w:rsidR="00BD3ADD" w:rsidRPr="0070358F" w:rsidRDefault="00BD3ADD" w:rsidP="0070358F">
      <w:pPr>
        <w:pStyle w:val="Bullet"/>
        <w:rPr>
          <w:i/>
        </w:rPr>
      </w:pPr>
      <w:r w:rsidRPr="0070358F">
        <w:rPr>
          <w:i/>
        </w:rPr>
        <w:t>Assisted Reproductive Technology in New Zealand 2010</w:t>
      </w:r>
    </w:p>
    <w:p w:rsidR="00BD3ADD" w:rsidRPr="00B54D41" w:rsidRDefault="0070358F" w:rsidP="0070358F">
      <w:pPr>
        <w:pStyle w:val="Bullet"/>
      </w:pPr>
      <w:r>
        <w:t>a</w:t>
      </w:r>
      <w:r w:rsidR="00BD3ADD">
        <w:t xml:space="preserve">mended and renamed </w:t>
      </w:r>
      <w:r w:rsidR="00BD3ADD" w:rsidRPr="0070358F">
        <w:rPr>
          <w:i/>
        </w:rPr>
        <w:t>Guidelines on Surrogacy involving Assisted Reproductive Procedures</w:t>
      </w:r>
    </w:p>
    <w:p w:rsidR="00BD3ADD" w:rsidRPr="00B54D41" w:rsidRDefault="0070358F" w:rsidP="0070358F">
      <w:pPr>
        <w:pStyle w:val="Bullet"/>
      </w:pPr>
      <w:r>
        <w:t>a</w:t>
      </w:r>
      <w:r w:rsidR="00BD3ADD">
        <w:t xml:space="preserve">mended </w:t>
      </w:r>
      <w:r w:rsidR="00BD3ADD" w:rsidRPr="0070358F">
        <w:rPr>
          <w:i/>
        </w:rPr>
        <w:t>Guidelines on Donation of Eggs or Sperm between Certain Family Members</w:t>
      </w:r>
    </w:p>
    <w:p w:rsidR="00BD3ADD" w:rsidRPr="00B54D41" w:rsidRDefault="0070358F" w:rsidP="0070358F">
      <w:pPr>
        <w:pStyle w:val="Bullet"/>
      </w:pPr>
      <w:r>
        <w:t>a</w:t>
      </w:r>
      <w:r w:rsidR="00BD3ADD">
        <w:t xml:space="preserve">mended and renamed advice to ECART </w:t>
      </w:r>
      <w:r w:rsidR="00BD3ADD" w:rsidRPr="0070358F">
        <w:rPr>
          <w:i/>
        </w:rPr>
        <w:t>Applications that fall under more than one of the guidelines issued by the Advisory Committee on Assisted Reproductive Technology</w:t>
      </w:r>
    </w:p>
    <w:p w:rsidR="00BD3ADD" w:rsidRPr="00B54D41" w:rsidRDefault="0070358F" w:rsidP="0070358F">
      <w:pPr>
        <w:pStyle w:val="Bullet"/>
      </w:pPr>
      <w:r>
        <w:t>c</w:t>
      </w:r>
      <w:r w:rsidR="00BD3ADD">
        <w:t xml:space="preserve">onsultation document </w:t>
      </w:r>
      <w:r w:rsidR="00BD3ADD" w:rsidRPr="0070358F">
        <w:rPr>
          <w:i/>
        </w:rPr>
        <w:t>Import and Export of Gametes and Embryos: Proposed advice to the Minister of Health</w:t>
      </w:r>
    </w:p>
    <w:p w:rsidR="00BD3ADD" w:rsidRPr="00B54D41" w:rsidRDefault="0070358F" w:rsidP="0070358F">
      <w:pPr>
        <w:pStyle w:val="Bullet"/>
      </w:pPr>
      <w:r>
        <w:t>s</w:t>
      </w:r>
      <w:r w:rsidR="00BD3ADD">
        <w:t>ubmissions and meeting notes from public consultation about import and</w:t>
      </w:r>
      <w:r>
        <w:t xml:space="preserve"> export of gametes and embryos.</w:t>
      </w:r>
    </w:p>
    <w:p w:rsidR="00DE4E14" w:rsidRPr="00DE4E14" w:rsidRDefault="00DE4E14" w:rsidP="0070358F"/>
    <w:p w:rsidR="008569C6" w:rsidRDefault="008569C6" w:rsidP="001739F8"/>
    <w:p w:rsidR="001739F8" w:rsidRDefault="001739F8" w:rsidP="001739F8">
      <w:pPr>
        <w:pStyle w:val="Heading1"/>
        <w:sectPr w:rsidR="001739F8" w:rsidSect="00CE0802">
          <w:headerReference w:type="default" r:id="rId26"/>
          <w:pgSz w:w="11907" w:h="16834" w:code="9"/>
          <w:pgMar w:top="1701" w:right="1418" w:bottom="1701" w:left="1701" w:header="0" w:footer="425" w:gutter="0"/>
          <w:cols w:space="720"/>
          <w:titlePg/>
        </w:sectPr>
      </w:pPr>
      <w:bookmarkStart w:id="54" w:name="_Toc272911756"/>
      <w:bookmarkStart w:id="55" w:name="_Toc210011721"/>
      <w:bookmarkStart w:id="56" w:name="_Toc206837295"/>
      <w:bookmarkStart w:id="57" w:name="_Toc210011722"/>
      <w:bookmarkStart w:id="58" w:name="_Toc210461502"/>
      <w:bookmarkStart w:id="59" w:name="_Toc210466495"/>
    </w:p>
    <w:p w:rsidR="008569C6" w:rsidRPr="004D294E" w:rsidRDefault="00501F2E" w:rsidP="001739F8">
      <w:pPr>
        <w:pStyle w:val="Heading1"/>
      </w:pPr>
      <w:bookmarkStart w:id="60" w:name="_Toc411328323"/>
      <w:r>
        <w:lastRenderedPageBreak/>
        <w:t>ECART</w:t>
      </w:r>
      <w:r w:rsidR="008569C6" w:rsidRPr="004D294E">
        <w:t xml:space="preserve"> </w:t>
      </w:r>
      <w:r>
        <w:t>d</w:t>
      </w:r>
      <w:r w:rsidR="008569C6" w:rsidRPr="004D294E">
        <w:t>ecisions</w:t>
      </w:r>
      <w:r w:rsidR="004D5C25">
        <w:t xml:space="preserve"> 201</w:t>
      </w:r>
      <w:r w:rsidR="003C648C">
        <w:t>3</w:t>
      </w:r>
      <w:r w:rsidR="008569C6">
        <w:t>/1</w:t>
      </w:r>
      <w:bookmarkEnd w:id="54"/>
      <w:r w:rsidR="003C648C">
        <w:t>4</w:t>
      </w:r>
      <w:bookmarkEnd w:id="60"/>
    </w:p>
    <w:p w:rsidR="003C648C" w:rsidRPr="00DF3657" w:rsidRDefault="003C648C" w:rsidP="003C648C">
      <w:pPr>
        <w:rPr>
          <w:rFonts w:eastAsia="Calibri"/>
          <w:lang w:eastAsia="en-US"/>
        </w:rPr>
      </w:pPr>
      <w:r w:rsidRPr="00DF3657">
        <w:rPr>
          <w:rFonts w:eastAsia="Calibri"/>
          <w:lang w:eastAsia="en-US"/>
        </w:rPr>
        <w:t>Between 1 July 2013 and 30 June 2014 ECART considered 29 applications for assisted reproductive procedures and human reproductive research. There were:</w:t>
      </w:r>
    </w:p>
    <w:p w:rsidR="003C648C" w:rsidRDefault="003C648C" w:rsidP="003C648C">
      <w:pPr>
        <w:pStyle w:val="Bullet"/>
        <w:rPr>
          <w:rFonts w:eastAsia="Calibri"/>
          <w:lang w:eastAsia="en-US"/>
        </w:rPr>
      </w:pPr>
      <w:r w:rsidRPr="00DF3657">
        <w:rPr>
          <w:rFonts w:eastAsia="Calibri"/>
          <w:lang w:eastAsia="en-US"/>
        </w:rPr>
        <w:t>12 applica</w:t>
      </w:r>
      <w:r>
        <w:rPr>
          <w:rFonts w:eastAsia="Calibri"/>
          <w:lang w:eastAsia="en-US"/>
        </w:rPr>
        <w:t>tions for surrogacy</w:t>
      </w:r>
      <w:r w:rsidRPr="00DF3657">
        <w:rPr>
          <w:rFonts w:eastAsia="Calibri"/>
          <w:lang w:eastAsia="en-US"/>
        </w:rPr>
        <w:t xml:space="preserve"> involving fertility providers</w:t>
      </w:r>
    </w:p>
    <w:p w:rsidR="003C648C" w:rsidRDefault="003C648C" w:rsidP="003C648C">
      <w:pPr>
        <w:pStyle w:val="Bullet"/>
        <w:rPr>
          <w:rFonts w:eastAsia="Calibri"/>
          <w:lang w:eastAsia="en-US"/>
        </w:rPr>
      </w:pPr>
      <w:r w:rsidRPr="00DF3657">
        <w:rPr>
          <w:rFonts w:eastAsia="Calibri"/>
          <w:lang w:eastAsia="en-US"/>
        </w:rPr>
        <w:t>three applications for gamete donation between certain family members</w:t>
      </w:r>
    </w:p>
    <w:p w:rsidR="003C648C" w:rsidRDefault="003C648C" w:rsidP="003C648C">
      <w:pPr>
        <w:pStyle w:val="Bullet"/>
        <w:rPr>
          <w:rFonts w:eastAsia="Calibri"/>
          <w:lang w:eastAsia="en-US"/>
        </w:rPr>
      </w:pPr>
      <w:r w:rsidRPr="00DF3657">
        <w:rPr>
          <w:rFonts w:eastAsia="Calibri"/>
          <w:lang w:eastAsia="en-US"/>
        </w:rPr>
        <w:t>10 applications for embryo donation for reproductive purposes</w:t>
      </w:r>
    </w:p>
    <w:p w:rsidR="003C648C" w:rsidRDefault="003C648C" w:rsidP="003C648C">
      <w:pPr>
        <w:pStyle w:val="Bullet"/>
        <w:rPr>
          <w:rFonts w:eastAsia="Calibri"/>
          <w:lang w:eastAsia="en-US"/>
        </w:rPr>
      </w:pPr>
      <w:r w:rsidRPr="00DF3657">
        <w:rPr>
          <w:rFonts w:eastAsia="Calibri"/>
          <w:lang w:eastAsia="en-US"/>
        </w:rPr>
        <w:t>two applications for the creation and use, for reproductive purposes, of an embryo created from donated eggs in conjunction with donated sperm</w:t>
      </w:r>
    </w:p>
    <w:p w:rsidR="003C648C" w:rsidRPr="00DF3657" w:rsidRDefault="003C648C" w:rsidP="003C648C">
      <w:pPr>
        <w:pStyle w:val="Bullet"/>
        <w:rPr>
          <w:rFonts w:eastAsia="Calibri"/>
          <w:lang w:eastAsia="en-US"/>
        </w:rPr>
      </w:pPr>
      <w:r w:rsidRPr="00DF3657">
        <w:rPr>
          <w:rFonts w:eastAsia="Calibri"/>
          <w:lang w:eastAsia="en-US"/>
        </w:rPr>
        <w:t>two applications for research on gametes or non-viable embryos.</w:t>
      </w:r>
    </w:p>
    <w:p w:rsidR="003C648C" w:rsidRPr="00DF3657" w:rsidRDefault="003C648C" w:rsidP="003C648C">
      <w:pPr>
        <w:rPr>
          <w:rFonts w:eastAsia="Calibri"/>
          <w:lang w:eastAsia="en-US"/>
        </w:rPr>
      </w:pPr>
    </w:p>
    <w:p w:rsidR="003C648C" w:rsidRDefault="003C648C" w:rsidP="003C648C">
      <w:pPr>
        <w:rPr>
          <w:rFonts w:eastAsia="Calibri"/>
          <w:lang w:eastAsia="en-US"/>
        </w:rPr>
      </w:pPr>
      <w:r w:rsidRPr="00DF3657">
        <w:rPr>
          <w:rFonts w:eastAsia="Calibri"/>
          <w:lang w:eastAsia="en-US"/>
        </w:rPr>
        <w:t>Of these applications, 17 were approved outright, six were approved subject to conditions, and six were deferred.</w:t>
      </w:r>
    </w:p>
    <w:p w:rsidR="001051A1" w:rsidRDefault="001051A1" w:rsidP="003C648C">
      <w:pPr>
        <w:rPr>
          <w:rFonts w:eastAsia="Calibri"/>
          <w:lang w:eastAsia="en-US"/>
        </w:rPr>
      </w:pPr>
    </w:p>
    <w:p w:rsidR="001051A1" w:rsidRPr="00DF3657" w:rsidRDefault="001051A1" w:rsidP="003C648C">
      <w:pPr>
        <w:rPr>
          <w:rFonts w:eastAsia="Calibri"/>
          <w:lang w:eastAsia="en-US"/>
        </w:rPr>
      </w:pPr>
      <w:r>
        <w:rPr>
          <w:rFonts w:eastAsia="Calibri"/>
          <w:lang w:eastAsia="en-US"/>
        </w:rPr>
        <w:t xml:space="preserve">In addition, ECART considered 49 applications to extend the storage period of gametes or embryos.  ECART approved 41 applications, declined two applications, and deferred six applications. </w:t>
      </w:r>
    </w:p>
    <w:p w:rsidR="003C648C" w:rsidRPr="00DF3657" w:rsidRDefault="003C648C" w:rsidP="003C648C">
      <w:pPr>
        <w:rPr>
          <w:rFonts w:eastAsia="Calibri"/>
          <w:lang w:eastAsia="en-US"/>
        </w:rPr>
      </w:pPr>
    </w:p>
    <w:p w:rsidR="003C648C" w:rsidRPr="00DF3657" w:rsidRDefault="003C648C" w:rsidP="003C648C">
      <w:pPr>
        <w:rPr>
          <w:rFonts w:eastAsia="Calibri"/>
          <w:lang w:eastAsia="en-US"/>
        </w:rPr>
      </w:pPr>
      <w:r w:rsidRPr="00DF3657">
        <w:rPr>
          <w:rFonts w:eastAsia="Calibri"/>
          <w:lang w:eastAsia="en-US"/>
        </w:rPr>
        <w:t>The details of these decisions are set out in ECART</w:t>
      </w:r>
      <w:r w:rsidR="000D459B">
        <w:rPr>
          <w:rFonts w:eastAsia="Calibri"/>
          <w:lang w:eastAsia="en-US"/>
        </w:rPr>
        <w:t>’</w:t>
      </w:r>
      <w:r w:rsidRPr="00DF3657">
        <w:rPr>
          <w:rFonts w:eastAsia="Calibri"/>
          <w:lang w:eastAsia="en-US"/>
        </w:rPr>
        <w:t xml:space="preserve">s </w:t>
      </w:r>
      <w:r w:rsidRPr="00DF3657">
        <w:rPr>
          <w:rFonts w:eastAsia="Calibri"/>
          <w:i/>
          <w:lang w:eastAsia="en-US"/>
        </w:rPr>
        <w:t>Annual Report</w:t>
      </w:r>
      <w:r>
        <w:rPr>
          <w:rFonts w:eastAsia="Calibri"/>
          <w:i/>
          <w:lang w:eastAsia="en-US"/>
        </w:rPr>
        <w:t xml:space="preserve"> 2013/14</w:t>
      </w:r>
      <w:r w:rsidRPr="00DF3657">
        <w:rPr>
          <w:rFonts w:eastAsia="Calibri"/>
          <w:lang w:eastAsia="en-US"/>
        </w:rPr>
        <w:t>.</w:t>
      </w:r>
    </w:p>
    <w:p w:rsidR="003C648C" w:rsidRPr="00DF3657" w:rsidRDefault="003C648C" w:rsidP="003C648C"/>
    <w:p w:rsidR="009026D8" w:rsidRDefault="009026D8" w:rsidP="009026D8">
      <w:pPr>
        <w:rPr>
          <w:rFonts w:eastAsia="Calibri"/>
          <w:lang w:eastAsia="en-US"/>
        </w:rPr>
      </w:pPr>
    </w:p>
    <w:p w:rsidR="003474CE" w:rsidRDefault="003474CE" w:rsidP="009026D8">
      <w:pPr>
        <w:rPr>
          <w:rFonts w:eastAsia="Calibri"/>
          <w:lang w:eastAsia="en-US"/>
        </w:rPr>
        <w:sectPr w:rsidR="003474CE" w:rsidSect="00CE0802">
          <w:footerReference w:type="first" r:id="rId27"/>
          <w:pgSz w:w="11907" w:h="16834" w:code="9"/>
          <w:pgMar w:top="1701" w:right="1418" w:bottom="1701" w:left="1701" w:header="0" w:footer="425" w:gutter="0"/>
          <w:cols w:space="720"/>
          <w:titlePg/>
        </w:sectPr>
      </w:pPr>
    </w:p>
    <w:p w:rsidR="003474CE" w:rsidRDefault="003474CE" w:rsidP="003C648C">
      <w:pPr>
        <w:pStyle w:val="Heading1"/>
        <w:rPr>
          <w:rFonts w:eastAsia="Calibri"/>
          <w:lang w:eastAsia="en-US"/>
        </w:rPr>
      </w:pPr>
      <w:bookmarkStart w:id="61" w:name="_Toc411328324"/>
      <w:r>
        <w:rPr>
          <w:rFonts w:eastAsia="Calibri"/>
          <w:lang w:eastAsia="en-US"/>
        </w:rPr>
        <w:lastRenderedPageBreak/>
        <w:t>Governance</w:t>
      </w:r>
      <w:bookmarkEnd w:id="61"/>
    </w:p>
    <w:p w:rsidR="003474CE" w:rsidRDefault="003474CE" w:rsidP="003C648C">
      <w:pPr>
        <w:pStyle w:val="Heading2"/>
        <w:rPr>
          <w:rFonts w:eastAsia="Calibri"/>
          <w:lang w:eastAsia="en-US"/>
        </w:rPr>
      </w:pPr>
      <w:bookmarkStart w:id="62" w:name="_Toc411328325"/>
      <w:r>
        <w:rPr>
          <w:rFonts w:eastAsia="Calibri"/>
          <w:lang w:eastAsia="en-US"/>
        </w:rPr>
        <w:t>Chair and Deputy Chair</w:t>
      </w:r>
      <w:bookmarkEnd w:id="62"/>
    </w:p>
    <w:p w:rsidR="003474CE" w:rsidRDefault="003474CE" w:rsidP="003C648C">
      <w:pPr>
        <w:pStyle w:val="Heading3"/>
        <w:rPr>
          <w:rFonts w:eastAsia="Calibri"/>
          <w:lang w:eastAsia="en-US"/>
        </w:rPr>
      </w:pPr>
      <w:r>
        <w:rPr>
          <w:rFonts w:eastAsia="Calibri"/>
          <w:lang w:eastAsia="en-US"/>
        </w:rPr>
        <w:t>Chair</w:t>
      </w:r>
    </w:p>
    <w:p w:rsidR="003C648C" w:rsidRDefault="003C648C" w:rsidP="003C648C">
      <w:pPr>
        <w:rPr>
          <w:rFonts w:eastAsia="Calibri"/>
          <w:lang w:eastAsia="en-US"/>
        </w:rPr>
      </w:pPr>
      <w:r>
        <w:rPr>
          <w:rFonts w:eastAsia="Calibri"/>
          <w:lang w:eastAsia="en-US"/>
        </w:rPr>
        <w:t>Dr John Angus was first appointed as Chair in October 2011 and reappointed in April 2013.</w:t>
      </w:r>
      <w:r w:rsidR="000D459B">
        <w:rPr>
          <w:rFonts w:eastAsia="Calibri"/>
          <w:lang w:eastAsia="en-US"/>
        </w:rPr>
        <w:t xml:space="preserve"> </w:t>
      </w:r>
      <w:r>
        <w:rPr>
          <w:rFonts w:eastAsia="Calibri"/>
          <w:lang w:eastAsia="en-US"/>
        </w:rPr>
        <w:t>John resigned as Chair on 30 June 2014 and resigned as a member on 31 December 2014.</w:t>
      </w:r>
    </w:p>
    <w:p w:rsidR="003C648C" w:rsidRDefault="003C648C" w:rsidP="003C648C">
      <w:pPr>
        <w:rPr>
          <w:rFonts w:eastAsia="Calibri"/>
          <w:lang w:eastAsia="en-US"/>
        </w:rPr>
      </w:pPr>
    </w:p>
    <w:p w:rsidR="003C648C" w:rsidRDefault="003C648C" w:rsidP="003C648C">
      <w:pPr>
        <w:pStyle w:val="Heading3"/>
        <w:rPr>
          <w:rFonts w:eastAsia="Calibri"/>
          <w:lang w:eastAsia="en-US"/>
        </w:rPr>
      </w:pPr>
      <w:r>
        <w:rPr>
          <w:rFonts w:eastAsia="Calibri"/>
          <w:lang w:eastAsia="en-US"/>
        </w:rPr>
        <w:t>Deputy Chair</w:t>
      </w:r>
    </w:p>
    <w:p w:rsidR="003C648C" w:rsidRDefault="003C648C" w:rsidP="003C648C">
      <w:pPr>
        <w:rPr>
          <w:rFonts w:eastAsia="Calibri"/>
          <w:lang w:eastAsia="en-US"/>
        </w:rPr>
      </w:pPr>
      <w:r>
        <w:rPr>
          <w:rFonts w:eastAsia="Calibri"/>
          <w:lang w:eastAsia="en-US"/>
        </w:rPr>
        <w:t>Members selected Alison Douglass as Deputy Chair in July 201</w:t>
      </w:r>
      <w:r w:rsidR="003E2816">
        <w:rPr>
          <w:rFonts w:eastAsia="Calibri"/>
          <w:lang w:eastAsia="en-US"/>
        </w:rPr>
        <w:t xml:space="preserve">3. Alison was Acting Chair from </w:t>
      </w:r>
      <w:r>
        <w:rPr>
          <w:rFonts w:eastAsia="Calibri"/>
          <w:lang w:eastAsia="en-US"/>
        </w:rPr>
        <w:t>1 July 2014</w:t>
      </w:r>
      <w:r w:rsidR="003E2816">
        <w:rPr>
          <w:rFonts w:eastAsia="Calibri"/>
          <w:lang w:eastAsia="en-US"/>
        </w:rPr>
        <w:t xml:space="preserve"> until her appointment as </w:t>
      </w:r>
      <w:r>
        <w:rPr>
          <w:rFonts w:eastAsia="Calibri"/>
          <w:lang w:eastAsia="en-US"/>
        </w:rPr>
        <w:t>Chair in January 2015.</w:t>
      </w:r>
    </w:p>
    <w:p w:rsidR="003C648C" w:rsidRDefault="003C648C" w:rsidP="003C648C">
      <w:pPr>
        <w:rPr>
          <w:rFonts w:eastAsia="Calibri"/>
          <w:lang w:eastAsia="en-US"/>
        </w:rPr>
      </w:pPr>
    </w:p>
    <w:p w:rsidR="003C648C" w:rsidRDefault="003C648C" w:rsidP="003C648C">
      <w:pPr>
        <w:pStyle w:val="Heading2"/>
        <w:rPr>
          <w:rFonts w:eastAsia="Calibri"/>
          <w:lang w:eastAsia="en-US"/>
        </w:rPr>
      </w:pPr>
      <w:bookmarkStart w:id="63" w:name="_Toc411328326"/>
      <w:r>
        <w:rPr>
          <w:rFonts w:eastAsia="Calibri"/>
          <w:lang w:eastAsia="en-US"/>
        </w:rPr>
        <w:t>Contact with the Minister of Health</w:t>
      </w:r>
      <w:bookmarkEnd w:id="63"/>
    </w:p>
    <w:p w:rsidR="003C648C" w:rsidRDefault="003C648C" w:rsidP="003C648C">
      <w:pPr>
        <w:rPr>
          <w:rFonts w:eastAsia="Calibri"/>
          <w:lang w:eastAsia="en-US"/>
        </w:rPr>
      </w:pPr>
      <w:r>
        <w:rPr>
          <w:rFonts w:eastAsia="Calibri"/>
          <w:lang w:eastAsia="en-US"/>
        </w:rPr>
        <w:t>The Chair met the Minister of Health on 24 October 2013.</w:t>
      </w:r>
    </w:p>
    <w:p w:rsidR="003C648C" w:rsidRDefault="003C648C" w:rsidP="003C648C">
      <w:pPr>
        <w:rPr>
          <w:rFonts w:eastAsia="Calibri"/>
          <w:lang w:eastAsia="en-US"/>
        </w:rPr>
      </w:pPr>
    </w:p>
    <w:p w:rsidR="003C648C" w:rsidRPr="003474CE" w:rsidRDefault="003C648C" w:rsidP="003C648C">
      <w:pPr>
        <w:rPr>
          <w:rFonts w:eastAsia="Calibri"/>
          <w:lang w:eastAsia="en-US"/>
        </w:rPr>
      </w:pPr>
      <w:r>
        <w:rPr>
          <w:rFonts w:eastAsia="Calibri"/>
          <w:lang w:eastAsia="en-US"/>
        </w:rPr>
        <w:t>The Deputy Chair (with the Chair of ECART and a member of ECART) met the Minister of Health on 9 June 2014.</w:t>
      </w:r>
    </w:p>
    <w:p w:rsidR="003474CE" w:rsidRPr="00096277" w:rsidRDefault="003474CE" w:rsidP="009026D8">
      <w:pPr>
        <w:rPr>
          <w:rFonts w:eastAsia="Calibri"/>
          <w:lang w:eastAsia="en-US"/>
        </w:rPr>
      </w:pPr>
    </w:p>
    <w:p w:rsidR="006C2B40" w:rsidRDefault="006C2B40" w:rsidP="006C2B40">
      <w:pPr>
        <w:pStyle w:val="Heading1"/>
        <w:sectPr w:rsidR="006C2B40" w:rsidSect="00CE0802">
          <w:footerReference w:type="first" r:id="rId28"/>
          <w:pgSz w:w="11907" w:h="16834" w:code="9"/>
          <w:pgMar w:top="1701" w:right="1418" w:bottom="1701" w:left="1701" w:header="0" w:footer="425" w:gutter="0"/>
          <w:cols w:space="720"/>
          <w:titlePg/>
        </w:sectPr>
      </w:pPr>
      <w:bookmarkStart w:id="64" w:name="_Toc272911757"/>
    </w:p>
    <w:p w:rsidR="00096277" w:rsidRDefault="008569C6" w:rsidP="003C648C">
      <w:pPr>
        <w:pStyle w:val="Heading1"/>
      </w:pPr>
      <w:bookmarkStart w:id="65" w:name="_Toc411328327"/>
      <w:r w:rsidRPr="006A4FE5">
        <w:lastRenderedPageBreak/>
        <w:t>Appendix</w:t>
      </w:r>
      <w:r>
        <w:t xml:space="preserve"> 1: </w:t>
      </w:r>
      <w:r w:rsidRPr="00D522BE">
        <w:t xml:space="preserve">ACART </w:t>
      </w:r>
      <w:r w:rsidR="006A4FE5">
        <w:t>m</w:t>
      </w:r>
      <w:r w:rsidRPr="00D522BE">
        <w:t>embership</w:t>
      </w:r>
      <w:bookmarkEnd w:id="55"/>
      <w:bookmarkEnd w:id="56"/>
      <w:bookmarkEnd w:id="57"/>
      <w:bookmarkEnd w:id="58"/>
      <w:bookmarkEnd w:id="59"/>
      <w:bookmarkEnd w:id="64"/>
      <w:bookmarkEnd w:id="65"/>
    </w:p>
    <w:p w:rsidR="008569C6" w:rsidRDefault="008569C6" w:rsidP="00330827">
      <w:pPr>
        <w:pStyle w:val="Heading2"/>
      </w:pPr>
      <w:bookmarkStart w:id="66" w:name="_Toc338072580"/>
      <w:bookmarkStart w:id="67" w:name="_Toc370463154"/>
      <w:bookmarkStart w:id="68" w:name="_Toc411328328"/>
      <w:r w:rsidRPr="00933F2F">
        <w:t xml:space="preserve">ACART </w:t>
      </w:r>
      <w:r>
        <w:t>m</w:t>
      </w:r>
      <w:r w:rsidRPr="00933F2F">
        <w:t>embers</w:t>
      </w:r>
      <w:bookmarkEnd w:id="66"/>
      <w:bookmarkEnd w:id="67"/>
      <w:r w:rsidR="003C648C">
        <w:t xml:space="preserve"> in the period</w:t>
      </w:r>
      <w:bookmarkEnd w:id="68"/>
    </w:p>
    <w:p w:rsidR="003C648C" w:rsidRDefault="003C648C" w:rsidP="003C648C">
      <w:bookmarkStart w:id="69" w:name="_Toc272911760"/>
      <w:bookmarkStart w:id="70" w:name="_Toc178338239"/>
      <w:bookmarkStart w:id="71" w:name="_Toc206837342"/>
      <w:bookmarkStart w:id="72" w:name="_Toc210011742"/>
      <w:bookmarkStart w:id="73" w:name="_Toc210461521"/>
      <w:bookmarkStart w:id="74" w:name="_Toc210466514"/>
      <w:r>
        <w:t>Dr John Angus – Chair (from November 2011 to 30 June 2014), continuing as member until 31 December 2014.</w:t>
      </w:r>
    </w:p>
    <w:p w:rsidR="003C648C" w:rsidRDefault="003C648C" w:rsidP="003C648C">
      <w:pPr>
        <w:spacing w:before="60"/>
      </w:pPr>
      <w:r>
        <w:t>Alison Douglass – Deputy Chair from July 2013, Acting Chair from 1 July 2014 and Chair from January 2015.</w:t>
      </w:r>
    </w:p>
    <w:p w:rsidR="003C648C" w:rsidRDefault="003C648C" w:rsidP="003C648C">
      <w:pPr>
        <w:spacing w:before="60"/>
      </w:pPr>
      <w:r>
        <w:t>Dr Karen Buckingham</w:t>
      </w:r>
    </w:p>
    <w:p w:rsidR="003C648C" w:rsidRDefault="003C648C" w:rsidP="003C648C">
      <w:pPr>
        <w:spacing w:before="60"/>
      </w:pPr>
      <w:r>
        <w:t>Jonathan Darby</w:t>
      </w:r>
    </w:p>
    <w:p w:rsidR="003C648C" w:rsidRDefault="003C648C" w:rsidP="003C648C">
      <w:pPr>
        <w:spacing w:before="60"/>
      </w:pPr>
      <w:r>
        <w:t>Nikki Horne</w:t>
      </w:r>
    </w:p>
    <w:p w:rsidR="003C648C" w:rsidRDefault="003C648C" w:rsidP="003C648C">
      <w:pPr>
        <w:spacing w:before="60"/>
      </w:pPr>
      <w:r>
        <w:t xml:space="preserve">Associate Professor Michael </w:t>
      </w:r>
      <w:proofErr w:type="spellStart"/>
      <w:r>
        <w:t>Legge</w:t>
      </w:r>
      <w:proofErr w:type="spellEnd"/>
    </w:p>
    <w:p w:rsidR="003C648C" w:rsidRDefault="003C648C" w:rsidP="003C648C">
      <w:pPr>
        <w:spacing w:before="60"/>
      </w:pPr>
      <w:r>
        <w:t>Sue McKenzie</w:t>
      </w:r>
    </w:p>
    <w:p w:rsidR="003C648C" w:rsidRDefault="003C648C" w:rsidP="003C648C">
      <w:pPr>
        <w:spacing w:before="60"/>
      </w:pPr>
      <w:r>
        <w:t>Dr Barry Smith</w:t>
      </w:r>
    </w:p>
    <w:p w:rsidR="003C648C" w:rsidRDefault="003C648C" w:rsidP="003C648C"/>
    <w:p w:rsidR="003C648C" w:rsidRPr="00B90E91" w:rsidRDefault="003C648C" w:rsidP="003C648C">
      <w:pPr>
        <w:pStyle w:val="Heading3"/>
      </w:pPr>
      <w:bookmarkStart w:id="75" w:name="_Toc338072581"/>
      <w:r w:rsidRPr="00B90E91">
        <w:t>Secretariat</w:t>
      </w:r>
      <w:r>
        <w:t xml:space="preserve"> staff</w:t>
      </w:r>
      <w:r w:rsidRPr="00B90E91">
        <w:t xml:space="preserve"> members</w:t>
      </w:r>
      <w:bookmarkEnd w:id="75"/>
    </w:p>
    <w:p w:rsidR="003C648C" w:rsidRDefault="003C648C" w:rsidP="003C648C">
      <w:r>
        <w:t>Betty-Ann Kelly, senior policy analyst</w:t>
      </w:r>
    </w:p>
    <w:p w:rsidR="003C648C" w:rsidRDefault="003C648C" w:rsidP="003C648C">
      <w:pPr>
        <w:spacing w:before="60"/>
      </w:pPr>
      <w:r>
        <w:t xml:space="preserve">Emma </w:t>
      </w:r>
      <w:proofErr w:type="spellStart"/>
      <w:r>
        <w:t>Doust</w:t>
      </w:r>
      <w:proofErr w:type="spellEnd"/>
      <w:r>
        <w:t>, senior policy analyst (September 2013–December 2014)</w:t>
      </w:r>
    </w:p>
    <w:p w:rsidR="003C648C" w:rsidRDefault="003C648C" w:rsidP="003C648C">
      <w:pPr>
        <w:spacing w:before="60"/>
      </w:pPr>
      <w:r>
        <w:t>Stella Li (to August 2014)</w:t>
      </w:r>
    </w:p>
    <w:p w:rsidR="003C648C" w:rsidRDefault="003C648C" w:rsidP="003C648C">
      <w:pPr>
        <w:spacing w:before="60"/>
      </w:pPr>
      <w:bookmarkStart w:id="76" w:name="_Toc244685352"/>
      <w:bookmarkStart w:id="77" w:name="_Toc272911759"/>
      <w:bookmarkStart w:id="78" w:name="_Toc304292515"/>
      <w:r>
        <w:t>Chris Wilson (to August 2013)</w:t>
      </w:r>
    </w:p>
    <w:p w:rsidR="003C648C" w:rsidRDefault="003C648C" w:rsidP="003C648C"/>
    <w:p w:rsidR="003C648C" w:rsidRDefault="003C648C" w:rsidP="003C648C">
      <w:r>
        <w:t>Additional administrative support was provided by the Business Services and Committee Support team in the Policy Business Unit of the Ministry of Health, in particular Helen Martin.</w:t>
      </w:r>
    </w:p>
    <w:p w:rsidR="003C648C" w:rsidRDefault="003C648C" w:rsidP="003C648C"/>
    <w:p w:rsidR="003C648C" w:rsidRPr="005F3855" w:rsidRDefault="003C648C" w:rsidP="003C648C">
      <w:pPr>
        <w:pStyle w:val="Heading2"/>
        <w:spacing w:before="0"/>
        <w:rPr>
          <w:b/>
        </w:rPr>
      </w:pPr>
      <w:bookmarkStart w:id="79" w:name="_Toc338072582"/>
      <w:r>
        <w:br w:type="page"/>
      </w:r>
      <w:bookmarkStart w:id="80" w:name="_Toc370463155"/>
      <w:bookmarkStart w:id="81" w:name="_Toc411328329"/>
      <w:r w:rsidRPr="00A23682">
        <w:lastRenderedPageBreak/>
        <w:t xml:space="preserve">Biographies of ACART </w:t>
      </w:r>
      <w:r>
        <w:t>m</w:t>
      </w:r>
      <w:r w:rsidRPr="00A23682">
        <w:t>ember</w:t>
      </w:r>
      <w:bookmarkEnd w:id="76"/>
      <w:bookmarkEnd w:id="77"/>
      <w:bookmarkEnd w:id="78"/>
      <w:bookmarkEnd w:id="79"/>
      <w:bookmarkEnd w:id="80"/>
      <w:r>
        <w:t>s</w:t>
      </w:r>
      <w:bookmarkEnd w:id="81"/>
    </w:p>
    <w:p w:rsidR="003C648C" w:rsidRPr="006C3777" w:rsidRDefault="003C648C" w:rsidP="003C648C">
      <w:pPr>
        <w:pStyle w:val="Heading3"/>
      </w:pPr>
      <w:r w:rsidRPr="006C3777">
        <w:t>Current members</w:t>
      </w:r>
    </w:p>
    <w:p w:rsidR="003C648C" w:rsidRPr="003C648C" w:rsidRDefault="003C648C" w:rsidP="003C648C">
      <w:pPr>
        <w:pStyle w:val="Heading4"/>
        <w:rPr>
          <w:i w:val="0"/>
        </w:rPr>
      </w:pPr>
      <w:r w:rsidRPr="003C648C">
        <w:rPr>
          <w:i w:val="0"/>
        </w:rPr>
        <w:t xml:space="preserve">John Angus MNZM (Chair </w:t>
      </w:r>
      <w:r>
        <w:rPr>
          <w:i w:val="0"/>
        </w:rPr>
        <w:t>un</w:t>
      </w:r>
      <w:r w:rsidRPr="003C648C">
        <w:rPr>
          <w:i w:val="0"/>
        </w:rPr>
        <w:t>til 30 June 2014, member until 31 December 2014)</w:t>
      </w:r>
    </w:p>
    <w:p w:rsidR="003C648C" w:rsidRPr="00B54D41" w:rsidRDefault="003C648C" w:rsidP="003C648C">
      <w:pPr>
        <w:pStyle w:val="Heading5"/>
      </w:pPr>
      <w:r w:rsidRPr="00B54D41">
        <w:t>Membership role: Articulate interests of children</w:t>
      </w:r>
    </w:p>
    <w:p w:rsidR="003C648C" w:rsidRPr="00B54D41" w:rsidRDefault="003C648C" w:rsidP="003C648C">
      <w:pPr>
        <w:rPr>
          <w:lang w:eastAsia="en-NZ"/>
        </w:rPr>
      </w:pPr>
      <w:r>
        <w:rPr>
          <w:lang w:eastAsia="en-NZ"/>
        </w:rPr>
        <w:t xml:space="preserve">The late </w:t>
      </w:r>
      <w:r w:rsidRPr="00B54D41">
        <w:rPr>
          <w:lang w:eastAsia="en-NZ"/>
        </w:rPr>
        <w:t>Dr John Angus was appointed as an ACART member in November 2010 for three years, and re-appointed in November 2013 for a further three years.</w:t>
      </w:r>
      <w:r>
        <w:rPr>
          <w:lang w:eastAsia="en-NZ"/>
        </w:rPr>
        <w:t xml:space="preserve"> </w:t>
      </w:r>
      <w:r w:rsidRPr="00B54D41">
        <w:rPr>
          <w:lang w:eastAsia="en-NZ"/>
        </w:rPr>
        <w:t>He was appointed as Chair in October 2011 for one year.</w:t>
      </w:r>
      <w:r>
        <w:rPr>
          <w:lang w:eastAsia="en-NZ"/>
        </w:rPr>
        <w:t xml:space="preserve"> </w:t>
      </w:r>
      <w:r w:rsidRPr="00B54D41">
        <w:rPr>
          <w:lang w:eastAsia="en-NZ"/>
        </w:rPr>
        <w:t>In April 2013 his term as Chair was extended until December 2013.</w:t>
      </w:r>
      <w:r>
        <w:rPr>
          <w:lang w:eastAsia="en-NZ"/>
        </w:rPr>
        <w:t xml:space="preserve"> </w:t>
      </w:r>
      <w:r w:rsidRPr="00B54D41">
        <w:rPr>
          <w:lang w:eastAsia="en-NZ"/>
        </w:rPr>
        <w:t>He was re-appointed as Chair in March 2014 but resigned as Chair for health reasons at t</w:t>
      </w:r>
      <w:r>
        <w:rPr>
          <w:lang w:eastAsia="en-NZ"/>
        </w:rPr>
        <w:t>he end of June 2014. He remained</w:t>
      </w:r>
      <w:r w:rsidRPr="00B54D41">
        <w:rPr>
          <w:lang w:eastAsia="en-NZ"/>
        </w:rPr>
        <w:t xml:space="preserve"> on the Committee as a member</w:t>
      </w:r>
      <w:r>
        <w:rPr>
          <w:lang w:eastAsia="en-NZ"/>
        </w:rPr>
        <w:t xml:space="preserve"> until December 2014.</w:t>
      </w:r>
    </w:p>
    <w:p w:rsidR="003C648C" w:rsidRDefault="003C648C" w:rsidP="003C648C">
      <w:pPr>
        <w:rPr>
          <w:lang w:eastAsia="en-NZ"/>
        </w:rPr>
      </w:pPr>
    </w:p>
    <w:p w:rsidR="003C648C" w:rsidRPr="00B54D41" w:rsidRDefault="003C648C" w:rsidP="003C648C">
      <w:pPr>
        <w:rPr>
          <w:lang w:eastAsia="en-NZ"/>
        </w:rPr>
      </w:pPr>
      <w:r w:rsidRPr="00B54D41">
        <w:rPr>
          <w:lang w:eastAsia="en-NZ"/>
        </w:rPr>
        <w:t>John was Children</w:t>
      </w:r>
      <w:r w:rsidR="000D459B">
        <w:rPr>
          <w:lang w:eastAsia="en-NZ"/>
        </w:rPr>
        <w:t>’</w:t>
      </w:r>
      <w:r w:rsidRPr="00B54D41">
        <w:rPr>
          <w:lang w:eastAsia="en-NZ"/>
        </w:rPr>
        <w:t>s Commissioner from 2009 to 2011.</w:t>
      </w:r>
      <w:r>
        <w:rPr>
          <w:lang w:eastAsia="en-NZ"/>
        </w:rPr>
        <w:t xml:space="preserve"> </w:t>
      </w:r>
      <w:r w:rsidRPr="00B54D41">
        <w:rPr>
          <w:lang w:eastAsia="en-NZ"/>
        </w:rPr>
        <w:t>Prior to that, he had a long career as a senior social policy advisor within the Ministry of Social Development and its predecessors (1987–2006), and then as a social policy consultant (2006–2009).</w:t>
      </w:r>
    </w:p>
    <w:p w:rsidR="003C648C" w:rsidRDefault="003C648C" w:rsidP="003C648C">
      <w:pPr>
        <w:rPr>
          <w:lang w:eastAsia="en-NZ"/>
        </w:rPr>
      </w:pPr>
    </w:p>
    <w:p w:rsidR="003C648C" w:rsidRPr="00B54D41" w:rsidRDefault="003C648C" w:rsidP="003C648C">
      <w:pPr>
        <w:rPr>
          <w:lang w:eastAsia="en-NZ"/>
        </w:rPr>
      </w:pPr>
      <w:r w:rsidRPr="00B54D41">
        <w:rPr>
          <w:lang w:eastAsia="en-NZ"/>
        </w:rPr>
        <w:t>John began his career as a historian after obtaining a BA (</w:t>
      </w:r>
      <w:proofErr w:type="spellStart"/>
      <w:r w:rsidRPr="00B54D41">
        <w:rPr>
          <w:lang w:eastAsia="en-NZ"/>
        </w:rPr>
        <w:t>Hons</w:t>
      </w:r>
      <w:proofErr w:type="spellEnd"/>
      <w:r w:rsidRPr="00B54D41">
        <w:rPr>
          <w:lang w:eastAsia="en-NZ"/>
        </w:rPr>
        <w:t xml:space="preserve">) (1971) and then a doctorate in history from the University of </w:t>
      </w:r>
      <w:proofErr w:type="spellStart"/>
      <w:r w:rsidRPr="00B54D41">
        <w:rPr>
          <w:lang w:eastAsia="en-NZ"/>
        </w:rPr>
        <w:t>Otago</w:t>
      </w:r>
      <w:proofErr w:type="spellEnd"/>
      <w:r w:rsidRPr="00B54D41">
        <w:rPr>
          <w:lang w:eastAsia="en-NZ"/>
        </w:rPr>
        <w:t xml:space="preserve"> (1977).</w:t>
      </w:r>
      <w:r>
        <w:rPr>
          <w:lang w:eastAsia="en-NZ"/>
        </w:rPr>
        <w:t xml:space="preserve"> </w:t>
      </w:r>
      <w:r w:rsidRPr="00B54D41">
        <w:rPr>
          <w:lang w:eastAsia="en-NZ"/>
        </w:rPr>
        <w:t>He went on to spend almost 10</w:t>
      </w:r>
      <w:r>
        <w:rPr>
          <w:lang w:eastAsia="en-NZ"/>
        </w:rPr>
        <w:t> </w:t>
      </w:r>
      <w:r w:rsidRPr="00B54D41">
        <w:rPr>
          <w:lang w:eastAsia="en-NZ"/>
        </w:rPr>
        <w:t>years as a social worker in Dunedin for the Department of Social Welfare, and completed a Diploma in Social Work (Victoria University of Wellington 1982).</w:t>
      </w:r>
      <w:r>
        <w:rPr>
          <w:lang w:eastAsia="en-NZ"/>
        </w:rPr>
        <w:t xml:space="preserve"> </w:t>
      </w:r>
      <w:r w:rsidRPr="00B54D41">
        <w:rPr>
          <w:lang w:eastAsia="en-NZ"/>
        </w:rPr>
        <w:t>John then moved into social policy.</w:t>
      </w:r>
      <w:r>
        <w:rPr>
          <w:lang w:eastAsia="en-NZ"/>
        </w:rPr>
        <w:t xml:space="preserve"> </w:t>
      </w:r>
      <w:r w:rsidRPr="00B54D41">
        <w:rPr>
          <w:lang w:eastAsia="en-NZ"/>
        </w:rPr>
        <w:t>He has led work on a wide range of child and family policy including the care and protection of children, child support and support for vulnerable families.</w:t>
      </w:r>
    </w:p>
    <w:p w:rsidR="003C648C" w:rsidRDefault="003C648C" w:rsidP="003C648C">
      <w:pPr>
        <w:rPr>
          <w:lang w:eastAsia="en-NZ"/>
        </w:rPr>
      </w:pPr>
    </w:p>
    <w:p w:rsidR="003C648C" w:rsidRDefault="003C648C" w:rsidP="003C648C">
      <w:pPr>
        <w:rPr>
          <w:lang w:eastAsia="en-NZ"/>
        </w:rPr>
      </w:pPr>
      <w:r w:rsidRPr="00B54D41">
        <w:rPr>
          <w:lang w:eastAsia="en-NZ"/>
        </w:rPr>
        <w:t>John</w:t>
      </w:r>
      <w:r>
        <w:rPr>
          <w:lang w:eastAsia="en-NZ"/>
        </w:rPr>
        <w:t xml:space="preserve"> lived in Central </w:t>
      </w:r>
      <w:proofErr w:type="spellStart"/>
      <w:r>
        <w:rPr>
          <w:lang w:eastAsia="en-NZ"/>
        </w:rPr>
        <w:t>Otago</w:t>
      </w:r>
      <w:proofErr w:type="spellEnd"/>
      <w:r>
        <w:rPr>
          <w:lang w:eastAsia="en-NZ"/>
        </w:rPr>
        <w:t xml:space="preserve">. He is survived by his wife, </w:t>
      </w:r>
      <w:r w:rsidRPr="00B54D41">
        <w:rPr>
          <w:lang w:eastAsia="en-NZ"/>
        </w:rPr>
        <w:t>two adult sons and four granddaughters.</w:t>
      </w:r>
    </w:p>
    <w:p w:rsidR="003C648C" w:rsidRPr="00B54D41" w:rsidRDefault="003C648C" w:rsidP="003C648C">
      <w:pPr>
        <w:rPr>
          <w:lang w:eastAsia="en-NZ"/>
        </w:rPr>
      </w:pPr>
    </w:p>
    <w:p w:rsidR="003C648C" w:rsidRPr="003C648C" w:rsidRDefault="003C648C" w:rsidP="003C648C">
      <w:pPr>
        <w:pStyle w:val="Heading4"/>
        <w:rPr>
          <w:i w:val="0"/>
        </w:rPr>
      </w:pPr>
      <w:r w:rsidRPr="003C648C">
        <w:rPr>
          <w:i w:val="0"/>
        </w:rPr>
        <w:t>Alison Douglass (Deputy Chair to 30 June 2014, Acting Chair from 1 July 2014, Chair from January 2015)</w:t>
      </w:r>
    </w:p>
    <w:p w:rsidR="003C648C" w:rsidRPr="00B54D41" w:rsidRDefault="003C648C" w:rsidP="003C648C">
      <w:pPr>
        <w:pStyle w:val="Heading5"/>
      </w:pPr>
      <w:r w:rsidRPr="00B54D41">
        <w:t>Membership role: Experti</w:t>
      </w:r>
      <w:r>
        <w:t>se in relevant areas of the law</w:t>
      </w:r>
    </w:p>
    <w:p w:rsidR="003C648C" w:rsidRPr="00B54D41" w:rsidRDefault="003C648C" w:rsidP="000524EF">
      <w:pPr>
        <w:rPr>
          <w:lang w:eastAsia="en-NZ"/>
        </w:rPr>
      </w:pPr>
      <w:r w:rsidRPr="00B54D41">
        <w:rPr>
          <w:lang w:eastAsia="en-NZ"/>
        </w:rPr>
        <w:t>Alison Douglass was appointed to ACART in May 2011 for three years.</w:t>
      </w:r>
      <w:r>
        <w:rPr>
          <w:lang w:eastAsia="en-NZ"/>
        </w:rPr>
        <w:t xml:space="preserve"> </w:t>
      </w:r>
      <w:r w:rsidRPr="00B54D41">
        <w:rPr>
          <w:lang w:eastAsia="en-NZ"/>
        </w:rPr>
        <w:t>Members selected her as Deputy Chair in July 2013, and she became</w:t>
      </w:r>
      <w:r w:rsidR="000524EF">
        <w:rPr>
          <w:lang w:eastAsia="en-NZ"/>
        </w:rPr>
        <w:t xml:space="preserve"> Acting Chair from 1 July 2014.</w:t>
      </w:r>
    </w:p>
    <w:p w:rsidR="000524EF" w:rsidRDefault="000524EF" w:rsidP="000524EF">
      <w:pPr>
        <w:rPr>
          <w:lang w:eastAsia="en-NZ"/>
        </w:rPr>
      </w:pPr>
    </w:p>
    <w:p w:rsidR="003C648C" w:rsidRDefault="003C648C" w:rsidP="000524EF">
      <w:pPr>
        <w:rPr>
          <w:lang w:eastAsia="en-NZ"/>
        </w:rPr>
      </w:pPr>
      <w:r w:rsidRPr="00B54D41">
        <w:rPr>
          <w:lang w:eastAsia="en-NZ"/>
        </w:rPr>
        <w:t>Alison is a barrister, practising out of Wellington and Dunedin.</w:t>
      </w:r>
      <w:r>
        <w:rPr>
          <w:lang w:eastAsia="en-NZ"/>
        </w:rPr>
        <w:t xml:space="preserve"> </w:t>
      </w:r>
      <w:r w:rsidRPr="00B54D41">
        <w:rPr>
          <w:lang w:eastAsia="en-NZ"/>
        </w:rPr>
        <w:t>She has been a practising lawyer since 1985, and specialises in health and disability law.</w:t>
      </w:r>
      <w:r>
        <w:rPr>
          <w:lang w:eastAsia="en-NZ"/>
        </w:rPr>
        <w:t xml:space="preserve"> </w:t>
      </w:r>
      <w:r w:rsidRPr="00B54D41">
        <w:rPr>
          <w:lang w:eastAsia="en-NZ"/>
        </w:rPr>
        <w:t>Prior to moving to the independent bar in 2008, Ms Douglass was a partner, then consultant, to a Wellington law firm, Tripe Matthews and Feist.</w:t>
      </w:r>
      <w:r>
        <w:rPr>
          <w:lang w:eastAsia="en-NZ"/>
        </w:rPr>
        <w:t xml:space="preserve"> </w:t>
      </w:r>
      <w:r w:rsidRPr="00B54D41">
        <w:rPr>
          <w:lang w:eastAsia="en-NZ"/>
        </w:rPr>
        <w:t xml:space="preserve">She completed an LLB at University of Canterbury (1984) and a Master of Bioethics and Health Law at University of </w:t>
      </w:r>
      <w:proofErr w:type="spellStart"/>
      <w:r w:rsidRPr="00B54D41">
        <w:rPr>
          <w:lang w:eastAsia="en-NZ"/>
        </w:rPr>
        <w:t>Otago</w:t>
      </w:r>
      <w:proofErr w:type="spellEnd"/>
      <w:r w:rsidRPr="00B54D41">
        <w:rPr>
          <w:lang w:eastAsia="en-NZ"/>
        </w:rPr>
        <w:t xml:space="preserve"> (1999).</w:t>
      </w:r>
    </w:p>
    <w:p w:rsidR="000524EF" w:rsidRPr="00B54D41" w:rsidRDefault="000524EF" w:rsidP="000524EF"/>
    <w:p w:rsidR="003C648C" w:rsidRPr="000D459B" w:rsidRDefault="003C648C" w:rsidP="000524EF">
      <w:pPr>
        <w:rPr>
          <w:lang w:eastAsia="en-NZ"/>
        </w:rPr>
      </w:pPr>
      <w:r w:rsidRPr="000D459B">
        <w:rPr>
          <w:lang w:eastAsia="en-NZ"/>
        </w:rPr>
        <w:t xml:space="preserve">Alison is the Convenor of the New Zealand Law Society Health Law Committee, which provides submissions on health law reform and until July 2014 Alison was co-chair of the ACC Research Ethics Committee. </w:t>
      </w:r>
      <w:r w:rsidRPr="00B54D41">
        <w:rPr>
          <w:lang w:eastAsia="en-NZ"/>
        </w:rPr>
        <w:t>She was the legal member to the Interim, then National Ethics Committee on Assisted Human Reproduction (1993–2002) prior to the enactment of the HART Act, and is a former chair of the Wellington Ethics Committee.</w:t>
      </w:r>
    </w:p>
    <w:p w:rsidR="003C648C" w:rsidRPr="00B54D41" w:rsidRDefault="003C648C" w:rsidP="000524EF">
      <w:pPr>
        <w:spacing w:before="240"/>
        <w:rPr>
          <w:lang w:eastAsia="en-NZ"/>
        </w:rPr>
      </w:pPr>
      <w:r w:rsidRPr="00B54D41">
        <w:rPr>
          <w:lang w:eastAsia="en-NZ"/>
        </w:rPr>
        <w:lastRenderedPageBreak/>
        <w:t xml:space="preserve">She has worked part-time as a senior lecturer in health law and bioethics at the University of </w:t>
      </w:r>
      <w:proofErr w:type="spellStart"/>
      <w:r w:rsidRPr="00B54D41">
        <w:rPr>
          <w:lang w:eastAsia="en-NZ"/>
        </w:rPr>
        <w:t>Otago</w:t>
      </w:r>
      <w:proofErr w:type="spellEnd"/>
      <w:r w:rsidRPr="00B54D41">
        <w:rPr>
          <w:lang w:eastAsia="en-NZ"/>
        </w:rPr>
        <w:t>, Wellington.</w:t>
      </w:r>
      <w:r>
        <w:rPr>
          <w:lang w:eastAsia="en-NZ"/>
        </w:rPr>
        <w:t xml:space="preserve"> </w:t>
      </w:r>
      <w:r w:rsidRPr="00B54D41">
        <w:rPr>
          <w:lang w:eastAsia="en-NZ"/>
        </w:rPr>
        <w:t>In July 2014 Alison was appointed Adjunct Senior Lecturer to the Bioethi</w:t>
      </w:r>
      <w:r w:rsidR="000524EF">
        <w:rPr>
          <w:lang w:eastAsia="en-NZ"/>
        </w:rPr>
        <w:t xml:space="preserve">cs Centre, University of </w:t>
      </w:r>
      <w:proofErr w:type="spellStart"/>
      <w:r w:rsidR="000524EF">
        <w:rPr>
          <w:lang w:eastAsia="en-NZ"/>
        </w:rPr>
        <w:t>Otago</w:t>
      </w:r>
      <w:proofErr w:type="spellEnd"/>
      <w:r w:rsidR="000524EF">
        <w:rPr>
          <w:lang w:eastAsia="en-NZ"/>
        </w:rPr>
        <w:t>.</w:t>
      </w:r>
    </w:p>
    <w:p w:rsidR="000524EF" w:rsidRDefault="000524EF" w:rsidP="000524EF">
      <w:pPr>
        <w:rPr>
          <w:lang w:eastAsia="en-NZ"/>
        </w:rPr>
      </w:pPr>
    </w:p>
    <w:p w:rsidR="003C648C" w:rsidRDefault="003C648C" w:rsidP="000524EF">
      <w:pPr>
        <w:rPr>
          <w:lang w:eastAsia="en-NZ"/>
        </w:rPr>
      </w:pPr>
      <w:r w:rsidRPr="00B54D41">
        <w:rPr>
          <w:lang w:eastAsia="en-NZ"/>
        </w:rPr>
        <w:t xml:space="preserve">Alison has published journal articles on assisted reproductive technology, and in 2006 prepared the </w:t>
      </w:r>
      <w:r w:rsidRPr="00B54D41">
        <w:rPr>
          <w:i/>
          <w:lang w:eastAsia="en-NZ"/>
        </w:rPr>
        <w:t>Report on the</w:t>
      </w:r>
      <w:r w:rsidRPr="00B54D41">
        <w:rPr>
          <w:lang w:eastAsia="en-NZ"/>
        </w:rPr>
        <w:t xml:space="preserve"> </w:t>
      </w:r>
      <w:r w:rsidRPr="00B54D41">
        <w:rPr>
          <w:i/>
          <w:iCs/>
          <w:lang w:eastAsia="en-NZ"/>
        </w:rPr>
        <w:t>Regulatory Framework Governing Assisted Reproductive Technologies in New Zealand</w:t>
      </w:r>
      <w:r w:rsidRPr="00B54D41">
        <w:rPr>
          <w:lang w:eastAsia="en-NZ"/>
        </w:rPr>
        <w:t xml:space="preserve"> for the Ministry of Health.</w:t>
      </w:r>
    </w:p>
    <w:p w:rsidR="000524EF" w:rsidRPr="00B54D41" w:rsidRDefault="000524EF" w:rsidP="000524EF"/>
    <w:p w:rsidR="003C648C" w:rsidRDefault="003C648C" w:rsidP="000524EF">
      <w:pPr>
        <w:rPr>
          <w:lang w:eastAsia="en-NZ"/>
        </w:rPr>
      </w:pPr>
      <w:r w:rsidRPr="00B54D41">
        <w:rPr>
          <w:lang w:eastAsia="en-NZ"/>
        </w:rPr>
        <w:t>She lives in Dunedin and is married with three children.</w:t>
      </w:r>
    </w:p>
    <w:p w:rsidR="000524EF" w:rsidRPr="00B54D41" w:rsidRDefault="000524EF" w:rsidP="000524EF">
      <w:pPr>
        <w:rPr>
          <w:lang w:eastAsia="en-NZ"/>
        </w:rPr>
      </w:pPr>
    </w:p>
    <w:p w:rsidR="003C648C" w:rsidRPr="000524EF" w:rsidRDefault="003C648C" w:rsidP="000524EF">
      <w:pPr>
        <w:pStyle w:val="Heading4"/>
        <w:rPr>
          <w:i w:val="0"/>
        </w:rPr>
      </w:pPr>
      <w:r w:rsidRPr="000524EF">
        <w:rPr>
          <w:i w:val="0"/>
        </w:rPr>
        <w:t>Karen Buckingham</w:t>
      </w:r>
    </w:p>
    <w:p w:rsidR="003C648C" w:rsidRPr="00B54D41" w:rsidRDefault="003C648C" w:rsidP="000524EF">
      <w:pPr>
        <w:pStyle w:val="Heading5"/>
      </w:pPr>
      <w:r w:rsidRPr="00B54D41">
        <w:t>Membership role: Expertise in a</w:t>
      </w:r>
      <w:r>
        <w:t>ssisted reproductive procedures</w:t>
      </w:r>
    </w:p>
    <w:p w:rsidR="003C648C" w:rsidRPr="00B54D41" w:rsidRDefault="003C648C" w:rsidP="000524EF">
      <w:pPr>
        <w:rPr>
          <w:lang w:eastAsia="en-NZ"/>
        </w:rPr>
      </w:pPr>
      <w:r w:rsidRPr="00B54D41">
        <w:rPr>
          <w:lang w:eastAsia="en-NZ"/>
        </w:rPr>
        <w:t>Dr Karen Buckingham was appointed to ACART in November 2010 and is currently serving her second term on ACART.</w:t>
      </w:r>
      <w:r>
        <w:rPr>
          <w:lang w:eastAsia="en-NZ"/>
        </w:rPr>
        <w:t xml:space="preserve"> </w:t>
      </w:r>
      <w:r w:rsidRPr="00B54D41">
        <w:rPr>
          <w:lang w:eastAsia="en-NZ"/>
        </w:rPr>
        <w:t>Her term expires in December 2016.</w:t>
      </w:r>
    </w:p>
    <w:p w:rsidR="000524EF" w:rsidRDefault="000524EF" w:rsidP="000524EF">
      <w:pPr>
        <w:rPr>
          <w:lang w:eastAsia="en-NZ"/>
        </w:rPr>
      </w:pPr>
    </w:p>
    <w:p w:rsidR="003C648C" w:rsidRPr="00B54D41" w:rsidRDefault="003C648C" w:rsidP="000524EF">
      <w:pPr>
        <w:rPr>
          <w:lang w:eastAsia="en-NZ"/>
        </w:rPr>
      </w:pPr>
      <w:r w:rsidRPr="00B54D41">
        <w:rPr>
          <w:lang w:eastAsia="en-NZ"/>
        </w:rPr>
        <w:t>Karen is a graduate of the Auckland School of Medicine and trained as an obstetrician and gynaecologist in both New Zealand and the United Kingdom.</w:t>
      </w:r>
      <w:r>
        <w:rPr>
          <w:lang w:eastAsia="en-NZ"/>
        </w:rPr>
        <w:t xml:space="preserve"> </w:t>
      </w:r>
      <w:r w:rsidRPr="00B54D41">
        <w:rPr>
          <w:lang w:eastAsia="en-NZ"/>
        </w:rPr>
        <w:t>She worked as a senior lecturer at the University of Auckland from 2003 to 2008 and as a consultant obstetrician and gynaecologist for the Auckland District Health Board from 2003 to 2012.</w:t>
      </w:r>
      <w:r>
        <w:rPr>
          <w:lang w:eastAsia="en-NZ"/>
        </w:rPr>
        <w:t xml:space="preserve"> </w:t>
      </w:r>
      <w:r w:rsidRPr="00B54D41">
        <w:rPr>
          <w:lang w:eastAsia="en-NZ"/>
        </w:rPr>
        <w:t>For the past 14</w:t>
      </w:r>
      <w:r w:rsidR="000524EF">
        <w:rPr>
          <w:lang w:eastAsia="en-NZ"/>
        </w:rPr>
        <w:t> </w:t>
      </w:r>
      <w:r w:rsidRPr="00B54D41">
        <w:rPr>
          <w:lang w:eastAsia="en-NZ"/>
        </w:rPr>
        <w:t>years she has worked mainly in the field of reproductive endocrinology and infertility.</w:t>
      </w:r>
      <w:r>
        <w:rPr>
          <w:lang w:eastAsia="en-NZ"/>
        </w:rPr>
        <w:t xml:space="preserve"> </w:t>
      </w:r>
      <w:r w:rsidRPr="00B54D41">
        <w:rPr>
          <w:lang w:eastAsia="en-NZ"/>
        </w:rPr>
        <w:t xml:space="preserve">She now works in private practice for </w:t>
      </w:r>
      <w:proofErr w:type="spellStart"/>
      <w:r w:rsidRPr="00B54D41">
        <w:rPr>
          <w:lang w:eastAsia="en-NZ"/>
        </w:rPr>
        <w:t>Repromed</w:t>
      </w:r>
      <w:proofErr w:type="spellEnd"/>
      <w:r w:rsidRPr="00B54D41">
        <w:rPr>
          <w:lang w:eastAsia="en-NZ"/>
        </w:rPr>
        <w:t xml:space="preserve"> and Auckland Gynaecology Group.</w:t>
      </w:r>
    </w:p>
    <w:p w:rsidR="000524EF" w:rsidRDefault="000524EF" w:rsidP="000524EF">
      <w:pPr>
        <w:rPr>
          <w:lang w:eastAsia="en-NZ"/>
        </w:rPr>
      </w:pPr>
    </w:p>
    <w:p w:rsidR="003C648C" w:rsidRPr="00B54D41" w:rsidRDefault="003C648C" w:rsidP="000524EF">
      <w:pPr>
        <w:rPr>
          <w:lang w:eastAsia="en-NZ"/>
        </w:rPr>
      </w:pPr>
      <w:r w:rsidRPr="00B54D41">
        <w:rPr>
          <w:lang w:eastAsia="en-NZ"/>
        </w:rPr>
        <w:t>Karen has held a wide range of clinical, teaching and research roles in New Zealand and overseas.</w:t>
      </w:r>
      <w:r>
        <w:rPr>
          <w:lang w:eastAsia="en-NZ"/>
        </w:rPr>
        <w:t xml:space="preserve"> </w:t>
      </w:r>
      <w:r w:rsidRPr="00B54D41">
        <w:rPr>
          <w:lang w:eastAsia="en-NZ"/>
        </w:rPr>
        <w:t xml:space="preserve">Her research interests include recurrent pregnancy loss, polycystic ovarian syndrome and </w:t>
      </w:r>
      <w:proofErr w:type="spellStart"/>
      <w:r w:rsidRPr="00B54D41">
        <w:rPr>
          <w:lang w:eastAsia="en-NZ"/>
        </w:rPr>
        <w:t>antiphospholipid</w:t>
      </w:r>
      <w:proofErr w:type="spellEnd"/>
      <w:r w:rsidRPr="00B54D41">
        <w:rPr>
          <w:lang w:eastAsia="en-NZ"/>
        </w:rPr>
        <w:t xml:space="preserve"> antibodies in infertility.</w:t>
      </w:r>
    </w:p>
    <w:p w:rsidR="000524EF" w:rsidRDefault="000524EF" w:rsidP="000524EF">
      <w:pPr>
        <w:rPr>
          <w:lang w:eastAsia="en-NZ"/>
        </w:rPr>
      </w:pPr>
    </w:p>
    <w:p w:rsidR="003C648C" w:rsidRDefault="003C648C" w:rsidP="000524EF">
      <w:pPr>
        <w:rPr>
          <w:lang w:eastAsia="en-NZ"/>
        </w:rPr>
      </w:pPr>
      <w:r w:rsidRPr="00B54D41">
        <w:rPr>
          <w:lang w:eastAsia="en-NZ"/>
        </w:rPr>
        <w:t>She lives in Auckland with her husband and three children.</w:t>
      </w:r>
    </w:p>
    <w:p w:rsidR="000524EF" w:rsidRPr="00B54D41" w:rsidRDefault="000524EF" w:rsidP="000524EF">
      <w:pPr>
        <w:rPr>
          <w:lang w:eastAsia="en-NZ"/>
        </w:rPr>
      </w:pPr>
    </w:p>
    <w:p w:rsidR="003C648C" w:rsidRPr="000524EF" w:rsidRDefault="003C648C" w:rsidP="000524EF">
      <w:pPr>
        <w:pStyle w:val="Heading4"/>
        <w:rPr>
          <w:i w:val="0"/>
          <w:lang w:eastAsia="en-NZ"/>
        </w:rPr>
      </w:pPr>
      <w:r w:rsidRPr="000524EF">
        <w:rPr>
          <w:i w:val="0"/>
          <w:lang w:eastAsia="en-NZ"/>
        </w:rPr>
        <w:t>Jonathan Darby</w:t>
      </w:r>
    </w:p>
    <w:p w:rsidR="003C648C" w:rsidRPr="00B54D41" w:rsidRDefault="003C648C" w:rsidP="000524EF">
      <w:pPr>
        <w:pStyle w:val="Heading5"/>
        <w:rPr>
          <w:lang w:eastAsia="en-NZ"/>
        </w:rPr>
      </w:pPr>
      <w:r w:rsidRPr="00B54D41">
        <w:rPr>
          <w:lang w:eastAsia="en-NZ"/>
        </w:rPr>
        <w:t>Membersh</w:t>
      </w:r>
      <w:r>
        <w:rPr>
          <w:lang w:eastAsia="en-NZ"/>
        </w:rPr>
        <w:t>ip role: Disability perspective</w:t>
      </w:r>
    </w:p>
    <w:p w:rsidR="003C648C" w:rsidRPr="00B54D41" w:rsidRDefault="003C648C" w:rsidP="000524EF">
      <w:r w:rsidRPr="00B54D41">
        <w:rPr>
          <w:lang w:eastAsia="en-NZ"/>
        </w:rPr>
        <w:t>Mr Jonathan Darby was appointed to ACART in April 2013 for three years.</w:t>
      </w:r>
    </w:p>
    <w:p w:rsidR="000524EF" w:rsidRDefault="000524EF" w:rsidP="000524EF"/>
    <w:p w:rsidR="003C648C" w:rsidRDefault="003C648C" w:rsidP="000524EF">
      <w:r w:rsidRPr="00B54D41">
        <w:t>Jonathan is an enrolled barrister and solicitor of the High Court who has recently been involved in volunteer work with Christchurch Hospital (2010–present), and the International Paralympic Committee Athletics World Championships (2011).</w:t>
      </w:r>
      <w:r>
        <w:t xml:space="preserve"> </w:t>
      </w:r>
      <w:r w:rsidRPr="00B54D41">
        <w:t>He holds a Bachelor of Laws (2007), a Bachelor of Arts (2007), a New Zealand Diploma in Business, and a Diploma in Management.</w:t>
      </w:r>
      <w:r>
        <w:t xml:space="preserve"> </w:t>
      </w:r>
      <w:r w:rsidRPr="00B54D41">
        <w:t xml:space="preserve">He is a member of the Disability Law Team at Community Law Canterbury and is currently studying at </w:t>
      </w:r>
      <w:proofErr w:type="spellStart"/>
      <w:r w:rsidRPr="00B54D41">
        <w:t>Otago</w:t>
      </w:r>
      <w:proofErr w:type="spellEnd"/>
      <w:r w:rsidRPr="00B54D41">
        <w:t xml:space="preserve"> University towards a Graduate Diploma in Bioethics and Health Law.</w:t>
      </w:r>
    </w:p>
    <w:p w:rsidR="000524EF" w:rsidRPr="00B54D41" w:rsidRDefault="000524EF" w:rsidP="000524EF">
      <w:pPr>
        <w:rPr>
          <w:lang w:eastAsia="en-NZ"/>
        </w:rPr>
      </w:pPr>
    </w:p>
    <w:p w:rsidR="003C648C" w:rsidRPr="000524EF" w:rsidRDefault="003C648C" w:rsidP="000524EF">
      <w:pPr>
        <w:pStyle w:val="Heading4"/>
        <w:rPr>
          <w:i w:val="0"/>
          <w:lang w:eastAsia="en-NZ"/>
        </w:rPr>
      </w:pPr>
      <w:r w:rsidRPr="000524EF">
        <w:rPr>
          <w:i w:val="0"/>
        </w:rPr>
        <w:lastRenderedPageBreak/>
        <w:t>Nikki Horne</w:t>
      </w:r>
    </w:p>
    <w:p w:rsidR="003C648C" w:rsidRPr="00B54D41" w:rsidRDefault="003C648C" w:rsidP="000524EF">
      <w:pPr>
        <w:pStyle w:val="Heading5"/>
      </w:pPr>
      <w:r w:rsidRPr="00B54D41">
        <w:t>Member</w:t>
      </w:r>
      <w:r>
        <w:t>ship role: Consumer perspective</w:t>
      </w:r>
    </w:p>
    <w:p w:rsidR="003C648C" w:rsidRDefault="003C648C" w:rsidP="000524EF">
      <w:pPr>
        <w:rPr>
          <w:lang w:eastAsia="en-NZ"/>
        </w:rPr>
      </w:pPr>
      <w:r w:rsidRPr="00B54D41">
        <w:rPr>
          <w:lang w:eastAsia="en-NZ"/>
        </w:rPr>
        <w:t>Nikki Horne was appointed to ACART in November 2010 for two years, and has since been r</w:t>
      </w:r>
      <w:r w:rsidR="000524EF">
        <w:rPr>
          <w:lang w:eastAsia="en-NZ"/>
        </w:rPr>
        <w:t>eappointed until December 2015.</w:t>
      </w:r>
    </w:p>
    <w:p w:rsidR="000524EF" w:rsidRPr="00B54D41" w:rsidRDefault="000524EF" w:rsidP="000524EF">
      <w:pPr>
        <w:rPr>
          <w:lang w:eastAsia="en-NZ"/>
        </w:rPr>
      </w:pPr>
    </w:p>
    <w:p w:rsidR="003C648C" w:rsidRPr="00B54D41" w:rsidRDefault="000524EF" w:rsidP="000524EF">
      <w:pPr>
        <w:rPr>
          <w:lang w:eastAsia="en-NZ"/>
        </w:rPr>
      </w:pPr>
      <w:r>
        <w:rPr>
          <w:lang w:eastAsia="en-NZ"/>
        </w:rPr>
        <w:t>N</w:t>
      </w:r>
      <w:r w:rsidR="003C648C" w:rsidRPr="00B54D41">
        <w:rPr>
          <w:lang w:eastAsia="en-NZ"/>
        </w:rPr>
        <w:t>ikki is a member of Fertility New Zealand, the national group for consumers of fertility services.</w:t>
      </w:r>
      <w:r w:rsidR="003C648C">
        <w:rPr>
          <w:lang w:eastAsia="en-NZ"/>
        </w:rPr>
        <w:t xml:space="preserve"> </w:t>
      </w:r>
      <w:r w:rsidR="003C648C" w:rsidRPr="00B54D41">
        <w:rPr>
          <w:lang w:eastAsia="en-NZ"/>
        </w:rPr>
        <w:t>She has served as a committee member of the Auckland Group for over six years and is also a representative on the Fertility New Zealand Board.</w:t>
      </w:r>
      <w:r w:rsidR="003C648C">
        <w:rPr>
          <w:lang w:eastAsia="en-NZ"/>
        </w:rPr>
        <w:t xml:space="preserve"> </w:t>
      </w:r>
      <w:r w:rsidR="003C648C" w:rsidRPr="00B54D41">
        <w:rPr>
          <w:lang w:eastAsia="en-NZ"/>
        </w:rPr>
        <w:t>Her specific roles have included facilitating consumer contact support groups, organising information evenings, and clinic liaison.</w:t>
      </w:r>
      <w:r w:rsidR="003C648C">
        <w:rPr>
          <w:lang w:eastAsia="en-NZ"/>
        </w:rPr>
        <w:t xml:space="preserve"> </w:t>
      </w:r>
      <w:r w:rsidR="003C648C" w:rsidRPr="00B54D41">
        <w:rPr>
          <w:lang w:eastAsia="en-NZ"/>
        </w:rPr>
        <w:t>Nikki was appointed as an independent trustee of The Fertility Fu</w:t>
      </w:r>
      <w:r>
        <w:rPr>
          <w:lang w:eastAsia="en-NZ"/>
        </w:rPr>
        <w:t>nding Charitable Trust in 2014.</w:t>
      </w:r>
    </w:p>
    <w:p w:rsidR="000524EF" w:rsidRDefault="000524EF" w:rsidP="000524EF">
      <w:pPr>
        <w:rPr>
          <w:lang w:eastAsia="en-NZ"/>
        </w:rPr>
      </w:pPr>
    </w:p>
    <w:p w:rsidR="003C648C" w:rsidRPr="00B54D41" w:rsidRDefault="003C648C" w:rsidP="000524EF">
      <w:pPr>
        <w:rPr>
          <w:lang w:eastAsia="en-NZ"/>
        </w:rPr>
      </w:pPr>
      <w:r w:rsidRPr="00B54D41">
        <w:rPr>
          <w:lang w:eastAsia="en-NZ"/>
        </w:rPr>
        <w:t>Nikki currently works part</w:t>
      </w:r>
      <w:r w:rsidR="000524EF">
        <w:rPr>
          <w:lang w:eastAsia="en-NZ"/>
        </w:rPr>
        <w:t>-</w:t>
      </w:r>
      <w:r w:rsidRPr="00B54D41">
        <w:rPr>
          <w:lang w:eastAsia="en-NZ"/>
        </w:rPr>
        <w:t xml:space="preserve">time as the </w:t>
      </w:r>
      <w:r w:rsidRPr="00B54D41">
        <w:rPr>
          <w:rFonts w:eastAsia="Calibri"/>
          <w:lang w:eastAsia="en-US"/>
        </w:rPr>
        <w:t>Social Media and Event Manager</w:t>
      </w:r>
      <w:r w:rsidRPr="00B54D41">
        <w:rPr>
          <w:lang w:eastAsia="en-NZ"/>
        </w:rPr>
        <w:t xml:space="preserve"> at Career Engagement Group in Auckland.</w:t>
      </w:r>
      <w:r>
        <w:rPr>
          <w:lang w:eastAsia="en-NZ"/>
        </w:rPr>
        <w:t xml:space="preserve"> </w:t>
      </w:r>
      <w:r w:rsidRPr="00B54D41">
        <w:rPr>
          <w:lang w:eastAsia="en-NZ"/>
        </w:rPr>
        <w:t>Before this role she worked for eight years as Events Manager fo</w:t>
      </w:r>
      <w:r w:rsidR="000524EF">
        <w:rPr>
          <w:lang w:eastAsia="en-NZ"/>
        </w:rPr>
        <w:t xml:space="preserve">r </w:t>
      </w:r>
      <w:proofErr w:type="spellStart"/>
      <w:r w:rsidR="000524EF">
        <w:rPr>
          <w:lang w:eastAsia="en-NZ"/>
        </w:rPr>
        <w:t>Obex</w:t>
      </w:r>
      <w:proofErr w:type="spellEnd"/>
      <w:r w:rsidR="000524EF">
        <w:rPr>
          <w:lang w:eastAsia="en-NZ"/>
        </w:rPr>
        <w:t xml:space="preserve"> Medical Ltd.</w:t>
      </w:r>
    </w:p>
    <w:p w:rsidR="000524EF" w:rsidRDefault="000524EF" w:rsidP="000524EF">
      <w:pPr>
        <w:rPr>
          <w:lang w:eastAsia="en-NZ"/>
        </w:rPr>
      </w:pPr>
    </w:p>
    <w:p w:rsidR="003C648C" w:rsidRDefault="003C648C" w:rsidP="000524EF">
      <w:pPr>
        <w:rPr>
          <w:lang w:eastAsia="en-NZ"/>
        </w:rPr>
      </w:pPr>
      <w:r w:rsidRPr="00B54D41">
        <w:rPr>
          <w:lang w:eastAsia="en-NZ"/>
        </w:rPr>
        <w:t>Nikki is married with two daughters, both born after years of IVF treatment and recurrent miscarriage.</w:t>
      </w:r>
      <w:r>
        <w:rPr>
          <w:lang w:eastAsia="en-NZ"/>
        </w:rPr>
        <w:t xml:space="preserve"> </w:t>
      </w:r>
      <w:r w:rsidRPr="00B54D41">
        <w:rPr>
          <w:lang w:eastAsia="en-NZ"/>
        </w:rPr>
        <w:t>After completing her family Nikki was a</w:t>
      </w:r>
      <w:r w:rsidR="000524EF">
        <w:rPr>
          <w:lang w:eastAsia="en-NZ"/>
        </w:rPr>
        <w:t>n egg donor for another couple.</w:t>
      </w:r>
    </w:p>
    <w:p w:rsidR="000524EF" w:rsidRPr="00B54D41" w:rsidRDefault="000524EF" w:rsidP="000524EF">
      <w:pPr>
        <w:rPr>
          <w:lang w:eastAsia="en-NZ"/>
        </w:rPr>
      </w:pPr>
    </w:p>
    <w:p w:rsidR="003C648C" w:rsidRPr="000524EF" w:rsidRDefault="003C648C" w:rsidP="000524EF">
      <w:pPr>
        <w:pStyle w:val="Heading4"/>
        <w:rPr>
          <w:i w:val="0"/>
        </w:rPr>
      </w:pPr>
      <w:r w:rsidRPr="000524EF">
        <w:rPr>
          <w:i w:val="0"/>
        </w:rPr>
        <w:t xml:space="preserve">Michael </w:t>
      </w:r>
      <w:proofErr w:type="spellStart"/>
      <w:r w:rsidRPr="000524EF">
        <w:rPr>
          <w:i w:val="0"/>
        </w:rPr>
        <w:t>Legge</w:t>
      </w:r>
      <w:proofErr w:type="spellEnd"/>
    </w:p>
    <w:p w:rsidR="003C648C" w:rsidRPr="00B54D41" w:rsidRDefault="003C648C" w:rsidP="000524EF">
      <w:pPr>
        <w:pStyle w:val="Heading5"/>
      </w:pPr>
      <w:r w:rsidRPr="00B54D41">
        <w:t>Membership roles: Expertise in human reproductive re</w:t>
      </w:r>
      <w:r>
        <w:t>search, and expertise in ethics</w:t>
      </w:r>
    </w:p>
    <w:p w:rsidR="003C648C" w:rsidRPr="00B54D41" w:rsidRDefault="003C648C" w:rsidP="000524EF">
      <w:r w:rsidRPr="00B54D41">
        <w:t xml:space="preserve">Associate Professor Michael </w:t>
      </w:r>
      <w:proofErr w:type="spellStart"/>
      <w:r w:rsidRPr="00B54D41">
        <w:t>Legge</w:t>
      </w:r>
      <w:proofErr w:type="spellEnd"/>
      <w:r w:rsidRPr="00B54D41">
        <w:t xml:space="preserve"> was initially appointed to ACART in October 2011 for one year with the role of expertise in ethics.</w:t>
      </w:r>
      <w:r>
        <w:t xml:space="preserve"> </w:t>
      </w:r>
      <w:r w:rsidRPr="00B54D41">
        <w:t>When he was reappointed in 2013 for two years he took on the additional role of expertise in human reproductive research.</w:t>
      </w:r>
      <w:r>
        <w:t xml:space="preserve"> </w:t>
      </w:r>
      <w:r w:rsidRPr="00B54D41">
        <w:t>He has been appointed until October 2015.</w:t>
      </w:r>
    </w:p>
    <w:p w:rsidR="000524EF" w:rsidRDefault="000524EF" w:rsidP="000524EF"/>
    <w:p w:rsidR="003C648C" w:rsidRPr="00B54D41" w:rsidRDefault="003C648C" w:rsidP="000524EF">
      <w:r w:rsidRPr="00B54D41">
        <w:t xml:space="preserve">Michael recently retired as Associate Professor of Biochemistry, Associate Dean of Medical Education and Director of Medical Laboratory Science at the University of </w:t>
      </w:r>
      <w:proofErr w:type="spellStart"/>
      <w:r w:rsidRPr="00B54D41">
        <w:t>Otago</w:t>
      </w:r>
      <w:proofErr w:type="spellEnd"/>
      <w:r w:rsidRPr="00B54D41">
        <w:t>, and holds an Honorary Associate Professorship with the university.</w:t>
      </w:r>
      <w:r>
        <w:t xml:space="preserve"> </w:t>
      </w:r>
      <w:r w:rsidRPr="00B54D41">
        <w:t>He was previously National President of the Infertility Society of New Zealand (1995–1998).</w:t>
      </w:r>
    </w:p>
    <w:p w:rsidR="000524EF" w:rsidRDefault="000524EF" w:rsidP="000524EF"/>
    <w:p w:rsidR="003C648C" w:rsidRPr="00B54D41" w:rsidRDefault="003C648C" w:rsidP="000524EF">
      <w:r w:rsidRPr="00B54D41">
        <w:t xml:space="preserve">Michael was a member of the University of </w:t>
      </w:r>
      <w:proofErr w:type="spellStart"/>
      <w:r w:rsidRPr="00B54D41">
        <w:t>Otago</w:t>
      </w:r>
      <w:proofErr w:type="spellEnd"/>
      <w:r w:rsidRPr="00B54D41">
        <w:t xml:space="preserve"> Human Ethics Committee (2000–2011). He is a member of the European Commission Ethical Review Panel (2006–present) and the European Commission Life Science Expert Panel (2003–present).</w:t>
      </w:r>
    </w:p>
    <w:p w:rsidR="000524EF" w:rsidRDefault="000524EF" w:rsidP="000524EF"/>
    <w:p w:rsidR="003C648C" w:rsidRDefault="003C648C" w:rsidP="000524EF">
      <w:r w:rsidRPr="00B54D41">
        <w:t>Michael completed a PhD in Experimental Embryology at the University of Essex (1988) and a Bachelor of Science in Mammalian Physiology at London South Bank University, United Kingdom (1972).</w:t>
      </w:r>
      <w:r>
        <w:t xml:space="preserve"> </w:t>
      </w:r>
      <w:r w:rsidRPr="00B54D41">
        <w:t>He also completed a Fellowship with the Royal College of Pathologists of Australasia (2010), and is a Fellow of both The New Zealand Institute of Medical Laboratory Science (1978) and the Institute of Biomedical Science United Kingdom (1973).</w:t>
      </w:r>
    </w:p>
    <w:p w:rsidR="000524EF" w:rsidRPr="00B54D41" w:rsidRDefault="000524EF" w:rsidP="000524EF"/>
    <w:p w:rsidR="003C648C" w:rsidRPr="000524EF" w:rsidRDefault="003C648C" w:rsidP="000524EF">
      <w:pPr>
        <w:pStyle w:val="Heading4"/>
        <w:rPr>
          <w:i w:val="0"/>
          <w:lang w:eastAsia="en-NZ"/>
        </w:rPr>
      </w:pPr>
      <w:r w:rsidRPr="000524EF">
        <w:rPr>
          <w:i w:val="0"/>
          <w:lang w:eastAsia="en-NZ"/>
        </w:rPr>
        <w:lastRenderedPageBreak/>
        <w:t>Sue McKenzie</w:t>
      </w:r>
    </w:p>
    <w:p w:rsidR="003C648C" w:rsidRPr="00B54D41" w:rsidRDefault="003C648C" w:rsidP="000524EF">
      <w:pPr>
        <w:pStyle w:val="Heading5"/>
        <w:rPr>
          <w:lang w:eastAsia="en-NZ"/>
        </w:rPr>
      </w:pPr>
      <w:r w:rsidRPr="00B54D41">
        <w:rPr>
          <w:lang w:eastAsia="en-NZ"/>
        </w:rPr>
        <w:t>Membership role: General layperson</w:t>
      </w:r>
    </w:p>
    <w:p w:rsidR="003C648C" w:rsidRPr="00B54D41" w:rsidRDefault="003C648C" w:rsidP="000524EF">
      <w:pPr>
        <w:rPr>
          <w:lang w:eastAsia="en-NZ"/>
        </w:rPr>
      </w:pPr>
      <w:r w:rsidRPr="00B54D41">
        <w:rPr>
          <w:lang w:eastAsia="en-NZ"/>
        </w:rPr>
        <w:t>Mrs Sue McKenzie was appointed to ACART in April 2013 for three years.</w:t>
      </w:r>
    </w:p>
    <w:p w:rsidR="000524EF" w:rsidRDefault="000524EF" w:rsidP="000524EF">
      <w:pPr>
        <w:rPr>
          <w:rFonts w:eastAsia="Calibri"/>
          <w:lang w:eastAsia="en-US"/>
        </w:rPr>
      </w:pPr>
    </w:p>
    <w:p w:rsidR="003C648C" w:rsidRDefault="003C648C" w:rsidP="000524EF">
      <w:pPr>
        <w:rPr>
          <w:rFonts w:eastAsia="Calibri"/>
          <w:lang w:eastAsia="en-US"/>
        </w:rPr>
      </w:pPr>
      <w:r w:rsidRPr="00B54D41">
        <w:rPr>
          <w:rFonts w:eastAsia="Calibri"/>
          <w:lang w:eastAsia="en-US"/>
        </w:rPr>
        <w:t>Sue McKenzie has had two careers over the last 30 years: lecturing as a senior academic at tertiary level and a private business consultancy advising corporate and small business clients.</w:t>
      </w:r>
      <w:r>
        <w:rPr>
          <w:rFonts w:eastAsia="Calibri"/>
          <w:lang w:eastAsia="en-US"/>
        </w:rPr>
        <w:t xml:space="preserve"> </w:t>
      </w:r>
      <w:r w:rsidRPr="00B54D41">
        <w:rPr>
          <w:rFonts w:eastAsia="Calibri"/>
          <w:lang w:eastAsia="en-US"/>
        </w:rPr>
        <w:t>She also has a long voluntary association with various business and community groups at local and national level.</w:t>
      </w:r>
    </w:p>
    <w:p w:rsidR="000524EF" w:rsidRPr="00B54D41" w:rsidRDefault="000524EF" w:rsidP="000524EF">
      <w:pPr>
        <w:rPr>
          <w:rFonts w:eastAsia="Calibri"/>
          <w:lang w:eastAsia="en-US"/>
        </w:rPr>
      </w:pPr>
    </w:p>
    <w:p w:rsidR="003C648C" w:rsidRPr="00B54D41" w:rsidRDefault="003C648C" w:rsidP="000524EF">
      <w:pPr>
        <w:rPr>
          <w:rFonts w:eastAsia="Calibri"/>
          <w:lang w:eastAsia="en-US"/>
        </w:rPr>
      </w:pPr>
      <w:r w:rsidRPr="00B54D41">
        <w:rPr>
          <w:rFonts w:eastAsia="Calibri"/>
          <w:lang w:eastAsia="en-US"/>
        </w:rPr>
        <w:t>Sue is a Trustee of the Canterbury Community Trust.</w:t>
      </w:r>
      <w:r>
        <w:rPr>
          <w:rFonts w:eastAsia="Calibri"/>
          <w:lang w:eastAsia="en-US"/>
        </w:rPr>
        <w:t xml:space="preserve"> </w:t>
      </w:r>
      <w:r w:rsidRPr="00B54D41">
        <w:rPr>
          <w:rFonts w:eastAsia="Calibri"/>
          <w:lang w:eastAsia="en-US"/>
        </w:rPr>
        <w:t>Her current responsibilities include Chair of the Housing Committee, Member of the Managed Investment Committee and Member of the Direct Investment Committee.</w:t>
      </w:r>
      <w:r>
        <w:rPr>
          <w:rFonts w:eastAsia="Calibri"/>
          <w:lang w:eastAsia="en-US"/>
        </w:rPr>
        <w:t xml:space="preserve"> </w:t>
      </w:r>
      <w:r w:rsidRPr="00B54D41">
        <w:rPr>
          <w:rFonts w:eastAsia="Calibri"/>
          <w:lang w:eastAsia="en-US"/>
        </w:rPr>
        <w:t>She is also Deputy Chair of the Greater Canterbury Community Response Forum working with and advising the Ministry of Social Development re transforming Social Services.</w:t>
      </w:r>
    </w:p>
    <w:p w:rsidR="000524EF" w:rsidRDefault="000524EF" w:rsidP="000524EF">
      <w:pPr>
        <w:rPr>
          <w:rFonts w:eastAsia="Calibri"/>
          <w:lang w:eastAsia="en-US"/>
        </w:rPr>
      </w:pPr>
    </w:p>
    <w:p w:rsidR="003C648C" w:rsidRPr="00B54D41" w:rsidRDefault="003C648C" w:rsidP="000524EF">
      <w:pPr>
        <w:rPr>
          <w:rFonts w:eastAsia="Calibri"/>
          <w:lang w:eastAsia="en-US"/>
        </w:rPr>
      </w:pPr>
      <w:r w:rsidRPr="00B54D41">
        <w:rPr>
          <w:rFonts w:eastAsia="Calibri"/>
          <w:lang w:eastAsia="en-US"/>
        </w:rPr>
        <w:t>At a national level Sue is a member of the Medical Radiation Technologists Board.</w:t>
      </w:r>
      <w:r>
        <w:rPr>
          <w:rFonts w:eastAsia="Calibri"/>
          <w:lang w:eastAsia="en-US"/>
        </w:rPr>
        <w:t xml:space="preserve"> </w:t>
      </w:r>
      <w:r w:rsidRPr="00B54D41">
        <w:rPr>
          <w:rFonts w:eastAsia="Calibri"/>
          <w:lang w:eastAsia="en-US"/>
        </w:rPr>
        <w:t>She is Convenor of the Education Committee and a member of the Accreditation Panel for Graduate and Postgraduate Medical Imaging and Radiation Therapy programmes.</w:t>
      </w:r>
      <w:r>
        <w:rPr>
          <w:rFonts w:eastAsia="Calibri"/>
          <w:lang w:eastAsia="en-US"/>
        </w:rPr>
        <w:t xml:space="preserve"> </w:t>
      </w:r>
      <w:r w:rsidRPr="00B54D41">
        <w:rPr>
          <w:rFonts w:eastAsia="Calibri"/>
          <w:lang w:eastAsia="en-US"/>
        </w:rPr>
        <w:t>She is also a member of the Professional Standards Committee.</w:t>
      </w:r>
    </w:p>
    <w:p w:rsidR="000524EF" w:rsidRDefault="000524EF" w:rsidP="000524EF">
      <w:pPr>
        <w:rPr>
          <w:rFonts w:eastAsia="Calibri"/>
          <w:lang w:eastAsia="en-US"/>
        </w:rPr>
      </w:pPr>
    </w:p>
    <w:p w:rsidR="003C648C" w:rsidRPr="00B54D41" w:rsidRDefault="003C648C" w:rsidP="000524EF">
      <w:pPr>
        <w:rPr>
          <w:rFonts w:eastAsia="Calibri"/>
          <w:lang w:eastAsia="en-US"/>
        </w:rPr>
      </w:pPr>
      <w:r w:rsidRPr="00B54D41">
        <w:rPr>
          <w:rFonts w:eastAsia="Calibri"/>
          <w:lang w:eastAsia="en-US"/>
        </w:rPr>
        <w:t>Sue lives at Charing Cross (near Christchurch), and is married with adult children and six grandchildren.</w:t>
      </w:r>
    </w:p>
    <w:p w:rsidR="000524EF" w:rsidRDefault="000524EF" w:rsidP="000524EF">
      <w:pPr>
        <w:rPr>
          <w:rFonts w:eastAsia="Calibri"/>
          <w:lang w:eastAsia="en-US"/>
        </w:rPr>
      </w:pPr>
    </w:p>
    <w:p w:rsidR="003C648C" w:rsidRDefault="003C648C" w:rsidP="000524EF">
      <w:pPr>
        <w:rPr>
          <w:rFonts w:eastAsia="Calibri"/>
          <w:lang w:eastAsia="en-US"/>
        </w:rPr>
      </w:pPr>
      <w:r w:rsidRPr="00B54D41">
        <w:rPr>
          <w:rFonts w:eastAsia="Calibri"/>
          <w:lang w:eastAsia="en-US"/>
        </w:rPr>
        <w:t>Sue is also a Justice of the Peace (JP).</w:t>
      </w:r>
    </w:p>
    <w:p w:rsidR="000524EF" w:rsidRPr="00B54D41" w:rsidRDefault="000524EF" w:rsidP="000524EF">
      <w:pPr>
        <w:rPr>
          <w:rFonts w:eastAsia="Calibri"/>
          <w:lang w:eastAsia="en-US"/>
        </w:rPr>
      </w:pPr>
    </w:p>
    <w:p w:rsidR="003C648C" w:rsidRPr="000524EF" w:rsidRDefault="003C648C" w:rsidP="000524EF">
      <w:pPr>
        <w:pStyle w:val="Heading4"/>
        <w:rPr>
          <w:i w:val="0"/>
        </w:rPr>
      </w:pPr>
      <w:r w:rsidRPr="000524EF">
        <w:rPr>
          <w:i w:val="0"/>
        </w:rPr>
        <w:t>Barry Smith QSM</w:t>
      </w:r>
    </w:p>
    <w:p w:rsidR="003C648C" w:rsidRPr="00B54D41" w:rsidRDefault="003C648C" w:rsidP="000524EF">
      <w:pPr>
        <w:pStyle w:val="Heading5"/>
      </w:pPr>
      <w:r w:rsidRPr="00B54D41">
        <w:t>Membership role: Expertise in Māori cu</w:t>
      </w:r>
      <w:r>
        <w:t>stomary values and perspectives</w:t>
      </w:r>
    </w:p>
    <w:p w:rsidR="003C648C" w:rsidRPr="00B54D41" w:rsidRDefault="003C648C" w:rsidP="000524EF">
      <w:pPr>
        <w:rPr>
          <w:lang w:eastAsia="en-NZ"/>
        </w:rPr>
      </w:pPr>
      <w:r w:rsidRPr="00B54D41">
        <w:t>Dr Barry Smith (</w:t>
      </w:r>
      <w:proofErr w:type="spellStart"/>
      <w:r w:rsidRPr="00B54D41">
        <w:t>Te</w:t>
      </w:r>
      <w:proofErr w:type="spellEnd"/>
      <w:r w:rsidRPr="00B54D41">
        <w:t xml:space="preserve"> </w:t>
      </w:r>
      <w:proofErr w:type="spellStart"/>
      <w:r w:rsidRPr="00B54D41">
        <w:t>Rarawa</w:t>
      </w:r>
      <w:proofErr w:type="spellEnd"/>
      <w:r w:rsidRPr="00B54D41">
        <w:t xml:space="preserve">, </w:t>
      </w:r>
      <w:proofErr w:type="spellStart"/>
      <w:r w:rsidRPr="00B54D41">
        <w:t>Ngāti</w:t>
      </w:r>
      <w:proofErr w:type="spellEnd"/>
      <w:r w:rsidRPr="00B54D41">
        <w:t xml:space="preserve"> </w:t>
      </w:r>
      <w:proofErr w:type="spellStart"/>
      <w:r w:rsidRPr="00B54D41">
        <w:t>Kahu</w:t>
      </w:r>
      <w:proofErr w:type="spellEnd"/>
      <w:r w:rsidRPr="00B54D41">
        <w:t>) was appointed to ACART in April 2013 for three years.</w:t>
      </w:r>
      <w:r>
        <w:t xml:space="preserve"> </w:t>
      </w:r>
      <w:r w:rsidRPr="00B54D41">
        <w:rPr>
          <w:lang w:eastAsia="en-NZ"/>
        </w:rPr>
        <w:t xml:space="preserve">Barry is a Population Health Analyst with the Lakes District Health Board based in </w:t>
      </w:r>
      <w:proofErr w:type="spellStart"/>
      <w:r w:rsidRPr="00B54D41">
        <w:rPr>
          <w:lang w:eastAsia="en-NZ"/>
        </w:rPr>
        <w:t>Rotorua</w:t>
      </w:r>
      <w:proofErr w:type="spellEnd"/>
      <w:r w:rsidRPr="00B54D41">
        <w:rPr>
          <w:lang w:eastAsia="en-NZ"/>
        </w:rPr>
        <w:t>.</w:t>
      </w:r>
      <w:r>
        <w:rPr>
          <w:lang w:eastAsia="en-NZ"/>
        </w:rPr>
        <w:t xml:space="preserve"> </w:t>
      </w:r>
      <w:r w:rsidRPr="00B54D41">
        <w:rPr>
          <w:lang w:eastAsia="en-NZ"/>
        </w:rPr>
        <w:t>He was a contract analyst and assessor with the Ministry of Health.</w:t>
      </w:r>
      <w:r>
        <w:rPr>
          <w:lang w:eastAsia="en-NZ"/>
        </w:rPr>
        <w:t xml:space="preserve"> </w:t>
      </w:r>
      <w:r w:rsidRPr="00B54D41">
        <w:rPr>
          <w:lang w:eastAsia="en-NZ"/>
        </w:rPr>
        <w:t>Barry is a member of the Health Research Council College of Experts and chairs the Health Research Council Ethics Committee and the Lakes DHB Research and Ethics Committee.</w:t>
      </w:r>
      <w:r>
        <w:rPr>
          <w:lang w:eastAsia="en-NZ"/>
        </w:rPr>
        <w:t xml:space="preserve"> </w:t>
      </w:r>
      <w:r w:rsidRPr="00B54D41">
        <w:rPr>
          <w:lang w:eastAsia="en-NZ"/>
        </w:rPr>
        <w:t xml:space="preserve">He is a member of the </w:t>
      </w:r>
      <w:proofErr w:type="spellStart"/>
      <w:r w:rsidRPr="00B54D41">
        <w:rPr>
          <w:lang w:eastAsia="en-NZ"/>
        </w:rPr>
        <w:t>Middlemore</w:t>
      </w:r>
      <w:proofErr w:type="spellEnd"/>
      <w:r w:rsidRPr="00B54D41">
        <w:rPr>
          <w:lang w:eastAsia="en-NZ"/>
        </w:rPr>
        <w:t xml:space="preserve"> Tissue Bank Governance Committee and the Pod</w:t>
      </w:r>
      <w:r w:rsidR="000524EF">
        <w:rPr>
          <w:lang w:eastAsia="en-NZ"/>
        </w:rPr>
        <w:t>iatrists</w:t>
      </w:r>
      <w:r w:rsidR="000D459B">
        <w:rPr>
          <w:lang w:eastAsia="en-NZ"/>
        </w:rPr>
        <w:t>’</w:t>
      </w:r>
      <w:r w:rsidR="000524EF">
        <w:rPr>
          <w:lang w:eastAsia="en-NZ"/>
        </w:rPr>
        <w:t xml:space="preserve"> Board of New Zealand.</w:t>
      </w:r>
    </w:p>
    <w:p w:rsidR="000524EF" w:rsidRDefault="000524EF" w:rsidP="000524EF">
      <w:pPr>
        <w:rPr>
          <w:lang w:eastAsia="en-NZ"/>
        </w:rPr>
      </w:pPr>
    </w:p>
    <w:p w:rsidR="003C648C" w:rsidRPr="00B54D41" w:rsidRDefault="003C648C" w:rsidP="000524EF">
      <w:r w:rsidRPr="00B54D41">
        <w:rPr>
          <w:lang w:eastAsia="en-NZ"/>
        </w:rPr>
        <w:t>He was a member of the 2014 National Science Challenge international health assessment panels organised through the Ministry of Business, Innovation and Employment.</w:t>
      </w:r>
      <w:r>
        <w:rPr>
          <w:lang w:eastAsia="en-NZ"/>
        </w:rPr>
        <w:t xml:space="preserve"> </w:t>
      </w:r>
      <w:r w:rsidRPr="00B54D41">
        <w:rPr>
          <w:lang w:eastAsia="en-NZ"/>
        </w:rPr>
        <w:t>Barry</w:t>
      </w:r>
      <w:r w:rsidR="000D459B">
        <w:rPr>
          <w:lang w:eastAsia="en-NZ"/>
        </w:rPr>
        <w:t>’</w:t>
      </w:r>
      <w:r w:rsidRPr="00B54D41">
        <w:rPr>
          <w:lang w:eastAsia="en-NZ"/>
        </w:rPr>
        <w:t>s current research work on ethics in Maori contexts is supported by the Royal Society of New Zealand Marsden Fund.</w:t>
      </w:r>
      <w:r>
        <w:rPr>
          <w:lang w:eastAsia="en-NZ"/>
        </w:rPr>
        <w:t xml:space="preserve"> </w:t>
      </w:r>
      <w:r w:rsidRPr="00B54D41">
        <w:rPr>
          <w:lang w:eastAsia="en-NZ"/>
        </w:rPr>
        <w:t xml:space="preserve">He holds a BSc in chemistry and mathematics, an MPhil and PhD in sociology, a Grad Dip Arts in music and a Dip </w:t>
      </w:r>
      <w:proofErr w:type="spellStart"/>
      <w:r w:rsidRPr="00B54D41">
        <w:rPr>
          <w:lang w:eastAsia="en-NZ"/>
        </w:rPr>
        <w:t>Tchg</w:t>
      </w:r>
      <w:proofErr w:type="spellEnd"/>
      <w:r w:rsidRPr="00B54D41">
        <w:rPr>
          <w:lang w:eastAsia="en-NZ"/>
        </w:rPr>
        <w:t>.</w:t>
      </w:r>
      <w:r>
        <w:rPr>
          <w:lang w:eastAsia="en-NZ"/>
        </w:rPr>
        <w:t xml:space="preserve"> </w:t>
      </w:r>
      <w:r w:rsidRPr="00B54D41">
        <w:rPr>
          <w:lang w:eastAsia="en-NZ"/>
        </w:rPr>
        <w:t>He was awarded th</w:t>
      </w:r>
      <w:r w:rsidR="000524EF">
        <w:rPr>
          <w:lang w:eastAsia="en-NZ"/>
        </w:rPr>
        <w:t>e Queens Service Medal in 2008.</w:t>
      </w:r>
    </w:p>
    <w:p w:rsidR="006C3777" w:rsidRDefault="006C3777" w:rsidP="000524EF">
      <w:pPr>
        <w:rPr>
          <w:lang w:eastAsia="en-US"/>
        </w:rPr>
      </w:pPr>
    </w:p>
    <w:p w:rsidR="003C648C" w:rsidRPr="00436D26" w:rsidRDefault="003C648C" w:rsidP="006C3777">
      <w:pPr>
        <w:rPr>
          <w:lang w:eastAsia="en-US"/>
        </w:rPr>
      </w:pPr>
    </w:p>
    <w:p w:rsidR="006C3777" w:rsidRPr="006C3777" w:rsidRDefault="006C3777" w:rsidP="00863649">
      <w:pPr>
        <w:rPr>
          <w:i/>
        </w:rPr>
        <w:sectPr w:rsidR="006C3777" w:rsidRPr="006C3777" w:rsidSect="00CE0802">
          <w:footerReference w:type="even" r:id="rId29"/>
          <w:footerReference w:type="first" r:id="rId30"/>
          <w:pgSz w:w="11907" w:h="16834" w:code="9"/>
          <w:pgMar w:top="1701" w:right="1418" w:bottom="1701" w:left="1701" w:header="0" w:footer="425" w:gutter="0"/>
          <w:cols w:space="720"/>
          <w:titlePg/>
        </w:sectPr>
      </w:pPr>
    </w:p>
    <w:p w:rsidR="008569C6" w:rsidRDefault="000F0E9D" w:rsidP="00A53FBB">
      <w:pPr>
        <w:pStyle w:val="Heading1"/>
      </w:pPr>
      <w:bookmarkStart w:id="82" w:name="_Toc272911773"/>
      <w:bookmarkStart w:id="83" w:name="_Toc411328330"/>
      <w:bookmarkEnd w:id="69"/>
      <w:r>
        <w:lastRenderedPageBreak/>
        <w:t>Appendix 2</w:t>
      </w:r>
      <w:r w:rsidR="008569C6" w:rsidRPr="00EC0075">
        <w:t xml:space="preserve">: Member </w:t>
      </w:r>
      <w:r w:rsidR="00486D31">
        <w:t>a</w:t>
      </w:r>
      <w:r w:rsidR="008569C6" w:rsidRPr="00EC0075">
        <w:t>ttendance</w:t>
      </w:r>
      <w:bookmarkEnd w:id="82"/>
      <w:r w:rsidR="00486D31">
        <w:t xml:space="preserve"> at full ACART meetings</w:t>
      </w:r>
      <w:bookmarkEnd w:id="83"/>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045"/>
        <w:gridCol w:w="1045"/>
        <w:gridCol w:w="1045"/>
        <w:gridCol w:w="1045"/>
        <w:gridCol w:w="1045"/>
        <w:gridCol w:w="1046"/>
      </w:tblGrid>
      <w:tr w:rsidR="00004167" w:rsidRPr="003354E5" w:rsidTr="00F32692">
        <w:trPr>
          <w:cantSplit/>
        </w:trPr>
        <w:tc>
          <w:tcPr>
            <w:tcW w:w="2518" w:type="dxa"/>
            <w:shd w:val="clear" w:color="auto" w:fill="auto"/>
          </w:tcPr>
          <w:p w:rsidR="00004167" w:rsidRPr="003354E5" w:rsidRDefault="00004167" w:rsidP="00F32692">
            <w:pPr>
              <w:pStyle w:val="TableText"/>
              <w:rPr>
                <w:b/>
              </w:rPr>
            </w:pPr>
            <w:r w:rsidRPr="003354E5">
              <w:rPr>
                <w:b/>
              </w:rPr>
              <w:t>Member</w:t>
            </w:r>
          </w:p>
        </w:tc>
        <w:tc>
          <w:tcPr>
            <w:tcW w:w="1045" w:type="dxa"/>
            <w:shd w:val="clear" w:color="auto" w:fill="auto"/>
          </w:tcPr>
          <w:p w:rsidR="00004167" w:rsidRPr="003354E5" w:rsidRDefault="00004167" w:rsidP="00F32692">
            <w:pPr>
              <w:pStyle w:val="TableText"/>
              <w:jc w:val="center"/>
              <w:rPr>
                <w:b/>
              </w:rPr>
            </w:pPr>
            <w:r>
              <w:rPr>
                <w:b/>
              </w:rPr>
              <w:t>12 July 2013</w:t>
            </w:r>
          </w:p>
        </w:tc>
        <w:tc>
          <w:tcPr>
            <w:tcW w:w="1045" w:type="dxa"/>
            <w:shd w:val="clear" w:color="auto" w:fill="auto"/>
          </w:tcPr>
          <w:p w:rsidR="00004167" w:rsidRPr="003354E5" w:rsidRDefault="00004167" w:rsidP="00F32692">
            <w:pPr>
              <w:pStyle w:val="TableText"/>
              <w:jc w:val="center"/>
              <w:rPr>
                <w:b/>
              </w:rPr>
            </w:pPr>
            <w:r>
              <w:rPr>
                <w:b/>
              </w:rPr>
              <w:t>13 Sept 2013</w:t>
            </w:r>
          </w:p>
        </w:tc>
        <w:tc>
          <w:tcPr>
            <w:tcW w:w="1045" w:type="dxa"/>
            <w:shd w:val="clear" w:color="auto" w:fill="auto"/>
          </w:tcPr>
          <w:p w:rsidR="00004167" w:rsidRPr="003354E5" w:rsidRDefault="00004167" w:rsidP="00F32692">
            <w:pPr>
              <w:pStyle w:val="TableText"/>
              <w:jc w:val="center"/>
              <w:rPr>
                <w:b/>
              </w:rPr>
            </w:pPr>
            <w:r>
              <w:rPr>
                <w:b/>
              </w:rPr>
              <w:t>8 Nov 2013</w:t>
            </w:r>
          </w:p>
        </w:tc>
        <w:tc>
          <w:tcPr>
            <w:tcW w:w="1045" w:type="dxa"/>
            <w:shd w:val="clear" w:color="auto" w:fill="auto"/>
          </w:tcPr>
          <w:p w:rsidR="00004167" w:rsidRPr="003354E5" w:rsidRDefault="00004167" w:rsidP="00F32692">
            <w:pPr>
              <w:pStyle w:val="TableText"/>
              <w:jc w:val="center"/>
              <w:rPr>
                <w:b/>
              </w:rPr>
            </w:pPr>
            <w:r>
              <w:rPr>
                <w:b/>
              </w:rPr>
              <w:t>14 Feb 2014</w:t>
            </w:r>
          </w:p>
        </w:tc>
        <w:tc>
          <w:tcPr>
            <w:tcW w:w="1045" w:type="dxa"/>
            <w:shd w:val="clear" w:color="auto" w:fill="auto"/>
          </w:tcPr>
          <w:p w:rsidR="00004167" w:rsidRPr="003354E5" w:rsidRDefault="00004167" w:rsidP="00F32692">
            <w:pPr>
              <w:pStyle w:val="TableText"/>
              <w:jc w:val="center"/>
              <w:rPr>
                <w:b/>
              </w:rPr>
            </w:pPr>
            <w:r>
              <w:rPr>
                <w:b/>
              </w:rPr>
              <w:t>11 April 2014</w:t>
            </w:r>
          </w:p>
        </w:tc>
        <w:tc>
          <w:tcPr>
            <w:tcW w:w="1046" w:type="dxa"/>
            <w:shd w:val="clear" w:color="auto" w:fill="auto"/>
          </w:tcPr>
          <w:p w:rsidR="00004167" w:rsidRPr="003354E5" w:rsidRDefault="00004167" w:rsidP="00F32692">
            <w:pPr>
              <w:pStyle w:val="TableText"/>
              <w:jc w:val="center"/>
              <w:rPr>
                <w:b/>
              </w:rPr>
            </w:pPr>
            <w:r>
              <w:rPr>
                <w:b/>
              </w:rPr>
              <w:t>13 June 2014</w:t>
            </w:r>
          </w:p>
        </w:tc>
      </w:tr>
      <w:tr w:rsidR="00004167" w:rsidRPr="00EE5645" w:rsidTr="00F32692">
        <w:trPr>
          <w:cantSplit/>
        </w:trPr>
        <w:tc>
          <w:tcPr>
            <w:tcW w:w="2518" w:type="dxa"/>
            <w:shd w:val="clear" w:color="auto" w:fill="auto"/>
          </w:tcPr>
          <w:p w:rsidR="00004167" w:rsidRPr="00EE5645" w:rsidRDefault="00004167" w:rsidP="00F32692">
            <w:pPr>
              <w:pStyle w:val="TableText"/>
            </w:pPr>
            <w:r w:rsidRPr="00EE5645">
              <w:t>John Angus</w:t>
            </w:r>
            <w:r>
              <w:t xml:space="preserve"> (Chair)</w:t>
            </w:r>
          </w:p>
        </w:tc>
        <w:tc>
          <w:tcPr>
            <w:tcW w:w="1045" w:type="dxa"/>
            <w:shd w:val="clear" w:color="auto" w:fill="auto"/>
          </w:tcPr>
          <w:p w:rsidR="00004167" w:rsidRPr="00EE5645" w:rsidRDefault="00004167" w:rsidP="00004167">
            <w:pPr>
              <w:pStyle w:val="TableText"/>
              <w:jc w:val="center"/>
            </w:pPr>
            <w:r>
              <w:sym w:font="Wingdings" w:char="F0FC"/>
            </w:r>
          </w:p>
        </w:tc>
        <w:tc>
          <w:tcPr>
            <w:tcW w:w="1045" w:type="dxa"/>
            <w:shd w:val="clear" w:color="auto" w:fill="auto"/>
          </w:tcPr>
          <w:p w:rsidR="00004167" w:rsidRDefault="00004167" w:rsidP="00004167">
            <w:pPr>
              <w:pStyle w:val="TableText"/>
              <w:jc w:val="center"/>
            </w:pPr>
            <w:r w:rsidRPr="00850532">
              <w:sym w:font="Wingdings" w:char="F0FC"/>
            </w:r>
          </w:p>
        </w:tc>
        <w:tc>
          <w:tcPr>
            <w:tcW w:w="1045" w:type="dxa"/>
            <w:shd w:val="clear" w:color="auto" w:fill="auto"/>
          </w:tcPr>
          <w:p w:rsidR="00004167" w:rsidRDefault="00004167" w:rsidP="00004167">
            <w:pPr>
              <w:pStyle w:val="TableText"/>
              <w:jc w:val="center"/>
            </w:pPr>
            <w:r w:rsidRPr="00A10E2F">
              <w:sym w:font="Wingdings" w:char="F0FC"/>
            </w:r>
          </w:p>
        </w:tc>
        <w:tc>
          <w:tcPr>
            <w:tcW w:w="1045" w:type="dxa"/>
            <w:shd w:val="clear" w:color="auto" w:fill="auto"/>
          </w:tcPr>
          <w:p w:rsidR="00004167" w:rsidRDefault="00004167" w:rsidP="00004167">
            <w:pPr>
              <w:pStyle w:val="TableText"/>
              <w:jc w:val="center"/>
            </w:pPr>
            <w:r w:rsidRPr="00A10E2F">
              <w:sym w:font="Wingdings" w:char="F0FC"/>
            </w:r>
          </w:p>
        </w:tc>
        <w:tc>
          <w:tcPr>
            <w:tcW w:w="1045" w:type="dxa"/>
            <w:shd w:val="clear" w:color="auto" w:fill="FFFFFF"/>
          </w:tcPr>
          <w:p w:rsidR="00004167" w:rsidRDefault="00004167" w:rsidP="00004167">
            <w:pPr>
              <w:pStyle w:val="TableText"/>
              <w:jc w:val="center"/>
            </w:pPr>
            <w:r w:rsidRPr="000764E3">
              <w:sym w:font="Wingdings" w:char="F0FC"/>
            </w:r>
          </w:p>
        </w:tc>
        <w:tc>
          <w:tcPr>
            <w:tcW w:w="1046" w:type="dxa"/>
            <w:shd w:val="clear" w:color="auto" w:fill="FFFFFF"/>
          </w:tcPr>
          <w:p w:rsidR="00004167" w:rsidRPr="00EE5645" w:rsidRDefault="00004167" w:rsidP="00004167">
            <w:pPr>
              <w:pStyle w:val="TableText"/>
              <w:jc w:val="center"/>
            </w:pPr>
            <w:r>
              <w:t>A</w:t>
            </w:r>
          </w:p>
        </w:tc>
      </w:tr>
      <w:tr w:rsidR="00004167" w:rsidTr="00F32692">
        <w:trPr>
          <w:cantSplit/>
        </w:trPr>
        <w:tc>
          <w:tcPr>
            <w:tcW w:w="2518" w:type="dxa"/>
            <w:shd w:val="clear" w:color="auto" w:fill="auto"/>
          </w:tcPr>
          <w:p w:rsidR="00004167" w:rsidRPr="00EE5645" w:rsidRDefault="00004167" w:rsidP="00F32692">
            <w:pPr>
              <w:pStyle w:val="TableText"/>
            </w:pPr>
            <w:r w:rsidRPr="00EE5645">
              <w:t>Karen Buckingham</w:t>
            </w:r>
          </w:p>
        </w:tc>
        <w:tc>
          <w:tcPr>
            <w:tcW w:w="1045" w:type="dxa"/>
            <w:shd w:val="clear" w:color="auto" w:fill="auto"/>
          </w:tcPr>
          <w:p w:rsidR="00004167" w:rsidRDefault="00004167" w:rsidP="00004167">
            <w:pPr>
              <w:pStyle w:val="TableText"/>
              <w:jc w:val="center"/>
            </w:pPr>
            <w:r w:rsidRPr="00923756">
              <w:t>A</w:t>
            </w:r>
          </w:p>
        </w:tc>
        <w:tc>
          <w:tcPr>
            <w:tcW w:w="1045" w:type="dxa"/>
            <w:shd w:val="clear" w:color="auto" w:fill="auto"/>
          </w:tcPr>
          <w:p w:rsidR="00004167" w:rsidRDefault="00004167" w:rsidP="00004167">
            <w:pPr>
              <w:pStyle w:val="TableText"/>
              <w:jc w:val="center"/>
            </w:pPr>
            <w:r w:rsidRPr="00850532">
              <w:sym w:font="Wingdings" w:char="F0FC"/>
            </w:r>
          </w:p>
        </w:tc>
        <w:tc>
          <w:tcPr>
            <w:tcW w:w="1045" w:type="dxa"/>
            <w:shd w:val="clear" w:color="auto" w:fill="auto"/>
          </w:tcPr>
          <w:p w:rsidR="00004167" w:rsidRDefault="00004167" w:rsidP="00004167">
            <w:pPr>
              <w:pStyle w:val="TableText"/>
              <w:jc w:val="center"/>
            </w:pPr>
            <w:r w:rsidRPr="00A10E2F">
              <w:sym w:font="Wingdings" w:char="F0FC"/>
            </w:r>
          </w:p>
        </w:tc>
        <w:tc>
          <w:tcPr>
            <w:tcW w:w="1045" w:type="dxa"/>
            <w:shd w:val="clear" w:color="auto" w:fill="auto"/>
          </w:tcPr>
          <w:p w:rsidR="00004167" w:rsidRDefault="00004167" w:rsidP="00004167">
            <w:pPr>
              <w:pStyle w:val="TableText"/>
              <w:jc w:val="center"/>
            </w:pPr>
            <w:r w:rsidRPr="00A10E2F">
              <w:sym w:font="Wingdings" w:char="F0FC"/>
            </w:r>
          </w:p>
        </w:tc>
        <w:tc>
          <w:tcPr>
            <w:tcW w:w="1045" w:type="dxa"/>
            <w:shd w:val="clear" w:color="auto" w:fill="FFFFFF"/>
          </w:tcPr>
          <w:p w:rsidR="00004167" w:rsidRDefault="00004167" w:rsidP="00004167">
            <w:pPr>
              <w:pStyle w:val="TableText"/>
              <w:jc w:val="center"/>
            </w:pPr>
            <w:r w:rsidRPr="000764E3">
              <w:sym w:font="Wingdings" w:char="F0FC"/>
            </w:r>
          </w:p>
        </w:tc>
        <w:tc>
          <w:tcPr>
            <w:tcW w:w="1046" w:type="dxa"/>
            <w:shd w:val="clear" w:color="auto" w:fill="FFFFFF"/>
          </w:tcPr>
          <w:p w:rsidR="00004167" w:rsidRDefault="00004167" w:rsidP="00004167">
            <w:pPr>
              <w:pStyle w:val="TableText"/>
              <w:jc w:val="center"/>
            </w:pPr>
            <w:r w:rsidRPr="008C0AFC">
              <w:sym w:font="Wingdings" w:char="F0FC"/>
            </w:r>
          </w:p>
        </w:tc>
      </w:tr>
      <w:tr w:rsidR="00004167" w:rsidTr="00F32692">
        <w:trPr>
          <w:cantSplit/>
        </w:trPr>
        <w:tc>
          <w:tcPr>
            <w:tcW w:w="2518" w:type="dxa"/>
            <w:shd w:val="clear" w:color="auto" w:fill="auto"/>
          </w:tcPr>
          <w:p w:rsidR="00004167" w:rsidRPr="00EE5645" w:rsidRDefault="00004167" w:rsidP="00F32692">
            <w:pPr>
              <w:pStyle w:val="TableText"/>
            </w:pPr>
            <w:r w:rsidRPr="00EE5645">
              <w:t>Alison Douglass</w:t>
            </w:r>
          </w:p>
        </w:tc>
        <w:tc>
          <w:tcPr>
            <w:tcW w:w="1045" w:type="dxa"/>
            <w:shd w:val="clear" w:color="auto" w:fill="auto"/>
          </w:tcPr>
          <w:p w:rsidR="00004167" w:rsidRDefault="00004167" w:rsidP="00004167">
            <w:pPr>
              <w:pStyle w:val="TableText"/>
              <w:jc w:val="center"/>
            </w:pPr>
            <w:r w:rsidRPr="00923756">
              <w:t>A</w:t>
            </w:r>
          </w:p>
        </w:tc>
        <w:tc>
          <w:tcPr>
            <w:tcW w:w="1045" w:type="dxa"/>
            <w:shd w:val="clear" w:color="auto" w:fill="auto"/>
          </w:tcPr>
          <w:p w:rsidR="00004167" w:rsidRDefault="00004167" w:rsidP="00004167">
            <w:pPr>
              <w:pStyle w:val="TableText"/>
              <w:jc w:val="center"/>
            </w:pPr>
            <w:r w:rsidRPr="00850532">
              <w:sym w:font="Wingdings" w:char="F0FC"/>
            </w:r>
          </w:p>
        </w:tc>
        <w:tc>
          <w:tcPr>
            <w:tcW w:w="1045" w:type="dxa"/>
            <w:shd w:val="clear" w:color="auto" w:fill="auto"/>
          </w:tcPr>
          <w:p w:rsidR="00004167" w:rsidRDefault="00004167" w:rsidP="00004167">
            <w:pPr>
              <w:pStyle w:val="TableText"/>
              <w:jc w:val="center"/>
            </w:pPr>
            <w:r w:rsidRPr="00A10E2F">
              <w:sym w:font="Wingdings" w:char="F0FC"/>
            </w:r>
          </w:p>
        </w:tc>
        <w:tc>
          <w:tcPr>
            <w:tcW w:w="1045" w:type="dxa"/>
            <w:shd w:val="clear" w:color="auto" w:fill="auto"/>
          </w:tcPr>
          <w:p w:rsidR="00004167" w:rsidRDefault="00004167" w:rsidP="00004167">
            <w:pPr>
              <w:pStyle w:val="TableText"/>
              <w:jc w:val="center"/>
            </w:pPr>
            <w:r w:rsidRPr="00A10E2F">
              <w:sym w:font="Wingdings" w:char="F0FC"/>
            </w:r>
          </w:p>
        </w:tc>
        <w:tc>
          <w:tcPr>
            <w:tcW w:w="1045" w:type="dxa"/>
            <w:shd w:val="clear" w:color="auto" w:fill="FFFFFF"/>
          </w:tcPr>
          <w:p w:rsidR="00004167" w:rsidRDefault="00004167" w:rsidP="00004167">
            <w:pPr>
              <w:pStyle w:val="TableText"/>
              <w:jc w:val="center"/>
            </w:pPr>
            <w:r w:rsidRPr="000764E3">
              <w:sym w:font="Wingdings" w:char="F0FC"/>
            </w:r>
          </w:p>
        </w:tc>
        <w:tc>
          <w:tcPr>
            <w:tcW w:w="1046" w:type="dxa"/>
            <w:shd w:val="clear" w:color="auto" w:fill="FFFFFF"/>
          </w:tcPr>
          <w:p w:rsidR="00004167" w:rsidRDefault="00004167" w:rsidP="00004167">
            <w:pPr>
              <w:pStyle w:val="TableText"/>
              <w:jc w:val="center"/>
            </w:pPr>
            <w:r w:rsidRPr="008C0AFC">
              <w:sym w:font="Wingdings" w:char="F0FC"/>
            </w:r>
          </w:p>
        </w:tc>
      </w:tr>
      <w:tr w:rsidR="00004167" w:rsidTr="00F32692">
        <w:trPr>
          <w:cantSplit/>
        </w:trPr>
        <w:tc>
          <w:tcPr>
            <w:tcW w:w="2518" w:type="dxa"/>
            <w:shd w:val="clear" w:color="auto" w:fill="auto"/>
          </w:tcPr>
          <w:p w:rsidR="00004167" w:rsidRPr="00EE5645" w:rsidRDefault="00004167" w:rsidP="00F32692">
            <w:pPr>
              <w:pStyle w:val="TableText"/>
            </w:pPr>
            <w:r w:rsidRPr="00EE5645">
              <w:t>Nikki Horne</w:t>
            </w:r>
          </w:p>
        </w:tc>
        <w:tc>
          <w:tcPr>
            <w:tcW w:w="1045" w:type="dxa"/>
            <w:shd w:val="clear" w:color="auto" w:fill="auto"/>
          </w:tcPr>
          <w:p w:rsidR="00004167" w:rsidRPr="00EE5645" w:rsidRDefault="00004167" w:rsidP="00004167">
            <w:pPr>
              <w:pStyle w:val="TableText"/>
              <w:jc w:val="center"/>
            </w:pPr>
            <w:r>
              <w:sym w:font="Wingdings" w:char="F0FC"/>
            </w:r>
          </w:p>
        </w:tc>
        <w:tc>
          <w:tcPr>
            <w:tcW w:w="1045" w:type="dxa"/>
            <w:shd w:val="clear" w:color="auto" w:fill="auto"/>
          </w:tcPr>
          <w:p w:rsidR="00004167" w:rsidRDefault="00004167" w:rsidP="00004167">
            <w:pPr>
              <w:pStyle w:val="TableText"/>
              <w:jc w:val="center"/>
            </w:pPr>
            <w:r w:rsidRPr="00850532">
              <w:sym w:font="Wingdings" w:char="F0FC"/>
            </w:r>
          </w:p>
        </w:tc>
        <w:tc>
          <w:tcPr>
            <w:tcW w:w="1045" w:type="dxa"/>
            <w:shd w:val="clear" w:color="auto" w:fill="auto"/>
          </w:tcPr>
          <w:p w:rsidR="00004167" w:rsidRDefault="00004167" w:rsidP="00004167">
            <w:pPr>
              <w:pStyle w:val="TableText"/>
              <w:jc w:val="center"/>
            </w:pPr>
            <w:r w:rsidRPr="00A10E2F">
              <w:sym w:font="Wingdings" w:char="F0FC"/>
            </w:r>
          </w:p>
        </w:tc>
        <w:tc>
          <w:tcPr>
            <w:tcW w:w="1045" w:type="dxa"/>
            <w:shd w:val="clear" w:color="auto" w:fill="auto"/>
          </w:tcPr>
          <w:p w:rsidR="00004167" w:rsidRDefault="00004167" w:rsidP="00004167">
            <w:pPr>
              <w:pStyle w:val="TableText"/>
              <w:jc w:val="center"/>
            </w:pPr>
            <w:r w:rsidRPr="00A10E2F">
              <w:sym w:font="Wingdings" w:char="F0FC"/>
            </w:r>
          </w:p>
        </w:tc>
        <w:tc>
          <w:tcPr>
            <w:tcW w:w="1045" w:type="dxa"/>
            <w:tcBorders>
              <w:bottom w:val="single" w:sz="4" w:space="0" w:color="auto"/>
            </w:tcBorders>
            <w:shd w:val="clear" w:color="auto" w:fill="auto"/>
          </w:tcPr>
          <w:p w:rsidR="00004167" w:rsidRDefault="00004167" w:rsidP="00004167">
            <w:pPr>
              <w:pStyle w:val="TableText"/>
              <w:jc w:val="center"/>
            </w:pPr>
            <w:r w:rsidRPr="000764E3">
              <w:sym w:font="Wingdings" w:char="F0FC"/>
            </w:r>
          </w:p>
        </w:tc>
        <w:tc>
          <w:tcPr>
            <w:tcW w:w="1046" w:type="dxa"/>
            <w:shd w:val="clear" w:color="auto" w:fill="auto"/>
          </w:tcPr>
          <w:p w:rsidR="00004167" w:rsidRDefault="00004167" w:rsidP="00004167">
            <w:pPr>
              <w:pStyle w:val="TableText"/>
              <w:jc w:val="center"/>
            </w:pPr>
            <w:r w:rsidRPr="008C0AFC">
              <w:sym w:font="Wingdings" w:char="F0FC"/>
            </w:r>
          </w:p>
        </w:tc>
      </w:tr>
      <w:tr w:rsidR="00004167" w:rsidTr="00F32692">
        <w:trPr>
          <w:cantSplit/>
        </w:trPr>
        <w:tc>
          <w:tcPr>
            <w:tcW w:w="2518" w:type="dxa"/>
            <w:shd w:val="clear" w:color="auto" w:fill="auto"/>
          </w:tcPr>
          <w:p w:rsidR="00004167" w:rsidRPr="00EE5645" w:rsidRDefault="00004167" w:rsidP="00F32692">
            <w:pPr>
              <w:pStyle w:val="TableText"/>
            </w:pPr>
            <w:r w:rsidRPr="00EE5645">
              <w:t>Mi</w:t>
            </w:r>
            <w:r>
              <w:t>chael</w:t>
            </w:r>
            <w:r w:rsidRPr="00EE5645">
              <w:t xml:space="preserve"> </w:t>
            </w:r>
            <w:proofErr w:type="spellStart"/>
            <w:r w:rsidRPr="00EE5645">
              <w:t>Legge</w:t>
            </w:r>
            <w:proofErr w:type="spellEnd"/>
          </w:p>
        </w:tc>
        <w:tc>
          <w:tcPr>
            <w:tcW w:w="1045" w:type="dxa"/>
            <w:shd w:val="clear" w:color="auto" w:fill="auto"/>
          </w:tcPr>
          <w:p w:rsidR="00004167" w:rsidRDefault="00004167" w:rsidP="00004167">
            <w:pPr>
              <w:pStyle w:val="TableText"/>
              <w:jc w:val="center"/>
            </w:pPr>
            <w:r w:rsidRPr="00E723F2">
              <w:sym w:font="Wingdings" w:char="F0FC"/>
            </w:r>
          </w:p>
        </w:tc>
        <w:tc>
          <w:tcPr>
            <w:tcW w:w="1045" w:type="dxa"/>
            <w:shd w:val="clear" w:color="auto" w:fill="auto"/>
          </w:tcPr>
          <w:p w:rsidR="00004167" w:rsidRDefault="00004167" w:rsidP="00004167">
            <w:pPr>
              <w:pStyle w:val="TableText"/>
              <w:jc w:val="center"/>
            </w:pPr>
            <w:r w:rsidRPr="00850532">
              <w:sym w:font="Wingdings" w:char="F0FC"/>
            </w:r>
          </w:p>
        </w:tc>
        <w:tc>
          <w:tcPr>
            <w:tcW w:w="1045" w:type="dxa"/>
            <w:shd w:val="clear" w:color="auto" w:fill="auto"/>
          </w:tcPr>
          <w:p w:rsidR="00004167" w:rsidRDefault="00004167" w:rsidP="00004167">
            <w:pPr>
              <w:pStyle w:val="TableText"/>
              <w:jc w:val="center"/>
            </w:pPr>
            <w:r w:rsidRPr="00A10E2F">
              <w:sym w:font="Wingdings" w:char="F0FC"/>
            </w:r>
          </w:p>
        </w:tc>
        <w:tc>
          <w:tcPr>
            <w:tcW w:w="1045" w:type="dxa"/>
            <w:shd w:val="clear" w:color="auto" w:fill="auto"/>
          </w:tcPr>
          <w:p w:rsidR="00004167" w:rsidRDefault="00004167" w:rsidP="00004167">
            <w:pPr>
              <w:pStyle w:val="TableText"/>
              <w:jc w:val="center"/>
            </w:pPr>
            <w:r w:rsidRPr="00A10E2F">
              <w:sym w:font="Wingdings" w:char="F0FC"/>
            </w:r>
          </w:p>
        </w:tc>
        <w:tc>
          <w:tcPr>
            <w:tcW w:w="1045" w:type="dxa"/>
            <w:shd w:val="clear" w:color="auto" w:fill="auto"/>
          </w:tcPr>
          <w:p w:rsidR="00004167" w:rsidRDefault="00004167" w:rsidP="00004167">
            <w:pPr>
              <w:pStyle w:val="TableText"/>
              <w:jc w:val="center"/>
            </w:pPr>
            <w:r w:rsidRPr="000764E3">
              <w:sym w:font="Wingdings" w:char="F0FC"/>
            </w:r>
          </w:p>
        </w:tc>
        <w:tc>
          <w:tcPr>
            <w:tcW w:w="1046" w:type="dxa"/>
            <w:shd w:val="clear" w:color="auto" w:fill="auto"/>
          </w:tcPr>
          <w:p w:rsidR="00004167" w:rsidRDefault="00004167" w:rsidP="00004167">
            <w:pPr>
              <w:pStyle w:val="TableText"/>
              <w:jc w:val="center"/>
            </w:pPr>
            <w:r w:rsidRPr="008C0AFC">
              <w:sym w:font="Wingdings" w:char="F0FC"/>
            </w:r>
          </w:p>
        </w:tc>
      </w:tr>
      <w:tr w:rsidR="00004167" w:rsidTr="00F32692">
        <w:trPr>
          <w:cantSplit/>
        </w:trPr>
        <w:tc>
          <w:tcPr>
            <w:tcW w:w="2518" w:type="dxa"/>
            <w:shd w:val="clear" w:color="auto" w:fill="auto"/>
          </w:tcPr>
          <w:p w:rsidR="00004167" w:rsidRPr="00EE5645" w:rsidRDefault="00004167" w:rsidP="00F32692">
            <w:pPr>
              <w:pStyle w:val="TableText"/>
            </w:pPr>
            <w:r>
              <w:t>Barry Smith</w:t>
            </w:r>
          </w:p>
        </w:tc>
        <w:tc>
          <w:tcPr>
            <w:tcW w:w="1045" w:type="dxa"/>
            <w:shd w:val="clear" w:color="auto" w:fill="auto"/>
          </w:tcPr>
          <w:p w:rsidR="00004167" w:rsidRDefault="00004167" w:rsidP="00004167">
            <w:pPr>
              <w:pStyle w:val="TableText"/>
              <w:jc w:val="center"/>
            </w:pPr>
            <w:r w:rsidRPr="00E723F2">
              <w:sym w:font="Wingdings" w:char="F0FC"/>
            </w:r>
          </w:p>
        </w:tc>
        <w:tc>
          <w:tcPr>
            <w:tcW w:w="1045" w:type="dxa"/>
            <w:shd w:val="clear" w:color="auto" w:fill="auto"/>
          </w:tcPr>
          <w:p w:rsidR="00004167" w:rsidRPr="00F638DD" w:rsidRDefault="00004167" w:rsidP="00004167">
            <w:pPr>
              <w:pStyle w:val="TableText"/>
              <w:jc w:val="center"/>
            </w:pPr>
            <w:r>
              <w:t>A</w:t>
            </w:r>
          </w:p>
        </w:tc>
        <w:tc>
          <w:tcPr>
            <w:tcW w:w="1045" w:type="dxa"/>
            <w:shd w:val="clear" w:color="auto" w:fill="auto"/>
          </w:tcPr>
          <w:p w:rsidR="00004167" w:rsidRDefault="00004167" w:rsidP="00004167">
            <w:pPr>
              <w:pStyle w:val="TableText"/>
              <w:jc w:val="center"/>
            </w:pPr>
            <w:r w:rsidRPr="00A10E2F">
              <w:sym w:font="Wingdings" w:char="F0FC"/>
            </w:r>
          </w:p>
        </w:tc>
        <w:tc>
          <w:tcPr>
            <w:tcW w:w="1045" w:type="dxa"/>
            <w:shd w:val="clear" w:color="auto" w:fill="auto"/>
          </w:tcPr>
          <w:p w:rsidR="00004167" w:rsidRDefault="00004167" w:rsidP="00004167">
            <w:pPr>
              <w:pStyle w:val="TableText"/>
              <w:jc w:val="center"/>
            </w:pPr>
            <w:r w:rsidRPr="00A10E2F">
              <w:sym w:font="Wingdings" w:char="F0FC"/>
            </w:r>
          </w:p>
        </w:tc>
        <w:tc>
          <w:tcPr>
            <w:tcW w:w="1045" w:type="dxa"/>
            <w:shd w:val="clear" w:color="auto" w:fill="auto"/>
          </w:tcPr>
          <w:p w:rsidR="00004167" w:rsidRPr="00F638DD" w:rsidRDefault="00004167" w:rsidP="00004167">
            <w:pPr>
              <w:pStyle w:val="TableText"/>
              <w:jc w:val="center"/>
            </w:pPr>
            <w:r>
              <w:t>A</w:t>
            </w:r>
          </w:p>
        </w:tc>
        <w:tc>
          <w:tcPr>
            <w:tcW w:w="1046" w:type="dxa"/>
            <w:shd w:val="clear" w:color="auto" w:fill="auto"/>
          </w:tcPr>
          <w:p w:rsidR="00004167" w:rsidRDefault="00004167" w:rsidP="00004167">
            <w:pPr>
              <w:pStyle w:val="TableText"/>
              <w:jc w:val="center"/>
            </w:pPr>
            <w:r w:rsidRPr="008C0AFC">
              <w:sym w:font="Wingdings" w:char="F0FC"/>
            </w:r>
          </w:p>
        </w:tc>
      </w:tr>
      <w:tr w:rsidR="00004167" w:rsidTr="00F32692">
        <w:trPr>
          <w:cantSplit/>
        </w:trPr>
        <w:tc>
          <w:tcPr>
            <w:tcW w:w="2518" w:type="dxa"/>
            <w:shd w:val="clear" w:color="auto" w:fill="auto"/>
          </w:tcPr>
          <w:p w:rsidR="00004167" w:rsidRPr="00EE5645" w:rsidRDefault="00004167" w:rsidP="00F32692">
            <w:pPr>
              <w:pStyle w:val="TableText"/>
            </w:pPr>
            <w:r>
              <w:t>Jonathan Darby</w:t>
            </w:r>
          </w:p>
        </w:tc>
        <w:tc>
          <w:tcPr>
            <w:tcW w:w="1045" w:type="dxa"/>
            <w:shd w:val="clear" w:color="auto" w:fill="auto"/>
          </w:tcPr>
          <w:p w:rsidR="00004167" w:rsidRDefault="00004167" w:rsidP="00004167">
            <w:pPr>
              <w:pStyle w:val="TableText"/>
              <w:jc w:val="center"/>
            </w:pPr>
            <w:r w:rsidRPr="00E723F2">
              <w:sym w:font="Wingdings" w:char="F0FC"/>
            </w:r>
          </w:p>
        </w:tc>
        <w:tc>
          <w:tcPr>
            <w:tcW w:w="1045" w:type="dxa"/>
            <w:shd w:val="clear" w:color="auto" w:fill="auto"/>
          </w:tcPr>
          <w:p w:rsidR="00004167" w:rsidRDefault="00004167" w:rsidP="00004167">
            <w:pPr>
              <w:pStyle w:val="TableText"/>
              <w:jc w:val="center"/>
            </w:pPr>
            <w:r w:rsidRPr="00535CF0">
              <w:sym w:font="Wingdings" w:char="F0FC"/>
            </w:r>
          </w:p>
        </w:tc>
        <w:tc>
          <w:tcPr>
            <w:tcW w:w="1045" w:type="dxa"/>
            <w:shd w:val="clear" w:color="auto" w:fill="auto"/>
          </w:tcPr>
          <w:p w:rsidR="00004167" w:rsidRDefault="00004167" w:rsidP="00004167">
            <w:pPr>
              <w:pStyle w:val="TableText"/>
              <w:jc w:val="center"/>
            </w:pPr>
            <w:r w:rsidRPr="00A10E2F">
              <w:sym w:font="Wingdings" w:char="F0FC"/>
            </w:r>
          </w:p>
        </w:tc>
        <w:tc>
          <w:tcPr>
            <w:tcW w:w="1045" w:type="dxa"/>
            <w:shd w:val="clear" w:color="auto" w:fill="auto"/>
          </w:tcPr>
          <w:p w:rsidR="00004167" w:rsidRDefault="00004167" w:rsidP="00004167">
            <w:pPr>
              <w:pStyle w:val="TableText"/>
              <w:jc w:val="center"/>
            </w:pPr>
            <w:r w:rsidRPr="00A10E2F">
              <w:sym w:font="Wingdings" w:char="F0FC"/>
            </w:r>
          </w:p>
        </w:tc>
        <w:tc>
          <w:tcPr>
            <w:tcW w:w="1045" w:type="dxa"/>
            <w:shd w:val="clear" w:color="auto" w:fill="auto"/>
          </w:tcPr>
          <w:p w:rsidR="00004167" w:rsidRDefault="00004167" w:rsidP="00004167">
            <w:pPr>
              <w:pStyle w:val="TableText"/>
              <w:jc w:val="center"/>
            </w:pPr>
            <w:r w:rsidRPr="008B492B">
              <w:sym w:font="Wingdings" w:char="F0FC"/>
            </w:r>
          </w:p>
        </w:tc>
        <w:tc>
          <w:tcPr>
            <w:tcW w:w="1046" w:type="dxa"/>
            <w:shd w:val="clear" w:color="auto" w:fill="auto"/>
          </w:tcPr>
          <w:p w:rsidR="00004167" w:rsidRDefault="00004167" w:rsidP="00004167">
            <w:pPr>
              <w:pStyle w:val="TableText"/>
              <w:jc w:val="center"/>
            </w:pPr>
            <w:r w:rsidRPr="008C0AFC">
              <w:sym w:font="Wingdings" w:char="F0FC"/>
            </w:r>
          </w:p>
        </w:tc>
      </w:tr>
      <w:tr w:rsidR="00004167" w:rsidRPr="00EE5645" w:rsidTr="00F32692">
        <w:trPr>
          <w:cantSplit/>
        </w:trPr>
        <w:tc>
          <w:tcPr>
            <w:tcW w:w="2518" w:type="dxa"/>
            <w:shd w:val="clear" w:color="auto" w:fill="auto"/>
          </w:tcPr>
          <w:p w:rsidR="00004167" w:rsidRPr="00EE5645" w:rsidRDefault="00004167" w:rsidP="00F32692">
            <w:pPr>
              <w:pStyle w:val="TableText"/>
            </w:pPr>
            <w:r>
              <w:t>Sue McKenzie</w:t>
            </w:r>
          </w:p>
        </w:tc>
        <w:tc>
          <w:tcPr>
            <w:tcW w:w="1045" w:type="dxa"/>
            <w:shd w:val="clear" w:color="auto" w:fill="auto"/>
          </w:tcPr>
          <w:p w:rsidR="00004167" w:rsidRDefault="00004167" w:rsidP="00004167">
            <w:pPr>
              <w:pStyle w:val="TableText"/>
              <w:jc w:val="center"/>
            </w:pPr>
            <w:r w:rsidRPr="00E723F2">
              <w:sym w:font="Wingdings" w:char="F0FC"/>
            </w:r>
          </w:p>
        </w:tc>
        <w:tc>
          <w:tcPr>
            <w:tcW w:w="1045" w:type="dxa"/>
            <w:shd w:val="clear" w:color="auto" w:fill="auto"/>
          </w:tcPr>
          <w:p w:rsidR="00004167" w:rsidRDefault="00004167" w:rsidP="00004167">
            <w:pPr>
              <w:pStyle w:val="TableText"/>
              <w:jc w:val="center"/>
            </w:pPr>
            <w:r w:rsidRPr="00535CF0">
              <w:sym w:font="Wingdings" w:char="F0FC"/>
            </w:r>
          </w:p>
        </w:tc>
        <w:tc>
          <w:tcPr>
            <w:tcW w:w="1045" w:type="dxa"/>
            <w:shd w:val="clear" w:color="auto" w:fill="auto"/>
          </w:tcPr>
          <w:p w:rsidR="00004167" w:rsidRDefault="00004167" w:rsidP="00004167">
            <w:pPr>
              <w:pStyle w:val="TableText"/>
              <w:jc w:val="center"/>
            </w:pPr>
            <w:r w:rsidRPr="00A10E2F">
              <w:sym w:font="Wingdings" w:char="F0FC"/>
            </w:r>
          </w:p>
        </w:tc>
        <w:tc>
          <w:tcPr>
            <w:tcW w:w="1045" w:type="dxa"/>
            <w:shd w:val="clear" w:color="auto" w:fill="auto"/>
          </w:tcPr>
          <w:p w:rsidR="00004167" w:rsidRDefault="00004167" w:rsidP="00004167">
            <w:pPr>
              <w:pStyle w:val="TableText"/>
              <w:jc w:val="center"/>
            </w:pPr>
            <w:r w:rsidRPr="00A10E2F">
              <w:sym w:font="Wingdings" w:char="F0FC"/>
            </w:r>
          </w:p>
        </w:tc>
        <w:tc>
          <w:tcPr>
            <w:tcW w:w="1045" w:type="dxa"/>
            <w:shd w:val="clear" w:color="auto" w:fill="auto"/>
          </w:tcPr>
          <w:p w:rsidR="00004167" w:rsidRDefault="00004167" w:rsidP="00004167">
            <w:pPr>
              <w:pStyle w:val="TableText"/>
              <w:jc w:val="center"/>
            </w:pPr>
            <w:r w:rsidRPr="008B492B">
              <w:sym w:font="Wingdings" w:char="F0FC"/>
            </w:r>
          </w:p>
        </w:tc>
        <w:tc>
          <w:tcPr>
            <w:tcW w:w="1046" w:type="dxa"/>
            <w:shd w:val="clear" w:color="auto" w:fill="auto"/>
          </w:tcPr>
          <w:p w:rsidR="00004167" w:rsidRPr="00EE5645" w:rsidRDefault="00004167" w:rsidP="00004167">
            <w:pPr>
              <w:pStyle w:val="TableText"/>
              <w:jc w:val="center"/>
            </w:pPr>
            <w:r>
              <w:t>A</w:t>
            </w:r>
          </w:p>
        </w:tc>
      </w:tr>
      <w:tr w:rsidR="00004167" w:rsidRPr="003354E5" w:rsidTr="00F32692">
        <w:trPr>
          <w:cantSplit/>
        </w:trPr>
        <w:tc>
          <w:tcPr>
            <w:tcW w:w="2518" w:type="dxa"/>
            <w:shd w:val="clear" w:color="auto" w:fill="auto"/>
          </w:tcPr>
          <w:p w:rsidR="00004167" w:rsidRPr="003354E5" w:rsidRDefault="00004167" w:rsidP="00F32692">
            <w:pPr>
              <w:pStyle w:val="TableText"/>
              <w:rPr>
                <w:b/>
              </w:rPr>
            </w:pPr>
            <w:r w:rsidRPr="003354E5">
              <w:rPr>
                <w:b/>
              </w:rPr>
              <w:t>Total members present</w:t>
            </w:r>
          </w:p>
        </w:tc>
        <w:tc>
          <w:tcPr>
            <w:tcW w:w="1045" w:type="dxa"/>
            <w:shd w:val="clear" w:color="auto" w:fill="auto"/>
          </w:tcPr>
          <w:p w:rsidR="00004167" w:rsidRPr="003354E5" w:rsidRDefault="00004167" w:rsidP="00004167">
            <w:pPr>
              <w:pStyle w:val="TableText"/>
              <w:jc w:val="center"/>
              <w:rPr>
                <w:b/>
              </w:rPr>
            </w:pPr>
            <w:r>
              <w:rPr>
                <w:b/>
              </w:rPr>
              <w:t>6</w:t>
            </w:r>
          </w:p>
        </w:tc>
        <w:tc>
          <w:tcPr>
            <w:tcW w:w="1045" w:type="dxa"/>
            <w:shd w:val="clear" w:color="auto" w:fill="auto"/>
          </w:tcPr>
          <w:p w:rsidR="00004167" w:rsidRPr="003354E5" w:rsidRDefault="00004167" w:rsidP="00004167">
            <w:pPr>
              <w:pStyle w:val="TableText"/>
              <w:jc w:val="center"/>
              <w:rPr>
                <w:b/>
              </w:rPr>
            </w:pPr>
            <w:r>
              <w:rPr>
                <w:b/>
              </w:rPr>
              <w:t>7</w:t>
            </w:r>
          </w:p>
        </w:tc>
        <w:tc>
          <w:tcPr>
            <w:tcW w:w="1045" w:type="dxa"/>
            <w:shd w:val="clear" w:color="auto" w:fill="auto"/>
          </w:tcPr>
          <w:p w:rsidR="00004167" w:rsidRPr="003354E5" w:rsidRDefault="00004167" w:rsidP="00004167">
            <w:pPr>
              <w:pStyle w:val="TableText"/>
              <w:jc w:val="center"/>
              <w:rPr>
                <w:b/>
              </w:rPr>
            </w:pPr>
            <w:r>
              <w:rPr>
                <w:b/>
              </w:rPr>
              <w:t>8</w:t>
            </w:r>
          </w:p>
        </w:tc>
        <w:tc>
          <w:tcPr>
            <w:tcW w:w="1045" w:type="dxa"/>
            <w:shd w:val="clear" w:color="auto" w:fill="auto"/>
          </w:tcPr>
          <w:p w:rsidR="00004167" w:rsidRPr="003354E5" w:rsidRDefault="00004167" w:rsidP="00004167">
            <w:pPr>
              <w:pStyle w:val="TableText"/>
              <w:jc w:val="center"/>
              <w:rPr>
                <w:b/>
              </w:rPr>
            </w:pPr>
            <w:r>
              <w:rPr>
                <w:b/>
              </w:rPr>
              <w:t>8</w:t>
            </w:r>
          </w:p>
        </w:tc>
        <w:tc>
          <w:tcPr>
            <w:tcW w:w="1045" w:type="dxa"/>
            <w:shd w:val="clear" w:color="auto" w:fill="auto"/>
          </w:tcPr>
          <w:p w:rsidR="00004167" w:rsidRPr="003354E5" w:rsidRDefault="00004167" w:rsidP="00004167">
            <w:pPr>
              <w:pStyle w:val="TableText"/>
              <w:jc w:val="center"/>
              <w:rPr>
                <w:b/>
              </w:rPr>
            </w:pPr>
            <w:r>
              <w:rPr>
                <w:b/>
              </w:rPr>
              <w:t>7</w:t>
            </w:r>
          </w:p>
        </w:tc>
        <w:tc>
          <w:tcPr>
            <w:tcW w:w="1046" w:type="dxa"/>
            <w:shd w:val="clear" w:color="auto" w:fill="auto"/>
          </w:tcPr>
          <w:p w:rsidR="00004167" w:rsidRPr="003354E5" w:rsidRDefault="00004167" w:rsidP="00004167">
            <w:pPr>
              <w:pStyle w:val="TableText"/>
              <w:jc w:val="center"/>
              <w:rPr>
                <w:b/>
              </w:rPr>
            </w:pPr>
            <w:r>
              <w:rPr>
                <w:b/>
              </w:rPr>
              <w:t>6</w:t>
            </w:r>
          </w:p>
        </w:tc>
      </w:tr>
    </w:tbl>
    <w:p w:rsidR="00EB6B88" w:rsidRDefault="00EB6B88" w:rsidP="00EB6B88">
      <w:pPr>
        <w:pStyle w:val="Note"/>
        <w:rPr>
          <w:sz w:val="18"/>
          <w:szCs w:val="18"/>
        </w:rPr>
      </w:pPr>
      <w:r>
        <w:rPr>
          <w:sz w:val="18"/>
          <w:szCs w:val="18"/>
        </w:rPr>
        <w:sym w:font="Wingdings" w:char="F0FC"/>
      </w:r>
      <w:r>
        <w:rPr>
          <w:sz w:val="18"/>
          <w:szCs w:val="18"/>
        </w:rPr>
        <w:tab/>
      </w:r>
      <w:r w:rsidRPr="007A7EBA">
        <w:rPr>
          <w:sz w:val="18"/>
          <w:szCs w:val="18"/>
        </w:rPr>
        <w:t>Present</w:t>
      </w:r>
    </w:p>
    <w:p w:rsidR="00EB6B88" w:rsidRDefault="00EB6B88" w:rsidP="00EB6B88">
      <w:pPr>
        <w:pStyle w:val="Note"/>
        <w:rPr>
          <w:sz w:val="18"/>
          <w:szCs w:val="18"/>
        </w:rPr>
      </w:pPr>
      <w:r>
        <w:rPr>
          <w:sz w:val="18"/>
          <w:szCs w:val="18"/>
        </w:rPr>
        <w:t>A</w:t>
      </w:r>
      <w:r>
        <w:rPr>
          <w:sz w:val="18"/>
          <w:szCs w:val="18"/>
        </w:rPr>
        <w:tab/>
      </w:r>
      <w:r w:rsidRPr="007A7EBA">
        <w:rPr>
          <w:sz w:val="18"/>
          <w:szCs w:val="18"/>
        </w:rPr>
        <w:t>Apologies</w:t>
      </w:r>
    </w:p>
    <w:p w:rsidR="00EB6B88" w:rsidRPr="00EB6B88" w:rsidRDefault="00EB6B88" w:rsidP="00EB6B88"/>
    <w:p w:rsidR="008569C6" w:rsidRPr="007A7EBA" w:rsidRDefault="008569C6" w:rsidP="008569C6">
      <w:pPr>
        <w:pStyle w:val="Note"/>
        <w:rPr>
          <w:sz w:val="18"/>
          <w:szCs w:val="18"/>
        </w:rPr>
      </w:pPr>
    </w:p>
    <w:p w:rsidR="00A66E63" w:rsidRDefault="00A66E63" w:rsidP="008569C6">
      <w:pPr>
        <w:pStyle w:val="Heading1"/>
        <w:sectPr w:rsidR="00A66E63" w:rsidSect="00CE0802">
          <w:footerReference w:type="first" r:id="rId31"/>
          <w:pgSz w:w="11907" w:h="16834" w:code="9"/>
          <w:pgMar w:top="1701" w:right="1418" w:bottom="1701" w:left="1701" w:header="0" w:footer="425" w:gutter="0"/>
          <w:cols w:space="720"/>
          <w:titlePg/>
        </w:sectPr>
      </w:pPr>
      <w:bookmarkStart w:id="84" w:name="_Toc272911774"/>
    </w:p>
    <w:p w:rsidR="008569C6" w:rsidRDefault="008569C6" w:rsidP="00972C95">
      <w:pPr>
        <w:pStyle w:val="Heading1"/>
      </w:pPr>
      <w:bookmarkStart w:id="85" w:name="_Toc411328331"/>
      <w:r w:rsidRPr="0077313E">
        <w:lastRenderedPageBreak/>
        <w:t xml:space="preserve">Appendix </w:t>
      </w:r>
      <w:r w:rsidR="000F0E9D">
        <w:t>3</w:t>
      </w:r>
      <w:r w:rsidRPr="0077313E">
        <w:t xml:space="preserve">: ACART </w:t>
      </w:r>
      <w:r w:rsidR="00486D31">
        <w:t>w</w:t>
      </w:r>
      <w:r w:rsidRPr="0077313E">
        <w:t xml:space="preserve">orking </w:t>
      </w:r>
      <w:r w:rsidR="00486D31">
        <w:t>g</w:t>
      </w:r>
      <w:r w:rsidRPr="0077313E">
        <w:t>roups</w:t>
      </w:r>
      <w:bookmarkEnd w:id="84"/>
      <w:bookmarkEnd w:id="8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4820"/>
      </w:tblGrid>
      <w:tr w:rsidR="00004167" w:rsidRPr="00972C95" w:rsidTr="00F32692">
        <w:trPr>
          <w:cantSplit/>
          <w:tblHeader/>
        </w:trPr>
        <w:tc>
          <w:tcPr>
            <w:tcW w:w="3969" w:type="dxa"/>
          </w:tcPr>
          <w:p w:rsidR="00004167" w:rsidRPr="00972C95" w:rsidRDefault="00004167" w:rsidP="00F32692">
            <w:pPr>
              <w:pStyle w:val="TableText"/>
              <w:rPr>
                <w:b/>
              </w:rPr>
            </w:pPr>
            <w:r w:rsidRPr="00972C95">
              <w:rPr>
                <w:b/>
              </w:rPr>
              <w:t>Working group</w:t>
            </w:r>
          </w:p>
        </w:tc>
        <w:tc>
          <w:tcPr>
            <w:tcW w:w="4820" w:type="dxa"/>
          </w:tcPr>
          <w:p w:rsidR="00004167" w:rsidRPr="00972C95" w:rsidRDefault="00004167" w:rsidP="00F32692">
            <w:pPr>
              <w:pStyle w:val="TableText"/>
              <w:rPr>
                <w:b/>
              </w:rPr>
            </w:pPr>
            <w:r w:rsidRPr="00972C95">
              <w:rPr>
                <w:b/>
              </w:rPr>
              <w:t>Responsibilities and meeting dates</w:t>
            </w:r>
          </w:p>
        </w:tc>
      </w:tr>
      <w:tr w:rsidR="00004167" w:rsidRPr="00E40AE8" w:rsidTr="00F32692">
        <w:trPr>
          <w:cantSplit/>
        </w:trPr>
        <w:tc>
          <w:tcPr>
            <w:tcW w:w="3969" w:type="dxa"/>
          </w:tcPr>
          <w:p w:rsidR="00004167" w:rsidRPr="00E40AE8" w:rsidRDefault="00004167" w:rsidP="00F32692">
            <w:pPr>
              <w:pStyle w:val="TableText"/>
              <w:rPr>
                <w:rFonts w:cs="Arial"/>
                <w:i/>
              </w:rPr>
            </w:pPr>
            <w:r w:rsidRPr="00E40AE8">
              <w:rPr>
                <w:rFonts w:cs="Arial"/>
                <w:i/>
              </w:rPr>
              <w:t>Import and Export of Gametes and Embryos</w:t>
            </w:r>
            <w:r>
              <w:rPr>
                <w:rFonts w:cs="Arial"/>
                <w:i/>
              </w:rPr>
              <w:t xml:space="preserve"> Working Group</w:t>
            </w:r>
          </w:p>
          <w:p w:rsidR="00004167" w:rsidRDefault="00004167" w:rsidP="00F32692">
            <w:pPr>
              <w:pStyle w:val="TableText"/>
              <w:spacing w:before="0"/>
              <w:rPr>
                <w:rFonts w:cs="Arial"/>
              </w:rPr>
            </w:pPr>
            <w:r>
              <w:rPr>
                <w:rFonts w:cs="Arial"/>
              </w:rPr>
              <w:t>John Angus (Chair, from April 2013)</w:t>
            </w:r>
          </w:p>
          <w:p w:rsidR="00004167" w:rsidRDefault="00004167" w:rsidP="00F32692">
            <w:pPr>
              <w:pStyle w:val="TableText"/>
              <w:spacing w:before="0"/>
              <w:rPr>
                <w:rFonts w:cs="Arial"/>
              </w:rPr>
            </w:pPr>
            <w:r>
              <w:rPr>
                <w:rFonts w:cs="Arial"/>
              </w:rPr>
              <w:t>Karen Buckingham</w:t>
            </w:r>
          </w:p>
          <w:p w:rsidR="00004167" w:rsidRDefault="00004167" w:rsidP="00F32692">
            <w:pPr>
              <w:pStyle w:val="TableText"/>
              <w:spacing w:before="0"/>
              <w:rPr>
                <w:rFonts w:cs="Arial"/>
              </w:rPr>
            </w:pPr>
            <w:r>
              <w:rPr>
                <w:rFonts w:cs="Arial"/>
              </w:rPr>
              <w:t xml:space="preserve">Michael </w:t>
            </w:r>
            <w:proofErr w:type="spellStart"/>
            <w:r>
              <w:rPr>
                <w:rFonts w:cs="Arial"/>
              </w:rPr>
              <w:t>Legge</w:t>
            </w:r>
            <w:proofErr w:type="spellEnd"/>
          </w:p>
          <w:p w:rsidR="00004167" w:rsidRPr="00E40AE8" w:rsidRDefault="00004167" w:rsidP="00F32692">
            <w:pPr>
              <w:pStyle w:val="TableText"/>
              <w:spacing w:before="0"/>
              <w:rPr>
                <w:rFonts w:cs="Arial"/>
              </w:rPr>
            </w:pPr>
            <w:r>
              <w:rPr>
                <w:rFonts w:cs="Arial"/>
              </w:rPr>
              <w:t>Alison Douglass</w:t>
            </w:r>
          </w:p>
        </w:tc>
        <w:tc>
          <w:tcPr>
            <w:tcW w:w="4820" w:type="dxa"/>
          </w:tcPr>
          <w:p w:rsidR="00004167" w:rsidRDefault="00004167" w:rsidP="00004167">
            <w:pPr>
              <w:pStyle w:val="TableText"/>
            </w:pPr>
            <w:r>
              <w:t xml:space="preserve">Continuing work on proposed advice to the Minister on requirements for the </w:t>
            </w:r>
            <w:r w:rsidRPr="00E40AE8">
              <w:t>import and export of</w:t>
            </w:r>
            <w:r>
              <w:t xml:space="preserve"> </w:t>
            </w:r>
            <w:r w:rsidRPr="00F67351">
              <w:rPr>
                <w:i/>
              </w:rPr>
              <w:t>in vitro</w:t>
            </w:r>
            <w:r w:rsidRPr="00E40AE8">
              <w:t xml:space="preserve"> gametes and embryos under s</w:t>
            </w:r>
            <w:r>
              <w:t>ections 37 and 38</w:t>
            </w:r>
            <w:r w:rsidRPr="00E40AE8">
              <w:t xml:space="preserve"> of the</w:t>
            </w:r>
            <w:r>
              <w:t xml:space="preserve"> HART</w:t>
            </w:r>
            <w:r w:rsidRPr="00E40AE8">
              <w:t xml:space="preserve"> Act</w:t>
            </w:r>
            <w:r>
              <w:t>.</w:t>
            </w:r>
          </w:p>
          <w:p w:rsidR="00004167" w:rsidRPr="00E40AE8" w:rsidRDefault="00004167" w:rsidP="00004167">
            <w:pPr>
              <w:pStyle w:val="TableText"/>
            </w:pPr>
            <w:r>
              <w:t>The Working Group met on 22 May 2014.</w:t>
            </w:r>
          </w:p>
        </w:tc>
      </w:tr>
      <w:tr w:rsidR="00004167" w:rsidRPr="00A829A0" w:rsidTr="00F32692">
        <w:trPr>
          <w:cantSplit/>
        </w:trPr>
        <w:tc>
          <w:tcPr>
            <w:tcW w:w="3969" w:type="dxa"/>
          </w:tcPr>
          <w:p w:rsidR="00004167" w:rsidRDefault="00004167" w:rsidP="00F32692">
            <w:pPr>
              <w:pStyle w:val="TableText"/>
              <w:rPr>
                <w:rFonts w:cs="Arial"/>
                <w:i/>
              </w:rPr>
            </w:pPr>
            <w:r>
              <w:rPr>
                <w:rFonts w:cs="Arial"/>
                <w:i/>
              </w:rPr>
              <w:t>Guidelines Review Working Group</w:t>
            </w:r>
          </w:p>
          <w:p w:rsidR="00004167" w:rsidRDefault="00004167" w:rsidP="00F32692">
            <w:pPr>
              <w:pStyle w:val="TableText"/>
              <w:spacing w:before="0"/>
              <w:rPr>
                <w:rFonts w:cs="Arial"/>
              </w:rPr>
            </w:pPr>
            <w:r>
              <w:rPr>
                <w:rFonts w:cs="Arial"/>
              </w:rPr>
              <w:t>John Angus (Chair)</w:t>
            </w:r>
          </w:p>
          <w:p w:rsidR="00004167" w:rsidRDefault="00004167" w:rsidP="00F32692">
            <w:pPr>
              <w:pStyle w:val="TableText"/>
              <w:spacing w:before="0"/>
              <w:rPr>
                <w:rFonts w:cs="Arial"/>
              </w:rPr>
            </w:pPr>
            <w:r>
              <w:rPr>
                <w:rFonts w:cs="Arial"/>
              </w:rPr>
              <w:t>Alison Douglass</w:t>
            </w:r>
          </w:p>
          <w:p w:rsidR="00004167" w:rsidRDefault="00004167" w:rsidP="00F32692">
            <w:pPr>
              <w:pStyle w:val="TableText"/>
              <w:spacing w:before="0"/>
              <w:rPr>
                <w:rFonts w:cs="Arial"/>
              </w:rPr>
            </w:pPr>
            <w:r>
              <w:rPr>
                <w:rFonts w:cs="Arial"/>
              </w:rPr>
              <w:t>Sue McKenzie</w:t>
            </w:r>
          </w:p>
          <w:p w:rsidR="00004167" w:rsidRPr="00992207" w:rsidRDefault="00004167" w:rsidP="00F32692">
            <w:pPr>
              <w:pStyle w:val="TableText"/>
              <w:spacing w:before="0"/>
              <w:rPr>
                <w:rFonts w:cs="Arial"/>
              </w:rPr>
            </w:pPr>
            <w:r>
              <w:rPr>
                <w:rFonts w:cs="Arial"/>
              </w:rPr>
              <w:t>Jonathan Darby</w:t>
            </w:r>
          </w:p>
        </w:tc>
        <w:tc>
          <w:tcPr>
            <w:tcW w:w="4820" w:type="dxa"/>
          </w:tcPr>
          <w:p w:rsidR="00004167" w:rsidRDefault="00004167" w:rsidP="00004167">
            <w:pPr>
              <w:pStyle w:val="TableText"/>
            </w:pPr>
            <w:r>
              <w:t>Review of eligibility criteria in ACART</w:t>
            </w:r>
            <w:r w:rsidR="000D459B">
              <w:t>’</w:t>
            </w:r>
            <w:r>
              <w:t>s surrogacy and family gamete donation guidelines, as part of addressing a complaint to the Human Rights Commission, and subsequent review of eligibility criteria in the embryo donation and donated eggs/donated sperm guidelines.</w:t>
            </w:r>
          </w:p>
          <w:p w:rsidR="00004167" w:rsidRPr="00A829A0" w:rsidRDefault="00004167" w:rsidP="00004167">
            <w:pPr>
              <w:pStyle w:val="TableText"/>
            </w:pPr>
            <w:r>
              <w:t>The Working Group met on 15 August 2013.</w:t>
            </w:r>
          </w:p>
        </w:tc>
      </w:tr>
      <w:tr w:rsidR="00004167" w:rsidRPr="0014130F" w:rsidTr="00F32692">
        <w:trPr>
          <w:cantSplit/>
        </w:trPr>
        <w:tc>
          <w:tcPr>
            <w:tcW w:w="3969" w:type="dxa"/>
          </w:tcPr>
          <w:p w:rsidR="00004167" w:rsidRDefault="00004167" w:rsidP="00F32692">
            <w:pPr>
              <w:pStyle w:val="TableText"/>
              <w:rPr>
                <w:rFonts w:cs="Arial"/>
                <w:i/>
              </w:rPr>
            </w:pPr>
            <w:r>
              <w:rPr>
                <w:rFonts w:cs="Arial"/>
                <w:i/>
              </w:rPr>
              <w:t>Informed Consent Working Group</w:t>
            </w:r>
          </w:p>
          <w:p w:rsidR="00004167" w:rsidRDefault="00004167" w:rsidP="00F32692">
            <w:pPr>
              <w:pStyle w:val="TableText"/>
              <w:rPr>
                <w:rFonts w:cs="Arial"/>
              </w:rPr>
            </w:pPr>
            <w:r>
              <w:rPr>
                <w:rFonts w:cs="Arial"/>
              </w:rPr>
              <w:t>John Angus (Chair until 13 May 2014, continued as member)</w:t>
            </w:r>
          </w:p>
          <w:p w:rsidR="00004167" w:rsidRDefault="00004167" w:rsidP="00F32692">
            <w:pPr>
              <w:pStyle w:val="TableText"/>
              <w:rPr>
                <w:rFonts w:cs="Arial"/>
              </w:rPr>
            </w:pPr>
            <w:r>
              <w:rPr>
                <w:rFonts w:cs="Arial"/>
              </w:rPr>
              <w:t xml:space="preserve">Mike </w:t>
            </w:r>
            <w:proofErr w:type="spellStart"/>
            <w:r>
              <w:rPr>
                <w:rFonts w:cs="Arial"/>
              </w:rPr>
              <w:t>Legge</w:t>
            </w:r>
            <w:proofErr w:type="spellEnd"/>
            <w:r>
              <w:rPr>
                <w:rFonts w:cs="Arial"/>
              </w:rPr>
              <w:t xml:space="preserve"> (Chair from 14 May 2014)</w:t>
            </w:r>
          </w:p>
          <w:p w:rsidR="00004167" w:rsidRDefault="00004167" w:rsidP="00F32692">
            <w:pPr>
              <w:pStyle w:val="TableText"/>
              <w:rPr>
                <w:rFonts w:cs="Arial"/>
              </w:rPr>
            </w:pPr>
            <w:r>
              <w:rPr>
                <w:rFonts w:cs="Arial"/>
              </w:rPr>
              <w:t>Jonathan Darby</w:t>
            </w:r>
          </w:p>
          <w:p w:rsidR="00004167" w:rsidRPr="00A829A0" w:rsidRDefault="00004167" w:rsidP="00F32692">
            <w:pPr>
              <w:pStyle w:val="TableText"/>
              <w:rPr>
                <w:rFonts w:cs="Arial"/>
              </w:rPr>
            </w:pPr>
            <w:r>
              <w:rPr>
                <w:rFonts w:cs="Arial"/>
              </w:rPr>
              <w:t>Nikki Horne</w:t>
            </w:r>
          </w:p>
        </w:tc>
        <w:tc>
          <w:tcPr>
            <w:tcW w:w="4820" w:type="dxa"/>
          </w:tcPr>
          <w:p w:rsidR="00004167" w:rsidRPr="0014130F" w:rsidRDefault="00004167" w:rsidP="00004167">
            <w:pPr>
              <w:pStyle w:val="TableText"/>
            </w:pPr>
            <w:r>
              <w:t>Continuing work on proposed advice to the Minister of Health on informed consent requirements for assisted human reproduction, as required by section 38(d) of the HART Act.</w:t>
            </w:r>
          </w:p>
          <w:p w:rsidR="00004167" w:rsidRDefault="00004167" w:rsidP="00004167">
            <w:pPr>
              <w:pStyle w:val="TableText"/>
            </w:pPr>
            <w:r>
              <w:t>The Working Group met (usually by teleconference):</w:t>
            </w:r>
          </w:p>
          <w:p w:rsidR="00004167" w:rsidRDefault="00004167" w:rsidP="00004167">
            <w:pPr>
              <w:pStyle w:val="TableBullet"/>
            </w:pPr>
            <w:r>
              <w:t>16 December 2013</w:t>
            </w:r>
          </w:p>
          <w:p w:rsidR="00004167" w:rsidRDefault="00004167" w:rsidP="00004167">
            <w:pPr>
              <w:pStyle w:val="TableBullet"/>
            </w:pPr>
            <w:r>
              <w:t>3 April 2014</w:t>
            </w:r>
          </w:p>
          <w:p w:rsidR="00004167" w:rsidRPr="0014130F" w:rsidRDefault="00004167" w:rsidP="00004167">
            <w:pPr>
              <w:pStyle w:val="TableBullet"/>
            </w:pPr>
            <w:r>
              <w:t>12 June 2014</w:t>
            </w:r>
          </w:p>
        </w:tc>
      </w:tr>
      <w:tr w:rsidR="00004167" w:rsidRPr="00BE4553" w:rsidTr="00F32692">
        <w:trPr>
          <w:cantSplit/>
        </w:trPr>
        <w:tc>
          <w:tcPr>
            <w:tcW w:w="3969" w:type="dxa"/>
          </w:tcPr>
          <w:p w:rsidR="00004167" w:rsidRDefault="00004167" w:rsidP="00F32692">
            <w:pPr>
              <w:pStyle w:val="TableText"/>
              <w:rPr>
                <w:rFonts w:cs="Arial"/>
                <w:i/>
              </w:rPr>
            </w:pPr>
            <w:r>
              <w:rPr>
                <w:rFonts w:cs="Arial"/>
                <w:i/>
              </w:rPr>
              <w:t>Human reproductive research working group</w:t>
            </w:r>
          </w:p>
          <w:p w:rsidR="00004167" w:rsidRDefault="00004167" w:rsidP="00F32692">
            <w:pPr>
              <w:pStyle w:val="TableText"/>
              <w:rPr>
                <w:rFonts w:cs="Arial"/>
              </w:rPr>
            </w:pPr>
            <w:r>
              <w:rPr>
                <w:rFonts w:cs="Arial"/>
              </w:rPr>
              <w:t>Alison Douglass (Chair)</w:t>
            </w:r>
          </w:p>
          <w:p w:rsidR="00004167" w:rsidRDefault="00004167" w:rsidP="00F32692">
            <w:pPr>
              <w:pStyle w:val="TableText"/>
              <w:rPr>
                <w:rFonts w:cs="Arial"/>
              </w:rPr>
            </w:pPr>
            <w:r>
              <w:rPr>
                <w:rFonts w:cs="Arial"/>
              </w:rPr>
              <w:t xml:space="preserve">Mike </w:t>
            </w:r>
            <w:proofErr w:type="spellStart"/>
            <w:r>
              <w:rPr>
                <w:rFonts w:cs="Arial"/>
              </w:rPr>
              <w:t>Legge</w:t>
            </w:r>
            <w:proofErr w:type="spellEnd"/>
          </w:p>
          <w:p w:rsidR="00004167" w:rsidRDefault="00004167" w:rsidP="00F32692">
            <w:pPr>
              <w:pStyle w:val="TableText"/>
              <w:rPr>
                <w:rFonts w:cs="Arial"/>
              </w:rPr>
            </w:pPr>
            <w:r>
              <w:rPr>
                <w:rFonts w:cs="Arial"/>
              </w:rPr>
              <w:t>Sue McKenzie</w:t>
            </w:r>
          </w:p>
          <w:p w:rsidR="00004167" w:rsidRPr="00A829A0" w:rsidRDefault="00004167" w:rsidP="00F32692">
            <w:pPr>
              <w:pStyle w:val="TableText"/>
              <w:rPr>
                <w:rFonts w:cs="Arial"/>
              </w:rPr>
            </w:pPr>
            <w:r>
              <w:rPr>
                <w:rFonts w:cs="Arial"/>
              </w:rPr>
              <w:t>Barry Smith</w:t>
            </w:r>
          </w:p>
        </w:tc>
        <w:tc>
          <w:tcPr>
            <w:tcW w:w="4820" w:type="dxa"/>
          </w:tcPr>
          <w:p w:rsidR="00004167" w:rsidRPr="0014130F" w:rsidRDefault="00004167" w:rsidP="00004167">
            <w:pPr>
              <w:pStyle w:val="TableText"/>
            </w:pPr>
            <w:r>
              <w:t>Preparing advice on human reproductive research to be included in ACART</w:t>
            </w:r>
            <w:r w:rsidR="000D459B">
              <w:t>’</w:t>
            </w:r>
            <w:r>
              <w:t>s briefing to the incoming Minister of Health.</w:t>
            </w:r>
          </w:p>
          <w:p w:rsidR="00004167" w:rsidRDefault="00004167" w:rsidP="00004167">
            <w:pPr>
              <w:pStyle w:val="TableText"/>
            </w:pPr>
            <w:r>
              <w:t>The Working Group met by teleconference:</w:t>
            </w:r>
          </w:p>
          <w:p w:rsidR="00004167" w:rsidRDefault="00004167" w:rsidP="00004167">
            <w:pPr>
              <w:pStyle w:val="TableBullet"/>
            </w:pPr>
            <w:r>
              <w:t>13 February 2014</w:t>
            </w:r>
          </w:p>
          <w:p w:rsidR="00004167" w:rsidRPr="00BE4553" w:rsidRDefault="00004167" w:rsidP="00004167">
            <w:pPr>
              <w:pStyle w:val="TableBullet"/>
            </w:pPr>
            <w:r>
              <w:t>2 April 2014</w:t>
            </w:r>
          </w:p>
        </w:tc>
      </w:tr>
      <w:tr w:rsidR="00004167" w:rsidRPr="00BE4553" w:rsidTr="00F32692">
        <w:trPr>
          <w:cantSplit/>
        </w:trPr>
        <w:tc>
          <w:tcPr>
            <w:tcW w:w="3969" w:type="dxa"/>
          </w:tcPr>
          <w:p w:rsidR="00004167" w:rsidRDefault="00004167" w:rsidP="00F32692">
            <w:pPr>
              <w:pStyle w:val="TableText"/>
              <w:rPr>
                <w:rFonts w:cs="Arial"/>
                <w:i/>
              </w:rPr>
            </w:pPr>
            <w:r>
              <w:rPr>
                <w:rFonts w:cs="Arial"/>
                <w:i/>
              </w:rPr>
              <w:t>Use of cryopreserved ovarian and testicular tissue</w:t>
            </w:r>
          </w:p>
          <w:p w:rsidR="00004167" w:rsidRDefault="00004167" w:rsidP="00F32692">
            <w:pPr>
              <w:pStyle w:val="TableText"/>
              <w:rPr>
                <w:rFonts w:cs="Arial"/>
              </w:rPr>
            </w:pPr>
            <w:r>
              <w:rPr>
                <w:rFonts w:cs="Arial"/>
              </w:rPr>
              <w:t>Karen Buckingham</w:t>
            </w:r>
          </w:p>
          <w:p w:rsidR="00004167" w:rsidRPr="00A829A0" w:rsidRDefault="00004167" w:rsidP="00F32692">
            <w:pPr>
              <w:pStyle w:val="TableText"/>
              <w:rPr>
                <w:rFonts w:cs="Arial"/>
              </w:rPr>
            </w:pPr>
            <w:r>
              <w:rPr>
                <w:rFonts w:cs="Arial"/>
              </w:rPr>
              <w:t xml:space="preserve">Mike </w:t>
            </w:r>
            <w:proofErr w:type="spellStart"/>
            <w:r>
              <w:rPr>
                <w:rFonts w:cs="Arial"/>
              </w:rPr>
              <w:t>Legge</w:t>
            </w:r>
            <w:proofErr w:type="spellEnd"/>
          </w:p>
        </w:tc>
        <w:tc>
          <w:tcPr>
            <w:tcW w:w="4820" w:type="dxa"/>
          </w:tcPr>
          <w:p w:rsidR="00004167" w:rsidRDefault="00004167" w:rsidP="00004167">
            <w:pPr>
              <w:pStyle w:val="TableText"/>
            </w:pPr>
            <w:r>
              <w:t>Establishment of a contract for an independent technical report about the use of cryopreserved ovarian and testicular tissue.</w:t>
            </w:r>
          </w:p>
          <w:p w:rsidR="00004167" w:rsidRPr="00BE4553" w:rsidRDefault="00004167" w:rsidP="00004167">
            <w:pPr>
              <w:pStyle w:val="TableText"/>
            </w:pPr>
            <w:r>
              <w:t>The Working Group held discussions by email during May 2014.</w:t>
            </w:r>
          </w:p>
        </w:tc>
      </w:tr>
    </w:tbl>
    <w:p w:rsidR="00B234DD" w:rsidRPr="00765BD4" w:rsidRDefault="00B234DD" w:rsidP="00972C95">
      <w:bookmarkStart w:id="86" w:name="Appendixc"/>
      <w:bookmarkEnd w:id="70"/>
      <w:bookmarkEnd w:id="71"/>
      <w:bookmarkEnd w:id="72"/>
      <w:bookmarkEnd w:id="73"/>
      <w:bookmarkEnd w:id="74"/>
      <w:bookmarkEnd w:id="86"/>
    </w:p>
    <w:sectPr w:rsidR="00B234DD" w:rsidRPr="00765BD4" w:rsidSect="00CE0802">
      <w:footerReference w:type="even" r:id="rId32"/>
      <w:footerReference w:type="default" r:id="rId33"/>
      <w:footerReference w:type="first" r:id="rId34"/>
      <w:pgSz w:w="11907" w:h="16834" w:code="9"/>
      <w:pgMar w:top="1701" w:right="1418" w:bottom="1701" w:left="1701" w:header="0" w:footer="42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897" w:rsidRDefault="001C2897">
      <w:r>
        <w:separator/>
      </w:r>
    </w:p>
  </w:endnote>
  <w:endnote w:type="continuationSeparator" w:id="0">
    <w:p w:rsidR="001C2897" w:rsidRDefault="001C2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1B1" w:rsidRDefault="009F71B1">
    <w:pPr>
      <w:pStyle w:val="Footer"/>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9F71B1" w:rsidTr="00F32692">
      <w:trPr>
        <w:cantSplit/>
      </w:trPr>
      <w:tc>
        <w:tcPr>
          <w:tcW w:w="709" w:type="dxa"/>
        </w:tcPr>
        <w:p w:rsidR="009F71B1" w:rsidRDefault="009F71B1" w:rsidP="00F32692">
          <w:pPr>
            <w:pStyle w:val="Footer"/>
          </w:pPr>
          <w:r>
            <w:rPr>
              <w:noProof/>
              <w:lang w:eastAsia="en-NZ"/>
            </w:rPr>
            <w:drawing>
              <wp:anchor distT="0" distB="0" distL="114300" distR="114300" simplePos="0" relativeHeight="251671552" behindDoc="1" locked="0" layoutInCell="1" allowOverlap="1" wp14:anchorId="4A711047" wp14:editId="6E8A5A4B">
                <wp:simplePos x="0" y="0"/>
                <wp:positionH relativeFrom="column">
                  <wp:posOffset>-423545</wp:posOffset>
                </wp:positionH>
                <wp:positionV relativeFrom="paragraph">
                  <wp:posOffset>-968317</wp:posOffset>
                </wp:positionV>
                <wp:extent cx="1449705" cy="1449070"/>
                <wp:effectExtent l="0" t="0" r="0" b="0"/>
                <wp:wrapNone/>
                <wp:docPr id="7" name="Picture 7"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2D1997">
            <w:rPr>
              <w:rStyle w:val="PageNumber"/>
              <w:noProof/>
            </w:rPr>
            <w:t>10</w:t>
          </w:r>
          <w:r>
            <w:rPr>
              <w:rStyle w:val="PageNumber"/>
            </w:rPr>
            <w:fldChar w:fldCharType="end"/>
          </w:r>
        </w:p>
      </w:tc>
      <w:tc>
        <w:tcPr>
          <w:tcW w:w="8789" w:type="dxa"/>
          <w:tcBorders>
            <w:top w:val="single" w:sz="4" w:space="0" w:color="auto"/>
          </w:tcBorders>
        </w:tcPr>
        <w:p w:rsidR="009F71B1" w:rsidRDefault="009F71B1" w:rsidP="00F32692">
          <w:pPr>
            <w:pStyle w:val="VersoFooter"/>
          </w:pPr>
          <w:r>
            <w:t>Advisory Committee on Assisted Reproductive Technology</w:t>
          </w:r>
          <w:r>
            <w:br/>
            <w:t>Annual Report 2013/14</w:t>
          </w:r>
        </w:p>
      </w:tc>
    </w:tr>
  </w:tbl>
  <w:p w:rsidR="009F71B1" w:rsidRPr="004D655D" w:rsidRDefault="009F71B1">
    <w:pPr>
      <w:pStyle w:val="Footer"/>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9F71B1" w:rsidTr="009F71B1">
      <w:trPr>
        <w:cantSplit/>
      </w:trPr>
      <w:tc>
        <w:tcPr>
          <w:tcW w:w="8789" w:type="dxa"/>
          <w:tcBorders>
            <w:bottom w:val="nil"/>
          </w:tcBorders>
          <w:vAlign w:val="center"/>
        </w:tcPr>
        <w:p w:rsidR="009F71B1" w:rsidRDefault="009F71B1" w:rsidP="009F71B1">
          <w:pPr>
            <w:pStyle w:val="RectoFooter"/>
          </w:pPr>
          <w:r>
            <w:rPr>
              <w:noProof/>
              <w:lang w:eastAsia="en-NZ"/>
            </w:rPr>
            <w:drawing>
              <wp:anchor distT="0" distB="0" distL="114300" distR="114300" simplePos="0" relativeHeight="251673600" behindDoc="1" locked="0" layoutInCell="1" allowOverlap="1" wp14:anchorId="351DB387" wp14:editId="4F7D0EFE">
                <wp:simplePos x="0" y="0"/>
                <wp:positionH relativeFrom="column">
                  <wp:posOffset>5050155</wp:posOffset>
                </wp:positionH>
                <wp:positionV relativeFrom="paragraph">
                  <wp:posOffset>-918845</wp:posOffset>
                </wp:positionV>
                <wp:extent cx="1449705" cy="1449070"/>
                <wp:effectExtent l="0" t="0" r="0" b="0"/>
                <wp:wrapNone/>
                <wp:docPr id="8" name="Picture 8"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Advisory Committee on Assisted Reproductive Technology</w:t>
          </w:r>
          <w:r>
            <w:br/>
            <w:t>Annual Report 2013/14</w:t>
          </w:r>
        </w:p>
      </w:tc>
      <w:tc>
        <w:tcPr>
          <w:tcW w:w="709" w:type="dxa"/>
          <w:tcBorders>
            <w:top w:val="nil"/>
            <w:bottom w:val="nil"/>
          </w:tcBorders>
        </w:tcPr>
        <w:p w:rsidR="009F71B1" w:rsidRDefault="009F71B1" w:rsidP="009F71B1">
          <w:pPr>
            <w:pStyle w:val="Footer"/>
            <w:jc w:val="right"/>
          </w:pPr>
          <w:r>
            <w:rPr>
              <w:rStyle w:val="PageNumber"/>
            </w:rPr>
            <w:fldChar w:fldCharType="begin"/>
          </w:r>
          <w:r>
            <w:rPr>
              <w:rStyle w:val="PageNumber"/>
            </w:rPr>
            <w:instrText xml:space="preserve"> PAGE </w:instrText>
          </w:r>
          <w:r>
            <w:rPr>
              <w:rStyle w:val="PageNumber"/>
            </w:rPr>
            <w:fldChar w:fldCharType="separate"/>
          </w:r>
          <w:r w:rsidR="002D1997">
            <w:rPr>
              <w:rStyle w:val="PageNumber"/>
              <w:noProof/>
            </w:rPr>
            <w:t>11</w:t>
          </w:r>
          <w:r>
            <w:rPr>
              <w:rStyle w:val="PageNumber"/>
            </w:rPr>
            <w:fldChar w:fldCharType="end"/>
          </w:r>
        </w:p>
      </w:tc>
    </w:tr>
  </w:tbl>
  <w:p w:rsidR="009F71B1" w:rsidRPr="004D655D" w:rsidRDefault="009F71B1">
    <w:pPr>
      <w:pStyle w:val="Footer"/>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9F71B1">
      <w:trPr>
        <w:cantSplit/>
      </w:trPr>
      <w:tc>
        <w:tcPr>
          <w:tcW w:w="709" w:type="dxa"/>
        </w:tcPr>
        <w:p w:rsidR="009F71B1" w:rsidRDefault="009F71B1" w:rsidP="00346DCC">
          <w:pPr>
            <w:pStyle w:val="Footer"/>
          </w:pPr>
          <w:r>
            <w:rPr>
              <w:noProof/>
              <w:lang w:eastAsia="en-NZ"/>
            </w:rPr>
            <w:drawing>
              <wp:anchor distT="0" distB="0" distL="114300" distR="114300" simplePos="0" relativeHeight="251677696" behindDoc="1" locked="0" layoutInCell="1" allowOverlap="1" wp14:anchorId="0EA26E96" wp14:editId="0879338F">
                <wp:simplePos x="0" y="0"/>
                <wp:positionH relativeFrom="column">
                  <wp:posOffset>-423545</wp:posOffset>
                </wp:positionH>
                <wp:positionV relativeFrom="paragraph">
                  <wp:posOffset>-968317</wp:posOffset>
                </wp:positionV>
                <wp:extent cx="1449705" cy="1449070"/>
                <wp:effectExtent l="0" t="0" r="0" b="0"/>
                <wp:wrapNone/>
                <wp:docPr id="11" name="Picture 11"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2D1997">
            <w:rPr>
              <w:rStyle w:val="PageNumber"/>
              <w:noProof/>
            </w:rPr>
            <w:t>16</w:t>
          </w:r>
          <w:r>
            <w:rPr>
              <w:rStyle w:val="PageNumber"/>
            </w:rPr>
            <w:fldChar w:fldCharType="end"/>
          </w:r>
        </w:p>
      </w:tc>
      <w:tc>
        <w:tcPr>
          <w:tcW w:w="8789" w:type="dxa"/>
          <w:tcBorders>
            <w:top w:val="single" w:sz="4" w:space="0" w:color="auto"/>
          </w:tcBorders>
        </w:tcPr>
        <w:p w:rsidR="009F71B1" w:rsidRDefault="009F71B1" w:rsidP="00555DD0">
          <w:pPr>
            <w:pStyle w:val="VersoFooter"/>
          </w:pPr>
          <w:r>
            <w:t>Advisory Committee on Assisted Reproductive Technology</w:t>
          </w:r>
          <w:r>
            <w:br/>
            <w:t>Annual Report 2013/14</w:t>
          </w:r>
        </w:p>
      </w:tc>
    </w:tr>
  </w:tbl>
  <w:p w:rsidR="009F71B1" w:rsidRPr="00346DCC" w:rsidRDefault="009F71B1" w:rsidP="00346DCC">
    <w:pPr>
      <w:pStyle w:val="Footer"/>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9F71B1" w:rsidTr="009F71B1">
      <w:trPr>
        <w:cantSplit/>
      </w:trPr>
      <w:tc>
        <w:tcPr>
          <w:tcW w:w="709" w:type="dxa"/>
        </w:tcPr>
        <w:p w:rsidR="009F71B1" w:rsidRDefault="009F71B1" w:rsidP="009F71B1">
          <w:pPr>
            <w:pStyle w:val="Footer"/>
          </w:pPr>
          <w:r>
            <w:rPr>
              <w:noProof/>
              <w:lang w:eastAsia="en-NZ"/>
            </w:rPr>
            <w:drawing>
              <wp:anchor distT="0" distB="0" distL="114300" distR="114300" simplePos="0" relativeHeight="251675648" behindDoc="1" locked="0" layoutInCell="1" allowOverlap="1" wp14:anchorId="76C7CB1D" wp14:editId="69C7FCC3">
                <wp:simplePos x="0" y="0"/>
                <wp:positionH relativeFrom="column">
                  <wp:posOffset>-423545</wp:posOffset>
                </wp:positionH>
                <wp:positionV relativeFrom="paragraph">
                  <wp:posOffset>-968317</wp:posOffset>
                </wp:positionV>
                <wp:extent cx="1449705" cy="1449070"/>
                <wp:effectExtent l="0" t="0" r="0" b="0"/>
                <wp:wrapNone/>
                <wp:docPr id="10" name="Picture 10"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2D1997">
            <w:rPr>
              <w:rStyle w:val="PageNumber"/>
              <w:noProof/>
            </w:rPr>
            <w:t>12</w:t>
          </w:r>
          <w:r>
            <w:rPr>
              <w:rStyle w:val="PageNumber"/>
            </w:rPr>
            <w:fldChar w:fldCharType="end"/>
          </w:r>
        </w:p>
      </w:tc>
      <w:tc>
        <w:tcPr>
          <w:tcW w:w="8789" w:type="dxa"/>
          <w:tcBorders>
            <w:top w:val="single" w:sz="4" w:space="0" w:color="auto"/>
          </w:tcBorders>
        </w:tcPr>
        <w:p w:rsidR="009F71B1" w:rsidRDefault="009F71B1" w:rsidP="009F71B1">
          <w:pPr>
            <w:pStyle w:val="VersoFooter"/>
          </w:pPr>
          <w:r>
            <w:t>Advisory Committee on Assisted Reproductive Technology</w:t>
          </w:r>
          <w:r>
            <w:br/>
            <w:t>Annual Report 2013/14</w:t>
          </w:r>
        </w:p>
      </w:tc>
    </w:tr>
  </w:tbl>
  <w:p w:rsidR="009F71B1" w:rsidRPr="004D655D" w:rsidRDefault="009F71B1">
    <w:pPr>
      <w:pStyle w:val="Footer"/>
      <w:rPr>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9F71B1" w:rsidTr="009F71B1">
      <w:trPr>
        <w:cantSplit/>
      </w:trPr>
      <w:tc>
        <w:tcPr>
          <w:tcW w:w="8789" w:type="dxa"/>
          <w:tcBorders>
            <w:bottom w:val="nil"/>
          </w:tcBorders>
          <w:vAlign w:val="center"/>
        </w:tcPr>
        <w:p w:rsidR="009F71B1" w:rsidRDefault="009F71B1" w:rsidP="009F71B1">
          <w:pPr>
            <w:pStyle w:val="RectoFooter"/>
          </w:pPr>
          <w:r>
            <w:rPr>
              <w:noProof/>
              <w:lang w:eastAsia="en-NZ"/>
            </w:rPr>
            <w:drawing>
              <wp:anchor distT="0" distB="0" distL="114300" distR="114300" simplePos="0" relativeHeight="251679744" behindDoc="1" locked="0" layoutInCell="1" allowOverlap="1" wp14:anchorId="79E812F0" wp14:editId="572B8416">
                <wp:simplePos x="0" y="0"/>
                <wp:positionH relativeFrom="column">
                  <wp:posOffset>5050155</wp:posOffset>
                </wp:positionH>
                <wp:positionV relativeFrom="paragraph">
                  <wp:posOffset>-918845</wp:posOffset>
                </wp:positionV>
                <wp:extent cx="1449705" cy="1449070"/>
                <wp:effectExtent l="0" t="0" r="0" b="0"/>
                <wp:wrapNone/>
                <wp:docPr id="12" name="Picture 12"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Advisory Committee on Assisted Reproductive Technology</w:t>
          </w:r>
          <w:r>
            <w:br/>
            <w:t>Annual Report 2013/14</w:t>
          </w:r>
        </w:p>
      </w:tc>
      <w:tc>
        <w:tcPr>
          <w:tcW w:w="709" w:type="dxa"/>
          <w:tcBorders>
            <w:top w:val="nil"/>
            <w:bottom w:val="nil"/>
          </w:tcBorders>
        </w:tcPr>
        <w:p w:rsidR="009F71B1" w:rsidRDefault="009F71B1" w:rsidP="009F71B1">
          <w:pPr>
            <w:pStyle w:val="Footer"/>
            <w:jc w:val="right"/>
          </w:pPr>
          <w:r>
            <w:rPr>
              <w:rStyle w:val="PageNumber"/>
            </w:rPr>
            <w:fldChar w:fldCharType="begin"/>
          </w:r>
          <w:r>
            <w:rPr>
              <w:rStyle w:val="PageNumber"/>
            </w:rPr>
            <w:instrText xml:space="preserve"> PAGE </w:instrText>
          </w:r>
          <w:r>
            <w:rPr>
              <w:rStyle w:val="PageNumber"/>
            </w:rPr>
            <w:fldChar w:fldCharType="separate"/>
          </w:r>
          <w:r w:rsidR="002D1997">
            <w:rPr>
              <w:rStyle w:val="PageNumber"/>
              <w:noProof/>
            </w:rPr>
            <w:t>17</w:t>
          </w:r>
          <w:r>
            <w:rPr>
              <w:rStyle w:val="PageNumber"/>
            </w:rPr>
            <w:fldChar w:fldCharType="end"/>
          </w:r>
        </w:p>
      </w:tc>
    </w:tr>
  </w:tbl>
  <w:p w:rsidR="009F71B1" w:rsidRPr="004D655D" w:rsidRDefault="009F71B1">
    <w:pPr>
      <w:pStyle w:val="Footer"/>
      <w:rPr>
        <w:sz w:val="2"/>
        <w:szCs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9F71B1">
      <w:trPr>
        <w:cantSplit/>
      </w:trPr>
      <w:tc>
        <w:tcPr>
          <w:tcW w:w="709" w:type="dxa"/>
        </w:tcPr>
        <w:p w:rsidR="009F71B1" w:rsidRDefault="009F71B1" w:rsidP="00346DCC">
          <w:pPr>
            <w:pStyle w:val="Footer"/>
          </w:pPr>
          <w:r>
            <w:rPr>
              <w:noProof/>
              <w:lang w:eastAsia="en-NZ"/>
            </w:rPr>
            <w:drawing>
              <wp:anchor distT="0" distB="0" distL="114300" distR="114300" simplePos="0" relativeHeight="251660288" behindDoc="1" locked="0" layoutInCell="1" allowOverlap="1" wp14:anchorId="31C4C70A" wp14:editId="65149AF4">
                <wp:simplePos x="0" y="0"/>
                <wp:positionH relativeFrom="column">
                  <wp:posOffset>-423545</wp:posOffset>
                </wp:positionH>
                <wp:positionV relativeFrom="paragraph">
                  <wp:posOffset>-1270000</wp:posOffset>
                </wp:positionV>
                <wp:extent cx="1449705" cy="1449070"/>
                <wp:effectExtent l="0" t="0" r="0" b="0"/>
                <wp:wrapNone/>
                <wp:docPr id="154" name="Picture 154"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tc>
      <w:tc>
        <w:tcPr>
          <w:tcW w:w="8789" w:type="dxa"/>
          <w:tcBorders>
            <w:top w:val="single" w:sz="4" w:space="0" w:color="auto"/>
          </w:tcBorders>
        </w:tcPr>
        <w:p w:rsidR="009F71B1" w:rsidRDefault="009F71B1" w:rsidP="00C861C8">
          <w:pPr>
            <w:pStyle w:val="VersoFooter"/>
          </w:pPr>
          <w:r>
            <w:t>Advisory Committee on Assisted Reproductive Technology</w:t>
          </w:r>
          <w:r>
            <w:br/>
            <w:t>Annual Report 2010/11</w:t>
          </w:r>
        </w:p>
      </w:tc>
    </w:tr>
  </w:tbl>
  <w:p w:rsidR="009F71B1" w:rsidRPr="00346DCC" w:rsidRDefault="009F71B1" w:rsidP="00346DCC">
    <w:pPr>
      <w:pStyle w:val="Footer"/>
      <w:rPr>
        <w:sz w:val="2"/>
        <w:szCs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9F71B1">
      <w:trPr>
        <w:cantSplit/>
      </w:trPr>
      <w:tc>
        <w:tcPr>
          <w:tcW w:w="8789" w:type="dxa"/>
          <w:tcBorders>
            <w:bottom w:val="nil"/>
          </w:tcBorders>
          <w:vAlign w:val="center"/>
        </w:tcPr>
        <w:p w:rsidR="009F71B1" w:rsidRDefault="009F71B1" w:rsidP="009F48DD">
          <w:pPr>
            <w:pStyle w:val="RectoFooter"/>
          </w:pPr>
          <w:r>
            <w:rPr>
              <w:noProof/>
              <w:lang w:eastAsia="en-NZ"/>
            </w:rPr>
            <w:drawing>
              <wp:anchor distT="0" distB="0" distL="114300" distR="114300" simplePos="0" relativeHeight="251659264" behindDoc="1" locked="0" layoutInCell="1" allowOverlap="1" wp14:anchorId="200B1473" wp14:editId="641C3918">
                <wp:simplePos x="0" y="0"/>
                <wp:positionH relativeFrom="column">
                  <wp:posOffset>5050155</wp:posOffset>
                </wp:positionH>
                <wp:positionV relativeFrom="paragraph">
                  <wp:posOffset>-1329055</wp:posOffset>
                </wp:positionV>
                <wp:extent cx="1449705" cy="1449070"/>
                <wp:effectExtent l="0" t="0" r="0" b="0"/>
                <wp:wrapNone/>
                <wp:docPr id="153" name="Picture 153"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Advisory Committee on Assisted Reproductive Technology</w:t>
          </w:r>
          <w:r>
            <w:br/>
            <w:t>Annual Report 2010/11</w:t>
          </w:r>
        </w:p>
      </w:tc>
      <w:tc>
        <w:tcPr>
          <w:tcW w:w="709" w:type="dxa"/>
          <w:tcBorders>
            <w:top w:val="nil"/>
            <w:bottom w:val="nil"/>
          </w:tcBorders>
        </w:tcPr>
        <w:p w:rsidR="009F71B1" w:rsidRDefault="009F71B1" w:rsidP="00901C7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tc>
    </w:tr>
  </w:tbl>
  <w:p w:rsidR="009F71B1" w:rsidRPr="00674A36" w:rsidRDefault="009F71B1" w:rsidP="00674A36">
    <w:pPr>
      <w:pStyle w:val="Footer"/>
      <w:rPr>
        <w:sz w:val="2"/>
        <w:szCs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9F71B1" w:rsidTr="009F71B1">
      <w:trPr>
        <w:cantSplit/>
      </w:trPr>
      <w:tc>
        <w:tcPr>
          <w:tcW w:w="709" w:type="dxa"/>
        </w:tcPr>
        <w:p w:rsidR="009F71B1" w:rsidRDefault="009F71B1" w:rsidP="009F71B1">
          <w:pPr>
            <w:pStyle w:val="Footer"/>
          </w:pPr>
          <w:r>
            <w:rPr>
              <w:noProof/>
              <w:lang w:eastAsia="en-NZ"/>
            </w:rPr>
            <w:drawing>
              <wp:anchor distT="0" distB="0" distL="114300" distR="114300" simplePos="0" relativeHeight="251681792" behindDoc="1" locked="0" layoutInCell="1" allowOverlap="1" wp14:anchorId="289713C2" wp14:editId="46DDC468">
                <wp:simplePos x="0" y="0"/>
                <wp:positionH relativeFrom="column">
                  <wp:posOffset>-423545</wp:posOffset>
                </wp:positionH>
                <wp:positionV relativeFrom="paragraph">
                  <wp:posOffset>-968317</wp:posOffset>
                </wp:positionV>
                <wp:extent cx="1449705" cy="1449070"/>
                <wp:effectExtent l="0" t="0" r="0" b="0"/>
                <wp:wrapNone/>
                <wp:docPr id="13" name="Picture 13"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2D1997">
            <w:rPr>
              <w:rStyle w:val="PageNumber"/>
              <w:noProof/>
            </w:rPr>
            <w:t>18</w:t>
          </w:r>
          <w:r>
            <w:rPr>
              <w:rStyle w:val="PageNumber"/>
            </w:rPr>
            <w:fldChar w:fldCharType="end"/>
          </w:r>
        </w:p>
      </w:tc>
      <w:tc>
        <w:tcPr>
          <w:tcW w:w="8789" w:type="dxa"/>
          <w:tcBorders>
            <w:top w:val="single" w:sz="4" w:space="0" w:color="auto"/>
          </w:tcBorders>
        </w:tcPr>
        <w:p w:rsidR="009F71B1" w:rsidRDefault="009F71B1" w:rsidP="009F71B1">
          <w:pPr>
            <w:pStyle w:val="VersoFooter"/>
          </w:pPr>
          <w:r>
            <w:t>Advisory Committee on Assisted Reproductive Technology</w:t>
          </w:r>
          <w:r>
            <w:br/>
            <w:t>Annual Report 2013/14</w:t>
          </w:r>
        </w:p>
      </w:tc>
    </w:tr>
  </w:tbl>
  <w:p w:rsidR="009F71B1" w:rsidRPr="004D655D" w:rsidRDefault="009F71B1">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9F71B1">
      <w:trPr>
        <w:cantSplit/>
      </w:trPr>
      <w:tc>
        <w:tcPr>
          <w:tcW w:w="8789" w:type="dxa"/>
          <w:tcBorders>
            <w:bottom w:val="nil"/>
          </w:tcBorders>
          <w:vAlign w:val="center"/>
        </w:tcPr>
        <w:p w:rsidR="009F71B1" w:rsidRDefault="009F71B1" w:rsidP="00555DD0">
          <w:pPr>
            <w:pStyle w:val="RectoFooter"/>
          </w:pPr>
          <w:r>
            <w:rPr>
              <w:noProof/>
              <w:lang w:eastAsia="en-NZ"/>
            </w:rPr>
            <w:drawing>
              <wp:anchor distT="0" distB="0" distL="114300" distR="114300" simplePos="0" relativeHeight="251655168" behindDoc="1" locked="0" layoutInCell="1" allowOverlap="1" wp14:anchorId="0E37B631" wp14:editId="0A552B61">
                <wp:simplePos x="0" y="0"/>
                <wp:positionH relativeFrom="column">
                  <wp:posOffset>5050155</wp:posOffset>
                </wp:positionH>
                <wp:positionV relativeFrom="paragraph">
                  <wp:posOffset>-940435</wp:posOffset>
                </wp:positionV>
                <wp:extent cx="1449705" cy="1449070"/>
                <wp:effectExtent l="0" t="0" r="0" b="0"/>
                <wp:wrapNone/>
                <wp:docPr id="141" name="Picture 141"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Advisory Committee on Assisted Reproductive Technology</w:t>
          </w:r>
          <w:r>
            <w:br/>
            <w:t>Annual Report 2013/14</w:t>
          </w:r>
        </w:p>
      </w:tc>
      <w:tc>
        <w:tcPr>
          <w:tcW w:w="709" w:type="dxa"/>
          <w:tcBorders>
            <w:top w:val="nil"/>
            <w:bottom w:val="nil"/>
          </w:tcBorders>
        </w:tcPr>
        <w:p w:rsidR="009F71B1" w:rsidRDefault="009F71B1" w:rsidP="008569C6">
          <w:pPr>
            <w:pStyle w:val="Footer"/>
            <w:jc w:val="right"/>
          </w:pPr>
          <w:r>
            <w:rPr>
              <w:rStyle w:val="PageNumber"/>
            </w:rPr>
            <w:fldChar w:fldCharType="begin"/>
          </w:r>
          <w:r>
            <w:rPr>
              <w:rStyle w:val="PageNumber"/>
            </w:rPr>
            <w:instrText xml:space="preserve"> PAGE </w:instrText>
          </w:r>
          <w:r>
            <w:rPr>
              <w:rStyle w:val="PageNumber"/>
            </w:rPr>
            <w:fldChar w:fldCharType="separate"/>
          </w:r>
          <w:r w:rsidR="002D1997">
            <w:rPr>
              <w:rStyle w:val="PageNumber"/>
              <w:noProof/>
            </w:rPr>
            <w:t>iii</w:t>
          </w:r>
          <w:r>
            <w:rPr>
              <w:rStyle w:val="PageNumber"/>
            </w:rPr>
            <w:fldChar w:fldCharType="end"/>
          </w:r>
        </w:p>
      </w:tc>
    </w:tr>
  </w:tbl>
  <w:p w:rsidR="009F71B1" w:rsidRPr="002C6099" w:rsidRDefault="009F71B1" w:rsidP="002C6099">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9F71B1">
      <w:trPr>
        <w:cantSplit/>
      </w:trPr>
      <w:tc>
        <w:tcPr>
          <w:tcW w:w="709" w:type="dxa"/>
        </w:tcPr>
        <w:p w:rsidR="009F71B1" w:rsidRDefault="009F71B1" w:rsidP="00346DCC">
          <w:pPr>
            <w:pStyle w:val="Footer"/>
          </w:pPr>
          <w:r>
            <w:rPr>
              <w:noProof/>
              <w:lang w:eastAsia="en-NZ"/>
            </w:rPr>
            <w:drawing>
              <wp:anchor distT="0" distB="0" distL="114300" distR="114300" simplePos="0" relativeHeight="251648000" behindDoc="1" locked="0" layoutInCell="1" allowOverlap="1" wp14:anchorId="51B4AE58" wp14:editId="1B913F36">
                <wp:simplePos x="0" y="0"/>
                <wp:positionH relativeFrom="column">
                  <wp:posOffset>-423545</wp:posOffset>
                </wp:positionH>
                <wp:positionV relativeFrom="paragraph">
                  <wp:posOffset>-932757</wp:posOffset>
                </wp:positionV>
                <wp:extent cx="1449705" cy="1449070"/>
                <wp:effectExtent l="0" t="0" r="0" b="0"/>
                <wp:wrapNone/>
                <wp:docPr id="64" name="Picture 64"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2D1997">
            <w:rPr>
              <w:rStyle w:val="PageNumber"/>
              <w:noProof/>
            </w:rPr>
            <w:t>iv</w:t>
          </w:r>
          <w:r>
            <w:rPr>
              <w:rStyle w:val="PageNumber"/>
            </w:rPr>
            <w:fldChar w:fldCharType="end"/>
          </w:r>
        </w:p>
      </w:tc>
      <w:tc>
        <w:tcPr>
          <w:tcW w:w="8789" w:type="dxa"/>
          <w:tcBorders>
            <w:top w:val="single" w:sz="4" w:space="0" w:color="auto"/>
          </w:tcBorders>
        </w:tcPr>
        <w:p w:rsidR="009F71B1" w:rsidRDefault="009F71B1" w:rsidP="00555DD0">
          <w:pPr>
            <w:pStyle w:val="RectoFooter"/>
            <w:jc w:val="right"/>
          </w:pPr>
          <w:r>
            <w:t>Advisory Committee on Assisted Reproductive Technology</w:t>
          </w:r>
          <w:r>
            <w:br/>
            <w:t>Annual Report 2013/14</w:t>
          </w:r>
        </w:p>
      </w:tc>
    </w:tr>
  </w:tbl>
  <w:p w:rsidR="009F71B1" w:rsidRPr="00346DCC" w:rsidRDefault="009F71B1" w:rsidP="00346DCC">
    <w:pPr>
      <w:pStyle w:val="Foote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9F71B1">
      <w:trPr>
        <w:cantSplit/>
      </w:trPr>
      <w:tc>
        <w:tcPr>
          <w:tcW w:w="8789" w:type="dxa"/>
          <w:tcBorders>
            <w:bottom w:val="nil"/>
          </w:tcBorders>
          <w:vAlign w:val="center"/>
        </w:tcPr>
        <w:p w:rsidR="009F71B1" w:rsidRDefault="009F71B1" w:rsidP="00555DD0">
          <w:pPr>
            <w:pStyle w:val="RectoFooter"/>
          </w:pPr>
          <w:r>
            <w:rPr>
              <w:noProof/>
              <w:lang w:eastAsia="en-NZ"/>
            </w:rPr>
            <w:drawing>
              <wp:anchor distT="0" distB="0" distL="114300" distR="114300" simplePos="0" relativeHeight="251650048" behindDoc="1" locked="0" layoutInCell="1" allowOverlap="1" wp14:anchorId="22BF723A" wp14:editId="258DE301">
                <wp:simplePos x="0" y="0"/>
                <wp:positionH relativeFrom="column">
                  <wp:posOffset>5050155</wp:posOffset>
                </wp:positionH>
                <wp:positionV relativeFrom="paragraph">
                  <wp:posOffset>-918845</wp:posOffset>
                </wp:positionV>
                <wp:extent cx="1449705" cy="1449070"/>
                <wp:effectExtent l="0" t="0" r="0" b="0"/>
                <wp:wrapNone/>
                <wp:docPr id="92" name="Picture 92"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Advisory Committee on Assisted Reproductive Technology</w:t>
          </w:r>
          <w:r>
            <w:br/>
            <w:t>Annual Report 2013/14</w:t>
          </w:r>
        </w:p>
      </w:tc>
      <w:tc>
        <w:tcPr>
          <w:tcW w:w="709" w:type="dxa"/>
          <w:tcBorders>
            <w:top w:val="nil"/>
            <w:bottom w:val="nil"/>
          </w:tcBorders>
        </w:tcPr>
        <w:p w:rsidR="009F71B1" w:rsidRDefault="009F71B1" w:rsidP="00901C70">
          <w:pPr>
            <w:pStyle w:val="Footer"/>
            <w:jc w:val="right"/>
          </w:pPr>
          <w:r>
            <w:rPr>
              <w:rStyle w:val="PageNumber"/>
            </w:rPr>
            <w:fldChar w:fldCharType="begin"/>
          </w:r>
          <w:r>
            <w:rPr>
              <w:rStyle w:val="PageNumber"/>
            </w:rPr>
            <w:instrText xml:space="preserve"> PAGE </w:instrText>
          </w:r>
          <w:r>
            <w:rPr>
              <w:rStyle w:val="PageNumber"/>
            </w:rPr>
            <w:fldChar w:fldCharType="separate"/>
          </w:r>
          <w:r w:rsidR="002D1997">
            <w:rPr>
              <w:rStyle w:val="PageNumber"/>
              <w:noProof/>
            </w:rPr>
            <w:t>15</w:t>
          </w:r>
          <w:r>
            <w:rPr>
              <w:rStyle w:val="PageNumber"/>
            </w:rPr>
            <w:fldChar w:fldCharType="end"/>
          </w:r>
        </w:p>
      </w:tc>
    </w:tr>
  </w:tbl>
  <w:p w:rsidR="009F71B1" w:rsidRPr="00674A36" w:rsidRDefault="009F71B1" w:rsidP="00674A36">
    <w:pPr>
      <w:pStyle w:val="Foote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9F71B1" w:rsidTr="00F32692">
      <w:trPr>
        <w:cantSplit/>
      </w:trPr>
      <w:tc>
        <w:tcPr>
          <w:tcW w:w="8789" w:type="dxa"/>
          <w:tcBorders>
            <w:bottom w:val="nil"/>
          </w:tcBorders>
          <w:vAlign w:val="center"/>
        </w:tcPr>
        <w:p w:rsidR="009F71B1" w:rsidRDefault="009F71B1" w:rsidP="00F32692">
          <w:pPr>
            <w:pStyle w:val="RectoFooter"/>
          </w:pPr>
          <w:r>
            <w:rPr>
              <w:noProof/>
              <w:lang w:eastAsia="en-NZ"/>
            </w:rPr>
            <w:drawing>
              <wp:anchor distT="0" distB="0" distL="114300" distR="114300" simplePos="0" relativeHeight="251669504" behindDoc="1" locked="0" layoutInCell="1" allowOverlap="1" wp14:anchorId="63C5A43B" wp14:editId="303A5130">
                <wp:simplePos x="0" y="0"/>
                <wp:positionH relativeFrom="column">
                  <wp:posOffset>5050155</wp:posOffset>
                </wp:positionH>
                <wp:positionV relativeFrom="paragraph">
                  <wp:posOffset>-972820</wp:posOffset>
                </wp:positionV>
                <wp:extent cx="1449705" cy="1449070"/>
                <wp:effectExtent l="0" t="0" r="0" b="0"/>
                <wp:wrapNone/>
                <wp:docPr id="3" name="Picture 3"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Advisory Committee on Assisted Reproductive Technology</w:t>
          </w:r>
          <w:r>
            <w:br/>
            <w:t>Annual Report 2013/14</w:t>
          </w:r>
        </w:p>
      </w:tc>
      <w:tc>
        <w:tcPr>
          <w:tcW w:w="709" w:type="dxa"/>
          <w:tcBorders>
            <w:top w:val="nil"/>
            <w:bottom w:val="nil"/>
          </w:tcBorders>
        </w:tcPr>
        <w:p w:rsidR="009F71B1" w:rsidRDefault="009F71B1" w:rsidP="00F32692">
          <w:pPr>
            <w:pStyle w:val="Footer"/>
            <w:jc w:val="right"/>
          </w:pPr>
          <w:r>
            <w:rPr>
              <w:rStyle w:val="PageNumber"/>
            </w:rPr>
            <w:fldChar w:fldCharType="begin"/>
          </w:r>
          <w:r>
            <w:rPr>
              <w:rStyle w:val="PageNumber"/>
            </w:rPr>
            <w:instrText xml:space="preserve"> PAGE </w:instrText>
          </w:r>
          <w:r>
            <w:rPr>
              <w:rStyle w:val="PageNumber"/>
            </w:rPr>
            <w:fldChar w:fldCharType="separate"/>
          </w:r>
          <w:r w:rsidR="002D1997">
            <w:rPr>
              <w:rStyle w:val="PageNumber"/>
              <w:noProof/>
            </w:rPr>
            <w:t>v</w:t>
          </w:r>
          <w:r>
            <w:rPr>
              <w:rStyle w:val="PageNumber"/>
            </w:rPr>
            <w:fldChar w:fldCharType="end"/>
          </w:r>
        </w:p>
      </w:tc>
    </w:tr>
  </w:tbl>
  <w:p w:rsidR="009F71B1" w:rsidRPr="002C6099" w:rsidRDefault="009F71B1" w:rsidP="002C6099">
    <w:pPr>
      <w:pStyle w:val="Foote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1B1" w:rsidRPr="00334CE6" w:rsidRDefault="009F71B1" w:rsidP="00334CE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9F71B1">
      <w:trPr>
        <w:cantSplit/>
      </w:trPr>
      <w:tc>
        <w:tcPr>
          <w:tcW w:w="8789" w:type="dxa"/>
          <w:tcBorders>
            <w:bottom w:val="nil"/>
          </w:tcBorders>
          <w:vAlign w:val="center"/>
        </w:tcPr>
        <w:p w:rsidR="009F71B1" w:rsidRDefault="009F71B1" w:rsidP="00555DD0">
          <w:pPr>
            <w:pStyle w:val="RectoFooter"/>
          </w:pPr>
          <w:r>
            <w:rPr>
              <w:noProof/>
              <w:lang w:eastAsia="en-NZ"/>
            </w:rPr>
            <w:drawing>
              <wp:anchor distT="0" distB="0" distL="114300" distR="114300" simplePos="0" relativeHeight="251662336" behindDoc="1" locked="0" layoutInCell="1" allowOverlap="1" wp14:anchorId="09D24AD6" wp14:editId="638D9F59">
                <wp:simplePos x="0" y="0"/>
                <wp:positionH relativeFrom="column">
                  <wp:posOffset>5050155</wp:posOffset>
                </wp:positionH>
                <wp:positionV relativeFrom="paragraph">
                  <wp:posOffset>-951230</wp:posOffset>
                </wp:positionV>
                <wp:extent cx="1449705" cy="1449070"/>
                <wp:effectExtent l="0" t="0" r="0" b="0"/>
                <wp:wrapNone/>
                <wp:docPr id="162" name="Picture 162"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Advisory Committee on Assisted Reproductive Technology</w:t>
          </w:r>
          <w:r>
            <w:br/>
            <w:t>Annual Report 2013/14</w:t>
          </w:r>
        </w:p>
      </w:tc>
      <w:tc>
        <w:tcPr>
          <w:tcW w:w="709" w:type="dxa"/>
          <w:tcBorders>
            <w:top w:val="nil"/>
            <w:bottom w:val="nil"/>
          </w:tcBorders>
        </w:tcPr>
        <w:p w:rsidR="009F71B1" w:rsidRDefault="009F71B1" w:rsidP="008569C6">
          <w:pPr>
            <w:pStyle w:val="Footer"/>
            <w:jc w:val="right"/>
          </w:pPr>
          <w:r>
            <w:rPr>
              <w:rStyle w:val="PageNumber"/>
            </w:rPr>
            <w:fldChar w:fldCharType="begin"/>
          </w:r>
          <w:r>
            <w:rPr>
              <w:rStyle w:val="PageNumber"/>
            </w:rPr>
            <w:instrText xml:space="preserve"> PAGE </w:instrText>
          </w:r>
          <w:r>
            <w:rPr>
              <w:rStyle w:val="PageNumber"/>
            </w:rPr>
            <w:fldChar w:fldCharType="separate"/>
          </w:r>
          <w:r w:rsidR="002D1997">
            <w:rPr>
              <w:rStyle w:val="PageNumber"/>
              <w:noProof/>
            </w:rPr>
            <w:t>vii</w:t>
          </w:r>
          <w:r>
            <w:rPr>
              <w:rStyle w:val="PageNumber"/>
            </w:rPr>
            <w:fldChar w:fldCharType="end"/>
          </w:r>
        </w:p>
      </w:tc>
    </w:tr>
  </w:tbl>
  <w:p w:rsidR="009F71B1" w:rsidRPr="002C6099" w:rsidRDefault="009F71B1" w:rsidP="002C6099">
    <w:pPr>
      <w:pStyle w:val="Foote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709" w:type="dxa"/>
      <w:tblLayout w:type="fixed"/>
      <w:tblCellMar>
        <w:left w:w="0" w:type="dxa"/>
        <w:right w:w="0" w:type="dxa"/>
      </w:tblCellMar>
      <w:tblLook w:val="01E0" w:firstRow="1" w:lastRow="1" w:firstColumn="1" w:lastColumn="1" w:noHBand="0" w:noVBand="0"/>
    </w:tblPr>
    <w:tblGrid>
      <w:gridCol w:w="709"/>
      <w:gridCol w:w="8789"/>
    </w:tblGrid>
    <w:tr w:rsidR="009F71B1">
      <w:trPr>
        <w:cantSplit/>
      </w:trPr>
      <w:tc>
        <w:tcPr>
          <w:tcW w:w="709" w:type="dxa"/>
        </w:tcPr>
        <w:p w:rsidR="009F71B1" w:rsidRDefault="009F71B1" w:rsidP="00346DCC">
          <w:pPr>
            <w:pStyle w:val="Footer"/>
          </w:pPr>
          <w:r>
            <w:rPr>
              <w:noProof/>
              <w:lang w:eastAsia="en-NZ"/>
            </w:rPr>
            <w:drawing>
              <wp:anchor distT="0" distB="0" distL="114300" distR="114300" simplePos="0" relativeHeight="251653120" behindDoc="1" locked="0" layoutInCell="1" allowOverlap="1" wp14:anchorId="559B85C8" wp14:editId="4A682E23">
                <wp:simplePos x="0" y="0"/>
                <wp:positionH relativeFrom="column">
                  <wp:posOffset>-423545</wp:posOffset>
                </wp:positionH>
                <wp:positionV relativeFrom="paragraph">
                  <wp:posOffset>-968317</wp:posOffset>
                </wp:positionV>
                <wp:extent cx="1449705" cy="1449070"/>
                <wp:effectExtent l="0" t="0" r="0" b="0"/>
                <wp:wrapNone/>
                <wp:docPr id="139" name="Picture 139"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22069" t="1118" r="1656"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PageNumber"/>
            </w:rPr>
            <w:fldChar w:fldCharType="begin"/>
          </w:r>
          <w:r>
            <w:rPr>
              <w:rStyle w:val="PageNumber"/>
            </w:rPr>
            <w:instrText xml:space="preserve"> PAGE </w:instrText>
          </w:r>
          <w:r>
            <w:rPr>
              <w:rStyle w:val="PageNumber"/>
            </w:rPr>
            <w:fldChar w:fldCharType="separate"/>
          </w:r>
          <w:r w:rsidR="002D1997">
            <w:rPr>
              <w:rStyle w:val="PageNumber"/>
              <w:noProof/>
            </w:rPr>
            <w:t>4</w:t>
          </w:r>
          <w:r>
            <w:rPr>
              <w:rStyle w:val="PageNumber"/>
            </w:rPr>
            <w:fldChar w:fldCharType="end"/>
          </w:r>
        </w:p>
      </w:tc>
      <w:tc>
        <w:tcPr>
          <w:tcW w:w="8789" w:type="dxa"/>
          <w:tcBorders>
            <w:top w:val="single" w:sz="4" w:space="0" w:color="auto"/>
          </w:tcBorders>
        </w:tcPr>
        <w:p w:rsidR="009F71B1" w:rsidRDefault="009F71B1" w:rsidP="00555DD0">
          <w:pPr>
            <w:pStyle w:val="VersoFooter"/>
          </w:pPr>
          <w:r>
            <w:t>Advisory Committee on Assisted Reproductive Technology</w:t>
          </w:r>
          <w:r>
            <w:br/>
            <w:t>Annual Report 2013/14</w:t>
          </w:r>
        </w:p>
      </w:tc>
    </w:tr>
  </w:tbl>
  <w:p w:rsidR="009F71B1" w:rsidRPr="00346DCC" w:rsidRDefault="009F71B1" w:rsidP="00346DCC">
    <w:pPr>
      <w:pStyle w:val="Foote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Borders>
        <w:top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8789"/>
      <w:gridCol w:w="709"/>
    </w:tblGrid>
    <w:tr w:rsidR="009F71B1">
      <w:trPr>
        <w:cantSplit/>
      </w:trPr>
      <w:tc>
        <w:tcPr>
          <w:tcW w:w="8789" w:type="dxa"/>
          <w:tcBorders>
            <w:bottom w:val="nil"/>
          </w:tcBorders>
          <w:vAlign w:val="center"/>
        </w:tcPr>
        <w:p w:rsidR="009F71B1" w:rsidRDefault="009F71B1" w:rsidP="00555DD0">
          <w:pPr>
            <w:pStyle w:val="RectoFooter"/>
          </w:pPr>
          <w:r>
            <w:rPr>
              <w:noProof/>
              <w:lang w:eastAsia="en-NZ"/>
            </w:rPr>
            <w:drawing>
              <wp:anchor distT="0" distB="0" distL="114300" distR="114300" simplePos="0" relativeHeight="251652096" behindDoc="1" locked="0" layoutInCell="1" allowOverlap="1" wp14:anchorId="2FF2A1E0" wp14:editId="0A38D8C8">
                <wp:simplePos x="0" y="0"/>
                <wp:positionH relativeFrom="column">
                  <wp:posOffset>5050155</wp:posOffset>
                </wp:positionH>
                <wp:positionV relativeFrom="paragraph">
                  <wp:posOffset>-929640</wp:posOffset>
                </wp:positionV>
                <wp:extent cx="1449705" cy="1449070"/>
                <wp:effectExtent l="0" t="0" r="0" b="0"/>
                <wp:wrapNone/>
                <wp:docPr id="138" name="Picture 138" descr="acart big logo for ad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acart big logo for advert"/>
                        <pic:cNvPicPr>
                          <a:picLocks noChangeAspect="1" noChangeArrowheads="1"/>
                        </pic:cNvPicPr>
                      </pic:nvPicPr>
                      <pic:blipFill>
                        <a:blip r:embed="rId1">
                          <a:extLst>
                            <a:ext uri="{28A0092B-C50C-407E-A947-70E740481C1C}">
                              <a14:useLocalDpi xmlns:a14="http://schemas.microsoft.com/office/drawing/2010/main" val="0"/>
                            </a:ext>
                          </a:extLst>
                        </a:blip>
                        <a:srcRect l="1656" t="1118" r="22069" b="26332"/>
                        <a:stretch>
                          <a:fillRect/>
                        </a:stretch>
                      </pic:blipFill>
                      <pic:spPr bwMode="auto">
                        <a:xfrm>
                          <a:off x="0" y="0"/>
                          <a:ext cx="1449705" cy="1449070"/>
                        </a:xfrm>
                        <a:prstGeom prst="rect">
                          <a:avLst/>
                        </a:prstGeom>
                        <a:noFill/>
                        <a:ln>
                          <a:noFill/>
                        </a:ln>
                      </pic:spPr>
                    </pic:pic>
                  </a:graphicData>
                </a:graphic>
                <wp14:sizeRelH relativeFrom="page">
                  <wp14:pctWidth>0</wp14:pctWidth>
                </wp14:sizeRelH>
                <wp14:sizeRelV relativeFrom="page">
                  <wp14:pctHeight>0</wp14:pctHeight>
                </wp14:sizeRelV>
              </wp:anchor>
            </w:drawing>
          </w:r>
          <w:r>
            <w:t>Advisory Committee on Assisted Reproductive Technology</w:t>
          </w:r>
          <w:r>
            <w:br/>
            <w:t>Annual Report 2013/14</w:t>
          </w:r>
        </w:p>
      </w:tc>
      <w:tc>
        <w:tcPr>
          <w:tcW w:w="709" w:type="dxa"/>
          <w:tcBorders>
            <w:top w:val="nil"/>
            <w:bottom w:val="nil"/>
          </w:tcBorders>
        </w:tcPr>
        <w:p w:rsidR="009F71B1" w:rsidRDefault="009F71B1" w:rsidP="00901C70">
          <w:pPr>
            <w:pStyle w:val="Footer"/>
            <w:jc w:val="right"/>
          </w:pPr>
          <w:r>
            <w:rPr>
              <w:rStyle w:val="PageNumber"/>
            </w:rPr>
            <w:fldChar w:fldCharType="begin"/>
          </w:r>
          <w:r>
            <w:rPr>
              <w:rStyle w:val="PageNumber"/>
            </w:rPr>
            <w:instrText xml:space="preserve"> PAGE </w:instrText>
          </w:r>
          <w:r>
            <w:rPr>
              <w:rStyle w:val="PageNumber"/>
            </w:rPr>
            <w:fldChar w:fldCharType="separate"/>
          </w:r>
          <w:r w:rsidR="002D1997">
            <w:rPr>
              <w:rStyle w:val="PageNumber"/>
              <w:noProof/>
            </w:rPr>
            <w:t>3</w:t>
          </w:r>
          <w:r>
            <w:rPr>
              <w:rStyle w:val="PageNumber"/>
            </w:rPr>
            <w:fldChar w:fldCharType="end"/>
          </w:r>
        </w:p>
      </w:tc>
    </w:tr>
  </w:tbl>
  <w:p w:rsidR="009F71B1" w:rsidRPr="004D655D" w:rsidRDefault="009F71B1">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897" w:rsidRPr="00A266FF" w:rsidRDefault="001C2897">
      <w:pPr>
        <w:rPr>
          <w:sz w:val="18"/>
          <w:szCs w:val="18"/>
        </w:rPr>
      </w:pPr>
      <w:r w:rsidRPr="00A266FF">
        <w:rPr>
          <w:sz w:val="18"/>
          <w:szCs w:val="18"/>
        </w:rPr>
        <w:separator/>
      </w:r>
    </w:p>
  </w:footnote>
  <w:footnote w:type="continuationSeparator" w:id="0">
    <w:p w:rsidR="001C2897" w:rsidRDefault="001C2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1B1" w:rsidRDefault="009F71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1B1" w:rsidRPr="003A7A1F" w:rsidRDefault="009F71B1">
    <w:pPr>
      <w:pStyle w:val="Header"/>
    </w:pPr>
    <w:r>
      <w:rPr>
        <w:noProof/>
        <w:lang w:eastAsia="en-NZ"/>
      </w:rPr>
      <w:drawing>
        <wp:anchor distT="0" distB="0" distL="114300" distR="114300" simplePos="0" relativeHeight="251649024" behindDoc="0" locked="0" layoutInCell="1" allowOverlap="1" wp14:anchorId="7AADDD4C" wp14:editId="7B0FB2A7">
          <wp:simplePos x="0" y="0"/>
          <wp:positionH relativeFrom="column">
            <wp:posOffset>-820420</wp:posOffset>
          </wp:positionH>
          <wp:positionV relativeFrom="paragraph">
            <wp:posOffset>490855</wp:posOffset>
          </wp:positionV>
          <wp:extent cx="2148205" cy="1466215"/>
          <wp:effectExtent l="0" t="0" r="4445" b="63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1B1" w:rsidRDefault="009F71B1">
    <w:pPr>
      <w:pStyle w:val="Header"/>
    </w:pPr>
    <w:r>
      <w:rPr>
        <w:noProof/>
        <w:lang w:eastAsia="en-NZ"/>
      </w:rPr>
      <w:drawing>
        <wp:anchor distT="0" distB="0" distL="114300" distR="114300" simplePos="0" relativeHeight="251654144" behindDoc="0" locked="0" layoutInCell="1" allowOverlap="1" wp14:anchorId="2D152BB1" wp14:editId="2039EECF">
          <wp:simplePos x="0" y="0"/>
          <wp:positionH relativeFrom="column">
            <wp:posOffset>-951230</wp:posOffset>
          </wp:positionH>
          <wp:positionV relativeFrom="paragraph">
            <wp:posOffset>460375</wp:posOffset>
          </wp:positionV>
          <wp:extent cx="2148205" cy="1466215"/>
          <wp:effectExtent l="0" t="0" r="4445" b="635"/>
          <wp:wrapNone/>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1B1" w:rsidRDefault="009F71B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1B1" w:rsidRDefault="009F71B1">
    <w:pPr>
      <w:pStyle w:val="Header"/>
    </w:pPr>
    <w:r>
      <w:rPr>
        <w:noProof/>
        <w:lang w:eastAsia="en-NZ"/>
      </w:rPr>
      <w:drawing>
        <wp:anchor distT="0" distB="0" distL="114300" distR="114300" simplePos="0" relativeHeight="251661312" behindDoc="0" locked="0" layoutInCell="1" allowOverlap="1" wp14:anchorId="21450CF0" wp14:editId="710E04B6">
          <wp:simplePos x="0" y="0"/>
          <wp:positionH relativeFrom="column">
            <wp:posOffset>-951230</wp:posOffset>
          </wp:positionH>
          <wp:positionV relativeFrom="paragraph">
            <wp:posOffset>460375</wp:posOffset>
          </wp:positionV>
          <wp:extent cx="2148205" cy="1466215"/>
          <wp:effectExtent l="0" t="0" r="4445" b="635"/>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1B1" w:rsidRDefault="009F71B1">
    <w:pPr>
      <w:pStyle w:val="Header"/>
    </w:pPr>
    <w:r>
      <w:rPr>
        <w:noProof/>
        <w:lang w:eastAsia="en-NZ"/>
      </w:rPr>
      <w:drawing>
        <wp:anchor distT="0" distB="0" distL="114300" distR="114300" simplePos="0" relativeHeight="251651072" behindDoc="0" locked="0" layoutInCell="1" allowOverlap="1" wp14:anchorId="19BEBE72" wp14:editId="459CEB10">
          <wp:simplePos x="0" y="0"/>
          <wp:positionH relativeFrom="column">
            <wp:posOffset>-849630</wp:posOffset>
          </wp:positionH>
          <wp:positionV relativeFrom="paragraph">
            <wp:posOffset>446405</wp:posOffset>
          </wp:positionV>
          <wp:extent cx="2148205" cy="1466215"/>
          <wp:effectExtent l="0" t="0" r="4445" b="635"/>
          <wp:wrapNone/>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8205" cy="1466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1B1" w:rsidRPr="003A7A1F" w:rsidRDefault="009F71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7D8B1A8"/>
    <w:lvl w:ilvl="0">
      <w:start w:val="1"/>
      <w:numFmt w:val="decimal"/>
      <w:lvlText w:val="%1."/>
      <w:lvlJc w:val="left"/>
      <w:pPr>
        <w:tabs>
          <w:tab w:val="num" w:pos="360"/>
        </w:tabs>
        <w:ind w:left="360" w:hanging="360"/>
      </w:pPr>
    </w:lvl>
  </w:abstractNum>
  <w:abstractNum w:abstractNumId="1">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nsid w:val="0F7824AB"/>
    <w:multiLevelType w:val="hybridMultilevel"/>
    <w:tmpl w:val="DF0083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84D044E"/>
    <w:multiLevelType w:val="hybridMultilevel"/>
    <w:tmpl w:val="9AB6E1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A346441"/>
    <w:multiLevelType w:val="hybridMultilevel"/>
    <w:tmpl w:val="3DBEF3E4"/>
    <w:lvl w:ilvl="0" w:tplc="26CA9B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FAE5125"/>
    <w:multiLevelType w:val="hybridMultilevel"/>
    <w:tmpl w:val="6AB4D3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39996C1B"/>
    <w:multiLevelType w:val="hybridMultilevel"/>
    <w:tmpl w:val="3FD89A08"/>
    <w:lvl w:ilvl="0" w:tplc="14090001">
      <w:start w:val="1"/>
      <w:numFmt w:val="bullet"/>
      <w:lvlText w:val=""/>
      <w:lvlJc w:val="left"/>
      <w:pPr>
        <w:ind w:left="720" w:hanging="360"/>
      </w:pPr>
      <w:rPr>
        <w:rFonts w:ascii="Symbol" w:hAnsi="Symbol"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CA71F78"/>
    <w:multiLevelType w:val="hybridMultilevel"/>
    <w:tmpl w:val="0D76E58A"/>
    <w:lvl w:ilvl="0" w:tplc="04090001">
      <w:start w:val="1"/>
      <w:numFmt w:val="bullet"/>
      <w:pStyle w:val="Dash"/>
      <w:lvlText w:val="–"/>
      <w:lvlJc w:val="left"/>
      <w:pPr>
        <w:tabs>
          <w:tab w:val="num" w:pos="567"/>
        </w:tabs>
        <w:ind w:left="567" w:hanging="283"/>
      </w:pPr>
      <w:rPr>
        <w:rFonts w:ascii="Arial" w:hAnsi="Aria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594184"/>
    <w:multiLevelType w:val="hybridMultilevel"/>
    <w:tmpl w:val="467C91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501C7F3C"/>
    <w:multiLevelType w:val="hybridMultilevel"/>
    <w:tmpl w:val="D226B538"/>
    <w:lvl w:ilvl="0" w:tplc="C5B8AADA">
      <w:start w:val="1"/>
      <w:numFmt w:val="bullet"/>
      <w:pStyle w:val="BoxBullet"/>
      <w:lvlText w:val=""/>
      <w:lvlJc w:val="left"/>
      <w:pPr>
        <w:tabs>
          <w:tab w:val="num" w:pos="567"/>
        </w:tabs>
        <w:ind w:left="567" w:hanging="283"/>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6CE320E"/>
    <w:multiLevelType w:val="hybridMultilevel"/>
    <w:tmpl w:val="105877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73682701"/>
    <w:multiLevelType w:val="hybridMultilevel"/>
    <w:tmpl w:val="43E4D75C"/>
    <w:lvl w:ilvl="0" w:tplc="7130B696">
      <w:numFmt w:val="bullet"/>
      <w:lvlText w:val="-"/>
      <w:lvlJc w:val="left"/>
      <w:pPr>
        <w:ind w:left="644" w:hanging="360"/>
      </w:pPr>
      <w:rPr>
        <w:rFonts w:ascii="Arial" w:eastAsia="Times New Roman" w:hAnsi="Arial" w:cs="Arial"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12">
    <w:nsid w:val="73765067"/>
    <w:multiLevelType w:val="hybridMultilevel"/>
    <w:tmpl w:val="6D34E4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7C1218D3"/>
    <w:multiLevelType w:val="singleLevel"/>
    <w:tmpl w:val="5B7E6238"/>
    <w:lvl w:ilvl="0">
      <w:start w:val="1"/>
      <w:numFmt w:val="bullet"/>
      <w:pStyle w:val="Bullet"/>
      <w:lvlText w:val=""/>
      <w:lvlJc w:val="left"/>
      <w:pPr>
        <w:tabs>
          <w:tab w:val="num" w:pos="284"/>
        </w:tabs>
        <w:ind w:left="284" w:hanging="284"/>
      </w:pPr>
      <w:rPr>
        <w:rFonts w:ascii="Symbol" w:hAnsi="Symbol" w:hint="default"/>
        <w:sz w:val="18"/>
      </w:rPr>
    </w:lvl>
  </w:abstractNum>
  <w:abstractNum w:abstractNumId="14">
    <w:nsid w:val="7FBF0610"/>
    <w:multiLevelType w:val="hybridMultilevel"/>
    <w:tmpl w:val="97F652B2"/>
    <w:lvl w:ilvl="0" w:tplc="4630263E">
      <w:numFmt w:val="bullet"/>
      <w:lvlText w:val="-"/>
      <w:lvlJc w:val="left"/>
      <w:pPr>
        <w:ind w:left="360" w:hanging="360"/>
      </w:pPr>
      <w:rPr>
        <w:rFonts w:ascii="Arial" w:eastAsia="Times New Roman"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3"/>
  </w:num>
  <w:num w:numId="2">
    <w:abstractNumId w:val="7"/>
  </w:num>
  <w:num w:numId="3">
    <w:abstractNumId w:val="1"/>
  </w:num>
  <w:num w:numId="4">
    <w:abstractNumId w:val="4"/>
  </w:num>
  <w:num w:numId="5">
    <w:abstractNumId w:val="9"/>
  </w:num>
  <w:num w:numId="6">
    <w:abstractNumId w:val="14"/>
  </w:num>
  <w:num w:numId="7">
    <w:abstractNumId w:val="6"/>
  </w:num>
  <w:num w:numId="8">
    <w:abstractNumId w:val="12"/>
  </w:num>
  <w:num w:numId="9">
    <w:abstractNumId w:val="3"/>
  </w:num>
  <w:num w:numId="10">
    <w:abstractNumId w:val="5"/>
  </w:num>
  <w:num w:numId="11">
    <w:abstractNumId w:val="10"/>
  </w:num>
  <w:num w:numId="12">
    <w:abstractNumId w:val="8"/>
  </w:num>
  <w:num w:numId="13">
    <w:abstractNumId w:val="0"/>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04167"/>
    <w:rsid w:val="0000594E"/>
    <w:rsid w:val="000101B3"/>
    <w:rsid w:val="00012B13"/>
    <w:rsid w:val="00017245"/>
    <w:rsid w:val="00023255"/>
    <w:rsid w:val="00025B72"/>
    <w:rsid w:val="00031042"/>
    <w:rsid w:val="00031920"/>
    <w:rsid w:val="00032CC4"/>
    <w:rsid w:val="0003390C"/>
    <w:rsid w:val="000340A3"/>
    <w:rsid w:val="000346B0"/>
    <w:rsid w:val="000346BB"/>
    <w:rsid w:val="00034B60"/>
    <w:rsid w:val="0003678A"/>
    <w:rsid w:val="0003739D"/>
    <w:rsid w:val="000407A2"/>
    <w:rsid w:val="0004207E"/>
    <w:rsid w:val="00045FA5"/>
    <w:rsid w:val="00047B4C"/>
    <w:rsid w:val="0005083B"/>
    <w:rsid w:val="00050E9D"/>
    <w:rsid w:val="000524EF"/>
    <w:rsid w:val="00054364"/>
    <w:rsid w:val="00055553"/>
    <w:rsid w:val="00055AB6"/>
    <w:rsid w:val="00056838"/>
    <w:rsid w:val="0006009D"/>
    <w:rsid w:val="0006012D"/>
    <w:rsid w:val="000602E4"/>
    <w:rsid w:val="00060BB1"/>
    <w:rsid w:val="000628F8"/>
    <w:rsid w:val="00062F25"/>
    <w:rsid w:val="00065ECE"/>
    <w:rsid w:val="00066C03"/>
    <w:rsid w:val="00070A6D"/>
    <w:rsid w:val="000722F1"/>
    <w:rsid w:val="00072302"/>
    <w:rsid w:val="000758CA"/>
    <w:rsid w:val="00075B78"/>
    <w:rsid w:val="00077CC2"/>
    <w:rsid w:val="00080987"/>
    <w:rsid w:val="00080C81"/>
    <w:rsid w:val="0008144A"/>
    <w:rsid w:val="00081971"/>
    <w:rsid w:val="00082B89"/>
    <w:rsid w:val="00083C84"/>
    <w:rsid w:val="000840AB"/>
    <w:rsid w:val="000844F5"/>
    <w:rsid w:val="00085B1B"/>
    <w:rsid w:val="00093A1E"/>
    <w:rsid w:val="00096277"/>
    <w:rsid w:val="00096F82"/>
    <w:rsid w:val="000971EC"/>
    <w:rsid w:val="000A3F18"/>
    <w:rsid w:val="000A4F92"/>
    <w:rsid w:val="000B4EBA"/>
    <w:rsid w:val="000B6200"/>
    <w:rsid w:val="000C082B"/>
    <w:rsid w:val="000C0994"/>
    <w:rsid w:val="000C25E4"/>
    <w:rsid w:val="000C2851"/>
    <w:rsid w:val="000C2882"/>
    <w:rsid w:val="000C3BCE"/>
    <w:rsid w:val="000C3CF0"/>
    <w:rsid w:val="000C471B"/>
    <w:rsid w:val="000C60CC"/>
    <w:rsid w:val="000C6246"/>
    <w:rsid w:val="000C7E48"/>
    <w:rsid w:val="000D16AF"/>
    <w:rsid w:val="000D459B"/>
    <w:rsid w:val="000D6D52"/>
    <w:rsid w:val="000D78C6"/>
    <w:rsid w:val="000E4B7E"/>
    <w:rsid w:val="000E4D7C"/>
    <w:rsid w:val="000E5491"/>
    <w:rsid w:val="000E6B72"/>
    <w:rsid w:val="000F0E9D"/>
    <w:rsid w:val="000F0FD7"/>
    <w:rsid w:val="000F14F0"/>
    <w:rsid w:val="000F17CD"/>
    <w:rsid w:val="000F315B"/>
    <w:rsid w:val="000F32F3"/>
    <w:rsid w:val="000F504A"/>
    <w:rsid w:val="000F53CF"/>
    <w:rsid w:val="001009AC"/>
    <w:rsid w:val="00102063"/>
    <w:rsid w:val="001051A1"/>
    <w:rsid w:val="0010541C"/>
    <w:rsid w:val="00105E83"/>
    <w:rsid w:val="00111DFD"/>
    <w:rsid w:val="00113B8E"/>
    <w:rsid w:val="00117B16"/>
    <w:rsid w:val="001305F0"/>
    <w:rsid w:val="00130BF3"/>
    <w:rsid w:val="001315D8"/>
    <w:rsid w:val="00132992"/>
    <w:rsid w:val="00133156"/>
    <w:rsid w:val="001365E1"/>
    <w:rsid w:val="001404F3"/>
    <w:rsid w:val="00143834"/>
    <w:rsid w:val="0014426F"/>
    <w:rsid w:val="00145DB9"/>
    <w:rsid w:val="00147F71"/>
    <w:rsid w:val="00151357"/>
    <w:rsid w:val="001534F9"/>
    <w:rsid w:val="00155B2C"/>
    <w:rsid w:val="0015778B"/>
    <w:rsid w:val="001630DF"/>
    <w:rsid w:val="001739F8"/>
    <w:rsid w:val="0017408E"/>
    <w:rsid w:val="001740EC"/>
    <w:rsid w:val="00174B39"/>
    <w:rsid w:val="00180061"/>
    <w:rsid w:val="001808BF"/>
    <w:rsid w:val="001823EB"/>
    <w:rsid w:val="00184390"/>
    <w:rsid w:val="001870EA"/>
    <w:rsid w:val="00187F59"/>
    <w:rsid w:val="0019134F"/>
    <w:rsid w:val="00193455"/>
    <w:rsid w:val="001943C6"/>
    <w:rsid w:val="001965FB"/>
    <w:rsid w:val="00197B7B"/>
    <w:rsid w:val="00197CE0"/>
    <w:rsid w:val="001A1F2E"/>
    <w:rsid w:val="001A1FEF"/>
    <w:rsid w:val="001A55F0"/>
    <w:rsid w:val="001A69FE"/>
    <w:rsid w:val="001A6A57"/>
    <w:rsid w:val="001A7E83"/>
    <w:rsid w:val="001B19B3"/>
    <w:rsid w:val="001B3CBA"/>
    <w:rsid w:val="001B4D16"/>
    <w:rsid w:val="001B5CE2"/>
    <w:rsid w:val="001B5EAD"/>
    <w:rsid w:val="001B7E95"/>
    <w:rsid w:val="001C07E3"/>
    <w:rsid w:val="001C2897"/>
    <w:rsid w:val="001C5C61"/>
    <w:rsid w:val="001D0E1C"/>
    <w:rsid w:val="001D0E28"/>
    <w:rsid w:val="001D0EAE"/>
    <w:rsid w:val="001D44D1"/>
    <w:rsid w:val="001D6C04"/>
    <w:rsid w:val="001E2A59"/>
    <w:rsid w:val="001E42F7"/>
    <w:rsid w:val="001E5389"/>
    <w:rsid w:val="001E5A8D"/>
    <w:rsid w:val="001F4994"/>
    <w:rsid w:val="001F4A51"/>
    <w:rsid w:val="001F525F"/>
    <w:rsid w:val="0020007A"/>
    <w:rsid w:val="002002C9"/>
    <w:rsid w:val="00200E40"/>
    <w:rsid w:val="00206894"/>
    <w:rsid w:val="00206B6E"/>
    <w:rsid w:val="002105B7"/>
    <w:rsid w:val="00211360"/>
    <w:rsid w:val="00214201"/>
    <w:rsid w:val="002142F4"/>
    <w:rsid w:val="00216457"/>
    <w:rsid w:val="00216CA0"/>
    <w:rsid w:val="00216EAA"/>
    <w:rsid w:val="00217625"/>
    <w:rsid w:val="00217BBA"/>
    <w:rsid w:val="00221234"/>
    <w:rsid w:val="00221A27"/>
    <w:rsid w:val="002220BF"/>
    <w:rsid w:val="00222A5E"/>
    <w:rsid w:val="00222D46"/>
    <w:rsid w:val="00223CEC"/>
    <w:rsid w:val="002240CF"/>
    <w:rsid w:val="00225943"/>
    <w:rsid w:val="002259ED"/>
    <w:rsid w:val="002261D2"/>
    <w:rsid w:val="00226410"/>
    <w:rsid w:val="00227244"/>
    <w:rsid w:val="002273FE"/>
    <w:rsid w:val="00231FE6"/>
    <w:rsid w:val="00232746"/>
    <w:rsid w:val="002327C4"/>
    <w:rsid w:val="00233E76"/>
    <w:rsid w:val="002348C6"/>
    <w:rsid w:val="00234D92"/>
    <w:rsid w:val="00237E7A"/>
    <w:rsid w:val="002410B3"/>
    <w:rsid w:val="002425C2"/>
    <w:rsid w:val="00243D41"/>
    <w:rsid w:val="00244374"/>
    <w:rsid w:val="002520DB"/>
    <w:rsid w:val="002528C0"/>
    <w:rsid w:val="0025362A"/>
    <w:rsid w:val="002536C9"/>
    <w:rsid w:val="00254B5C"/>
    <w:rsid w:val="00254F97"/>
    <w:rsid w:val="00255D38"/>
    <w:rsid w:val="002567C0"/>
    <w:rsid w:val="00257FF5"/>
    <w:rsid w:val="002616DF"/>
    <w:rsid w:val="0026270F"/>
    <w:rsid w:val="0026318C"/>
    <w:rsid w:val="00263A7F"/>
    <w:rsid w:val="0026423A"/>
    <w:rsid w:val="002646BE"/>
    <w:rsid w:val="00274100"/>
    <w:rsid w:val="002764CE"/>
    <w:rsid w:val="00277932"/>
    <w:rsid w:val="002806F9"/>
    <w:rsid w:val="00281220"/>
    <w:rsid w:val="00281744"/>
    <w:rsid w:val="002826DD"/>
    <w:rsid w:val="00282A22"/>
    <w:rsid w:val="00293827"/>
    <w:rsid w:val="002938F3"/>
    <w:rsid w:val="00293F5E"/>
    <w:rsid w:val="00294185"/>
    <w:rsid w:val="00294862"/>
    <w:rsid w:val="00295F04"/>
    <w:rsid w:val="00297A0A"/>
    <w:rsid w:val="002A3909"/>
    <w:rsid w:val="002A43BF"/>
    <w:rsid w:val="002A4DEB"/>
    <w:rsid w:val="002A5592"/>
    <w:rsid w:val="002A5B2E"/>
    <w:rsid w:val="002B0FFB"/>
    <w:rsid w:val="002B2978"/>
    <w:rsid w:val="002C0CED"/>
    <w:rsid w:val="002C2C93"/>
    <w:rsid w:val="002C2DD3"/>
    <w:rsid w:val="002C3107"/>
    <w:rsid w:val="002C3964"/>
    <w:rsid w:val="002C4B4F"/>
    <w:rsid w:val="002C5153"/>
    <w:rsid w:val="002C5C48"/>
    <w:rsid w:val="002C6099"/>
    <w:rsid w:val="002D18EE"/>
    <w:rsid w:val="002D1997"/>
    <w:rsid w:val="002D20EC"/>
    <w:rsid w:val="002D2C0B"/>
    <w:rsid w:val="002D2DA0"/>
    <w:rsid w:val="002D50B5"/>
    <w:rsid w:val="002D661E"/>
    <w:rsid w:val="002D7C75"/>
    <w:rsid w:val="002E192B"/>
    <w:rsid w:val="002E2723"/>
    <w:rsid w:val="002E3C31"/>
    <w:rsid w:val="002E4A55"/>
    <w:rsid w:val="002E53E0"/>
    <w:rsid w:val="002E7298"/>
    <w:rsid w:val="002E7817"/>
    <w:rsid w:val="002E7A2B"/>
    <w:rsid w:val="002F16C0"/>
    <w:rsid w:val="002F174D"/>
    <w:rsid w:val="002F3B29"/>
    <w:rsid w:val="002F3E83"/>
    <w:rsid w:val="002F7D23"/>
    <w:rsid w:val="00301293"/>
    <w:rsid w:val="0030530B"/>
    <w:rsid w:val="003064D5"/>
    <w:rsid w:val="00307183"/>
    <w:rsid w:val="003071A7"/>
    <w:rsid w:val="0031000E"/>
    <w:rsid w:val="003105A7"/>
    <w:rsid w:val="0031151F"/>
    <w:rsid w:val="003131EA"/>
    <w:rsid w:val="003167E6"/>
    <w:rsid w:val="0032125F"/>
    <w:rsid w:val="00322C73"/>
    <w:rsid w:val="00323C38"/>
    <w:rsid w:val="003245ED"/>
    <w:rsid w:val="00326E38"/>
    <w:rsid w:val="0033055A"/>
    <w:rsid w:val="00330827"/>
    <w:rsid w:val="00330A6D"/>
    <w:rsid w:val="00331920"/>
    <w:rsid w:val="0033217F"/>
    <w:rsid w:val="00333926"/>
    <w:rsid w:val="003340F7"/>
    <w:rsid w:val="00334CE6"/>
    <w:rsid w:val="003354E5"/>
    <w:rsid w:val="00341393"/>
    <w:rsid w:val="00344836"/>
    <w:rsid w:val="00344C30"/>
    <w:rsid w:val="00346DCC"/>
    <w:rsid w:val="003474CE"/>
    <w:rsid w:val="003500EC"/>
    <w:rsid w:val="00354772"/>
    <w:rsid w:val="003564F8"/>
    <w:rsid w:val="00357669"/>
    <w:rsid w:val="00360255"/>
    <w:rsid w:val="00360A11"/>
    <w:rsid w:val="003638AF"/>
    <w:rsid w:val="003702B1"/>
    <w:rsid w:val="00370BDB"/>
    <w:rsid w:val="00372576"/>
    <w:rsid w:val="003734FE"/>
    <w:rsid w:val="00373C3E"/>
    <w:rsid w:val="003772FC"/>
    <w:rsid w:val="00380488"/>
    <w:rsid w:val="0038186F"/>
    <w:rsid w:val="003861C6"/>
    <w:rsid w:val="00387394"/>
    <w:rsid w:val="00391808"/>
    <w:rsid w:val="00393996"/>
    <w:rsid w:val="003954EA"/>
    <w:rsid w:val="0039567B"/>
    <w:rsid w:val="00395E44"/>
    <w:rsid w:val="003974B1"/>
    <w:rsid w:val="00397508"/>
    <w:rsid w:val="003A05B6"/>
    <w:rsid w:val="003A3152"/>
    <w:rsid w:val="003A534C"/>
    <w:rsid w:val="003A5FEA"/>
    <w:rsid w:val="003A6C30"/>
    <w:rsid w:val="003A7A1F"/>
    <w:rsid w:val="003B03D5"/>
    <w:rsid w:val="003B0C7C"/>
    <w:rsid w:val="003B4F35"/>
    <w:rsid w:val="003C24DE"/>
    <w:rsid w:val="003C3BB9"/>
    <w:rsid w:val="003C55A4"/>
    <w:rsid w:val="003C648C"/>
    <w:rsid w:val="003C6D2F"/>
    <w:rsid w:val="003D1083"/>
    <w:rsid w:val="003D2981"/>
    <w:rsid w:val="003D3C0A"/>
    <w:rsid w:val="003D3DA0"/>
    <w:rsid w:val="003D59CF"/>
    <w:rsid w:val="003D59D4"/>
    <w:rsid w:val="003E1478"/>
    <w:rsid w:val="003E17EB"/>
    <w:rsid w:val="003E2816"/>
    <w:rsid w:val="003E2B3F"/>
    <w:rsid w:val="003E4074"/>
    <w:rsid w:val="003E538D"/>
    <w:rsid w:val="003E5C78"/>
    <w:rsid w:val="003F1542"/>
    <w:rsid w:val="003F3F16"/>
    <w:rsid w:val="003F4E26"/>
    <w:rsid w:val="0040044C"/>
    <w:rsid w:val="00400A52"/>
    <w:rsid w:val="00400E4D"/>
    <w:rsid w:val="00400E7E"/>
    <w:rsid w:val="00400EA3"/>
    <w:rsid w:val="0040122D"/>
    <w:rsid w:val="00401AAA"/>
    <w:rsid w:val="004030BE"/>
    <w:rsid w:val="00415CA1"/>
    <w:rsid w:val="00417481"/>
    <w:rsid w:val="00420164"/>
    <w:rsid w:val="0042156C"/>
    <w:rsid w:val="00424C9F"/>
    <w:rsid w:val="004250B5"/>
    <w:rsid w:val="00425FAB"/>
    <w:rsid w:val="00427C0F"/>
    <w:rsid w:val="00427FFD"/>
    <w:rsid w:val="00432622"/>
    <w:rsid w:val="00433A87"/>
    <w:rsid w:val="00433AEC"/>
    <w:rsid w:val="00435A6E"/>
    <w:rsid w:val="00436D26"/>
    <w:rsid w:val="0043769E"/>
    <w:rsid w:val="00437980"/>
    <w:rsid w:val="00437A90"/>
    <w:rsid w:val="00437DF3"/>
    <w:rsid w:val="004427B2"/>
    <w:rsid w:val="004432F3"/>
    <w:rsid w:val="00444B0F"/>
    <w:rsid w:val="0044646C"/>
    <w:rsid w:val="00447961"/>
    <w:rsid w:val="00451597"/>
    <w:rsid w:val="00451D4F"/>
    <w:rsid w:val="004531A4"/>
    <w:rsid w:val="0045422A"/>
    <w:rsid w:val="004545E6"/>
    <w:rsid w:val="00460536"/>
    <w:rsid w:val="00460C0B"/>
    <w:rsid w:val="00462244"/>
    <w:rsid w:val="00462EA3"/>
    <w:rsid w:val="00464D34"/>
    <w:rsid w:val="00465A2F"/>
    <w:rsid w:val="0046721E"/>
    <w:rsid w:val="00470ED2"/>
    <w:rsid w:val="00476C69"/>
    <w:rsid w:val="00482865"/>
    <w:rsid w:val="00486D31"/>
    <w:rsid w:val="00487A54"/>
    <w:rsid w:val="00487E0F"/>
    <w:rsid w:val="00492664"/>
    <w:rsid w:val="0049339C"/>
    <w:rsid w:val="004A4DB5"/>
    <w:rsid w:val="004A6559"/>
    <w:rsid w:val="004B5033"/>
    <w:rsid w:val="004B547A"/>
    <w:rsid w:val="004B5C83"/>
    <w:rsid w:val="004B6F05"/>
    <w:rsid w:val="004B77F8"/>
    <w:rsid w:val="004B7BC9"/>
    <w:rsid w:val="004B7F5D"/>
    <w:rsid w:val="004C2620"/>
    <w:rsid w:val="004C2761"/>
    <w:rsid w:val="004C489E"/>
    <w:rsid w:val="004C5EC9"/>
    <w:rsid w:val="004D5C25"/>
    <w:rsid w:val="004D6255"/>
    <w:rsid w:val="004D655D"/>
    <w:rsid w:val="004E12E1"/>
    <w:rsid w:val="004E1356"/>
    <w:rsid w:val="004E1B4E"/>
    <w:rsid w:val="004E7AC8"/>
    <w:rsid w:val="004F1741"/>
    <w:rsid w:val="004F3BA3"/>
    <w:rsid w:val="004F6013"/>
    <w:rsid w:val="00501613"/>
    <w:rsid w:val="00501820"/>
    <w:rsid w:val="00501DAD"/>
    <w:rsid w:val="00501F2E"/>
    <w:rsid w:val="0050635B"/>
    <w:rsid w:val="00507904"/>
    <w:rsid w:val="0051117B"/>
    <w:rsid w:val="00512954"/>
    <w:rsid w:val="005150CA"/>
    <w:rsid w:val="005204B1"/>
    <w:rsid w:val="00520C79"/>
    <w:rsid w:val="00521CA9"/>
    <w:rsid w:val="005234B3"/>
    <w:rsid w:val="0052370B"/>
    <w:rsid w:val="00527D8D"/>
    <w:rsid w:val="00530A25"/>
    <w:rsid w:val="00533AE3"/>
    <w:rsid w:val="005356F8"/>
    <w:rsid w:val="0053577C"/>
    <w:rsid w:val="00540048"/>
    <w:rsid w:val="00540EB8"/>
    <w:rsid w:val="005421A6"/>
    <w:rsid w:val="00543813"/>
    <w:rsid w:val="00543A52"/>
    <w:rsid w:val="005504AD"/>
    <w:rsid w:val="00553FE0"/>
    <w:rsid w:val="0055423F"/>
    <w:rsid w:val="005548AF"/>
    <w:rsid w:val="00555DD0"/>
    <w:rsid w:val="00557BF3"/>
    <w:rsid w:val="00570F40"/>
    <w:rsid w:val="00571BD3"/>
    <w:rsid w:val="00572B6C"/>
    <w:rsid w:val="00577808"/>
    <w:rsid w:val="00577BC4"/>
    <w:rsid w:val="0058146F"/>
    <w:rsid w:val="00585D4F"/>
    <w:rsid w:val="00586A58"/>
    <w:rsid w:val="00586B2E"/>
    <w:rsid w:val="00586E5C"/>
    <w:rsid w:val="005908B5"/>
    <w:rsid w:val="005910F3"/>
    <w:rsid w:val="00592151"/>
    <w:rsid w:val="00595C90"/>
    <w:rsid w:val="00595FE7"/>
    <w:rsid w:val="005961D0"/>
    <w:rsid w:val="00597821"/>
    <w:rsid w:val="005A14C3"/>
    <w:rsid w:val="005A4E01"/>
    <w:rsid w:val="005A5EF2"/>
    <w:rsid w:val="005A6244"/>
    <w:rsid w:val="005B44B3"/>
    <w:rsid w:val="005C1CD1"/>
    <w:rsid w:val="005C4EE6"/>
    <w:rsid w:val="005C51D6"/>
    <w:rsid w:val="005C59C1"/>
    <w:rsid w:val="005C61B9"/>
    <w:rsid w:val="005C762F"/>
    <w:rsid w:val="005D79FF"/>
    <w:rsid w:val="005E3B54"/>
    <w:rsid w:val="005E47B7"/>
    <w:rsid w:val="005F47FD"/>
    <w:rsid w:val="005F4B1B"/>
    <w:rsid w:val="00606768"/>
    <w:rsid w:val="00610BAA"/>
    <w:rsid w:val="00613F26"/>
    <w:rsid w:val="006178E7"/>
    <w:rsid w:val="00617F1D"/>
    <w:rsid w:val="0062080D"/>
    <w:rsid w:val="00620B61"/>
    <w:rsid w:val="00627E00"/>
    <w:rsid w:val="00633034"/>
    <w:rsid w:val="00633DBC"/>
    <w:rsid w:val="006350D3"/>
    <w:rsid w:val="00640042"/>
    <w:rsid w:val="0064071C"/>
    <w:rsid w:val="00643A6C"/>
    <w:rsid w:val="00646500"/>
    <w:rsid w:val="00646518"/>
    <w:rsid w:val="00647EA9"/>
    <w:rsid w:val="006524CC"/>
    <w:rsid w:val="00653A55"/>
    <w:rsid w:val="00654602"/>
    <w:rsid w:val="006550E5"/>
    <w:rsid w:val="006579E6"/>
    <w:rsid w:val="00660AC4"/>
    <w:rsid w:val="0066282C"/>
    <w:rsid w:val="00674549"/>
    <w:rsid w:val="00674A36"/>
    <w:rsid w:val="006773C9"/>
    <w:rsid w:val="00683A8B"/>
    <w:rsid w:val="00684219"/>
    <w:rsid w:val="00684AB7"/>
    <w:rsid w:val="006917CA"/>
    <w:rsid w:val="00694895"/>
    <w:rsid w:val="006A0FF8"/>
    <w:rsid w:val="006A17F5"/>
    <w:rsid w:val="006A2C16"/>
    <w:rsid w:val="006A4E6D"/>
    <w:rsid w:val="006A4FE5"/>
    <w:rsid w:val="006B0834"/>
    <w:rsid w:val="006B26BB"/>
    <w:rsid w:val="006B4509"/>
    <w:rsid w:val="006B45CA"/>
    <w:rsid w:val="006B570A"/>
    <w:rsid w:val="006B7C09"/>
    <w:rsid w:val="006C2B40"/>
    <w:rsid w:val="006C3777"/>
    <w:rsid w:val="006C3B5A"/>
    <w:rsid w:val="006C468F"/>
    <w:rsid w:val="006C4D31"/>
    <w:rsid w:val="006C59A9"/>
    <w:rsid w:val="006C78EB"/>
    <w:rsid w:val="006D0663"/>
    <w:rsid w:val="006D1660"/>
    <w:rsid w:val="006D2758"/>
    <w:rsid w:val="006E3328"/>
    <w:rsid w:val="006E75E7"/>
    <w:rsid w:val="006F0CC6"/>
    <w:rsid w:val="006F4AF7"/>
    <w:rsid w:val="006F4EF4"/>
    <w:rsid w:val="006F5130"/>
    <w:rsid w:val="006F6FF8"/>
    <w:rsid w:val="006F7144"/>
    <w:rsid w:val="006F7172"/>
    <w:rsid w:val="0070080E"/>
    <w:rsid w:val="007009FD"/>
    <w:rsid w:val="00701E59"/>
    <w:rsid w:val="00702854"/>
    <w:rsid w:val="0070358F"/>
    <w:rsid w:val="00705BAA"/>
    <w:rsid w:val="00707E57"/>
    <w:rsid w:val="0071173B"/>
    <w:rsid w:val="00711C29"/>
    <w:rsid w:val="00714513"/>
    <w:rsid w:val="00722ACA"/>
    <w:rsid w:val="00723B82"/>
    <w:rsid w:val="0072790C"/>
    <w:rsid w:val="00740899"/>
    <w:rsid w:val="00741713"/>
    <w:rsid w:val="00744446"/>
    <w:rsid w:val="00744DC3"/>
    <w:rsid w:val="007458CC"/>
    <w:rsid w:val="00746D63"/>
    <w:rsid w:val="007519EC"/>
    <w:rsid w:val="00755896"/>
    <w:rsid w:val="00757EA3"/>
    <w:rsid w:val="00762781"/>
    <w:rsid w:val="00762F00"/>
    <w:rsid w:val="007641B0"/>
    <w:rsid w:val="00764428"/>
    <w:rsid w:val="00765BD4"/>
    <w:rsid w:val="00774632"/>
    <w:rsid w:val="00775329"/>
    <w:rsid w:val="0078113D"/>
    <w:rsid w:val="007821E2"/>
    <w:rsid w:val="007850C6"/>
    <w:rsid w:val="00787792"/>
    <w:rsid w:val="0078796A"/>
    <w:rsid w:val="00790A9D"/>
    <w:rsid w:val="00791756"/>
    <w:rsid w:val="007920E1"/>
    <w:rsid w:val="00795B34"/>
    <w:rsid w:val="00795D7A"/>
    <w:rsid w:val="00796AE8"/>
    <w:rsid w:val="007A1A9D"/>
    <w:rsid w:val="007A2585"/>
    <w:rsid w:val="007A3B83"/>
    <w:rsid w:val="007A40DC"/>
    <w:rsid w:val="007A65C0"/>
    <w:rsid w:val="007A6777"/>
    <w:rsid w:val="007A69BE"/>
    <w:rsid w:val="007A6C36"/>
    <w:rsid w:val="007A7018"/>
    <w:rsid w:val="007A79E5"/>
    <w:rsid w:val="007A7EBA"/>
    <w:rsid w:val="007B0666"/>
    <w:rsid w:val="007B2A30"/>
    <w:rsid w:val="007B2F5E"/>
    <w:rsid w:val="007B4A70"/>
    <w:rsid w:val="007B79D3"/>
    <w:rsid w:val="007C61D7"/>
    <w:rsid w:val="007D0056"/>
    <w:rsid w:val="007D0BAB"/>
    <w:rsid w:val="007D2AA0"/>
    <w:rsid w:val="007D3A25"/>
    <w:rsid w:val="007E404D"/>
    <w:rsid w:val="007E4C68"/>
    <w:rsid w:val="007E6A82"/>
    <w:rsid w:val="007E760E"/>
    <w:rsid w:val="007E771B"/>
    <w:rsid w:val="007E79A5"/>
    <w:rsid w:val="007F0698"/>
    <w:rsid w:val="007F09B1"/>
    <w:rsid w:val="007F4738"/>
    <w:rsid w:val="007F7352"/>
    <w:rsid w:val="007F74CE"/>
    <w:rsid w:val="00800798"/>
    <w:rsid w:val="008068C5"/>
    <w:rsid w:val="00806D9C"/>
    <w:rsid w:val="0081279B"/>
    <w:rsid w:val="00813AE0"/>
    <w:rsid w:val="00814540"/>
    <w:rsid w:val="00814728"/>
    <w:rsid w:val="008167F3"/>
    <w:rsid w:val="00816F7F"/>
    <w:rsid w:val="0082122B"/>
    <w:rsid w:val="00821519"/>
    <w:rsid w:val="00823CE2"/>
    <w:rsid w:val="00826A02"/>
    <w:rsid w:val="008274A3"/>
    <w:rsid w:val="00827DFA"/>
    <w:rsid w:val="008305E8"/>
    <w:rsid w:val="00830C3B"/>
    <w:rsid w:val="00832951"/>
    <w:rsid w:val="00836151"/>
    <w:rsid w:val="008373A0"/>
    <w:rsid w:val="00843B54"/>
    <w:rsid w:val="0084579F"/>
    <w:rsid w:val="00846795"/>
    <w:rsid w:val="00851030"/>
    <w:rsid w:val="008569C6"/>
    <w:rsid w:val="008608FD"/>
    <w:rsid w:val="008609E1"/>
    <w:rsid w:val="008633F6"/>
    <w:rsid w:val="00863649"/>
    <w:rsid w:val="00863CEB"/>
    <w:rsid w:val="008662BF"/>
    <w:rsid w:val="0086661B"/>
    <w:rsid w:val="0087141F"/>
    <w:rsid w:val="00872104"/>
    <w:rsid w:val="00872F0B"/>
    <w:rsid w:val="00873AB0"/>
    <w:rsid w:val="00877213"/>
    <w:rsid w:val="0088119F"/>
    <w:rsid w:val="00886D8F"/>
    <w:rsid w:val="00890B52"/>
    <w:rsid w:val="0089168B"/>
    <w:rsid w:val="00891BBA"/>
    <w:rsid w:val="0089433B"/>
    <w:rsid w:val="008A3380"/>
    <w:rsid w:val="008A3E15"/>
    <w:rsid w:val="008A4448"/>
    <w:rsid w:val="008A6911"/>
    <w:rsid w:val="008A6C45"/>
    <w:rsid w:val="008A7162"/>
    <w:rsid w:val="008A7203"/>
    <w:rsid w:val="008B0FF2"/>
    <w:rsid w:val="008B1719"/>
    <w:rsid w:val="008B2A51"/>
    <w:rsid w:val="008B4384"/>
    <w:rsid w:val="008B7427"/>
    <w:rsid w:val="008C34D8"/>
    <w:rsid w:val="008C4A48"/>
    <w:rsid w:val="008C4E3E"/>
    <w:rsid w:val="008C51EC"/>
    <w:rsid w:val="008C6534"/>
    <w:rsid w:val="008C77F7"/>
    <w:rsid w:val="008D23CE"/>
    <w:rsid w:val="008D4A59"/>
    <w:rsid w:val="008D50C5"/>
    <w:rsid w:val="008D6A05"/>
    <w:rsid w:val="008E181C"/>
    <w:rsid w:val="008E1E58"/>
    <w:rsid w:val="008E3453"/>
    <w:rsid w:val="008E5A5B"/>
    <w:rsid w:val="008E72FD"/>
    <w:rsid w:val="008F2609"/>
    <w:rsid w:val="008F35E3"/>
    <w:rsid w:val="008F4564"/>
    <w:rsid w:val="008F6B2F"/>
    <w:rsid w:val="008F72AA"/>
    <w:rsid w:val="0090069B"/>
    <w:rsid w:val="00900FD1"/>
    <w:rsid w:val="00901C70"/>
    <w:rsid w:val="009023F7"/>
    <w:rsid w:val="009026D8"/>
    <w:rsid w:val="00902F55"/>
    <w:rsid w:val="00910F0D"/>
    <w:rsid w:val="0091536D"/>
    <w:rsid w:val="00921037"/>
    <w:rsid w:val="0092110A"/>
    <w:rsid w:val="00922AD1"/>
    <w:rsid w:val="00923968"/>
    <w:rsid w:val="00923B03"/>
    <w:rsid w:val="00924BB9"/>
    <w:rsid w:val="009255EA"/>
    <w:rsid w:val="00926451"/>
    <w:rsid w:val="0092691A"/>
    <w:rsid w:val="00931004"/>
    <w:rsid w:val="00931B6A"/>
    <w:rsid w:val="00932D69"/>
    <w:rsid w:val="00933377"/>
    <w:rsid w:val="009339C1"/>
    <w:rsid w:val="00933EE6"/>
    <w:rsid w:val="00941EE6"/>
    <w:rsid w:val="00941F79"/>
    <w:rsid w:val="00942AD9"/>
    <w:rsid w:val="00942B4C"/>
    <w:rsid w:val="009467E6"/>
    <w:rsid w:val="00950BDD"/>
    <w:rsid w:val="00950E7A"/>
    <w:rsid w:val="009531C4"/>
    <w:rsid w:val="0095451D"/>
    <w:rsid w:val="00955858"/>
    <w:rsid w:val="009573D0"/>
    <w:rsid w:val="009578CB"/>
    <w:rsid w:val="00957FA7"/>
    <w:rsid w:val="00961E13"/>
    <w:rsid w:val="0096438A"/>
    <w:rsid w:val="00964826"/>
    <w:rsid w:val="00967274"/>
    <w:rsid w:val="00970173"/>
    <w:rsid w:val="009704D0"/>
    <w:rsid w:val="0097275F"/>
    <w:rsid w:val="009727BB"/>
    <w:rsid w:val="00972C95"/>
    <w:rsid w:val="00974AF8"/>
    <w:rsid w:val="00975BF0"/>
    <w:rsid w:val="009826D1"/>
    <w:rsid w:val="0098354C"/>
    <w:rsid w:val="009845AD"/>
    <w:rsid w:val="009867B1"/>
    <w:rsid w:val="009907AF"/>
    <w:rsid w:val="0099189C"/>
    <w:rsid w:val="00991FE9"/>
    <w:rsid w:val="00992207"/>
    <w:rsid w:val="00992F43"/>
    <w:rsid w:val="0099413A"/>
    <w:rsid w:val="009A32D5"/>
    <w:rsid w:val="009A3796"/>
    <w:rsid w:val="009A3D74"/>
    <w:rsid w:val="009A62B2"/>
    <w:rsid w:val="009A694F"/>
    <w:rsid w:val="009B4DFE"/>
    <w:rsid w:val="009B7963"/>
    <w:rsid w:val="009B7BBB"/>
    <w:rsid w:val="009C0ABC"/>
    <w:rsid w:val="009C2CC7"/>
    <w:rsid w:val="009C2E91"/>
    <w:rsid w:val="009C5588"/>
    <w:rsid w:val="009C5B87"/>
    <w:rsid w:val="009C66A0"/>
    <w:rsid w:val="009D06F3"/>
    <w:rsid w:val="009D094B"/>
    <w:rsid w:val="009D3062"/>
    <w:rsid w:val="009D60B8"/>
    <w:rsid w:val="009D7813"/>
    <w:rsid w:val="009E057C"/>
    <w:rsid w:val="009E1A7A"/>
    <w:rsid w:val="009E5069"/>
    <w:rsid w:val="009E6B6B"/>
    <w:rsid w:val="009F14FB"/>
    <w:rsid w:val="009F21BE"/>
    <w:rsid w:val="009F48DD"/>
    <w:rsid w:val="009F4ECD"/>
    <w:rsid w:val="009F6CA4"/>
    <w:rsid w:val="009F71B1"/>
    <w:rsid w:val="009F7589"/>
    <w:rsid w:val="00A00B5B"/>
    <w:rsid w:val="00A01CE1"/>
    <w:rsid w:val="00A0344C"/>
    <w:rsid w:val="00A04D6C"/>
    <w:rsid w:val="00A07478"/>
    <w:rsid w:val="00A07844"/>
    <w:rsid w:val="00A11C12"/>
    <w:rsid w:val="00A140F5"/>
    <w:rsid w:val="00A1469E"/>
    <w:rsid w:val="00A153CF"/>
    <w:rsid w:val="00A160F8"/>
    <w:rsid w:val="00A17300"/>
    <w:rsid w:val="00A213CF"/>
    <w:rsid w:val="00A23643"/>
    <w:rsid w:val="00A24E20"/>
    <w:rsid w:val="00A25340"/>
    <w:rsid w:val="00A25596"/>
    <w:rsid w:val="00A266FF"/>
    <w:rsid w:val="00A27145"/>
    <w:rsid w:val="00A27BC9"/>
    <w:rsid w:val="00A30AB9"/>
    <w:rsid w:val="00A32300"/>
    <w:rsid w:val="00A33CFB"/>
    <w:rsid w:val="00A361AD"/>
    <w:rsid w:val="00A368B8"/>
    <w:rsid w:val="00A36CF6"/>
    <w:rsid w:val="00A413B3"/>
    <w:rsid w:val="00A42407"/>
    <w:rsid w:val="00A43C4F"/>
    <w:rsid w:val="00A43DA4"/>
    <w:rsid w:val="00A43E96"/>
    <w:rsid w:val="00A46DD3"/>
    <w:rsid w:val="00A46F45"/>
    <w:rsid w:val="00A47BD1"/>
    <w:rsid w:val="00A528EF"/>
    <w:rsid w:val="00A53FBB"/>
    <w:rsid w:val="00A5495A"/>
    <w:rsid w:val="00A553CE"/>
    <w:rsid w:val="00A601F7"/>
    <w:rsid w:val="00A60B25"/>
    <w:rsid w:val="00A61BD8"/>
    <w:rsid w:val="00A622B2"/>
    <w:rsid w:val="00A62EF2"/>
    <w:rsid w:val="00A644DC"/>
    <w:rsid w:val="00A66034"/>
    <w:rsid w:val="00A66E63"/>
    <w:rsid w:val="00A66F56"/>
    <w:rsid w:val="00A673D2"/>
    <w:rsid w:val="00A67D74"/>
    <w:rsid w:val="00A72839"/>
    <w:rsid w:val="00A74021"/>
    <w:rsid w:val="00A812BF"/>
    <w:rsid w:val="00A81518"/>
    <w:rsid w:val="00A829FE"/>
    <w:rsid w:val="00A853C3"/>
    <w:rsid w:val="00A86805"/>
    <w:rsid w:val="00A923E6"/>
    <w:rsid w:val="00A92579"/>
    <w:rsid w:val="00A93AEE"/>
    <w:rsid w:val="00A94E71"/>
    <w:rsid w:val="00A953D2"/>
    <w:rsid w:val="00A953EB"/>
    <w:rsid w:val="00AA0D2C"/>
    <w:rsid w:val="00AA1C9C"/>
    <w:rsid w:val="00AA4A1D"/>
    <w:rsid w:val="00AB2C51"/>
    <w:rsid w:val="00AB5E9E"/>
    <w:rsid w:val="00AB73A4"/>
    <w:rsid w:val="00AB768C"/>
    <w:rsid w:val="00AC0095"/>
    <w:rsid w:val="00AC4CDB"/>
    <w:rsid w:val="00AC6D7D"/>
    <w:rsid w:val="00AC78DA"/>
    <w:rsid w:val="00AD1229"/>
    <w:rsid w:val="00AD14A4"/>
    <w:rsid w:val="00AD18C2"/>
    <w:rsid w:val="00AD1EDC"/>
    <w:rsid w:val="00AD1F44"/>
    <w:rsid w:val="00AD2486"/>
    <w:rsid w:val="00AD31DB"/>
    <w:rsid w:val="00AD3518"/>
    <w:rsid w:val="00AD419F"/>
    <w:rsid w:val="00AD7355"/>
    <w:rsid w:val="00AE274F"/>
    <w:rsid w:val="00AE55FB"/>
    <w:rsid w:val="00AE6D04"/>
    <w:rsid w:val="00AF17F7"/>
    <w:rsid w:val="00AF61B2"/>
    <w:rsid w:val="00B004E1"/>
    <w:rsid w:val="00B022AA"/>
    <w:rsid w:val="00B0327B"/>
    <w:rsid w:val="00B07033"/>
    <w:rsid w:val="00B12013"/>
    <w:rsid w:val="00B13534"/>
    <w:rsid w:val="00B13D1F"/>
    <w:rsid w:val="00B14DAF"/>
    <w:rsid w:val="00B150A9"/>
    <w:rsid w:val="00B204A1"/>
    <w:rsid w:val="00B230E6"/>
    <w:rsid w:val="00B234DD"/>
    <w:rsid w:val="00B236BF"/>
    <w:rsid w:val="00B23CE8"/>
    <w:rsid w:val="00B25428"/>
    <w:rsid w:val="00B27691"/>
    <w:rsid w:val="00B324AA"/>
    <w:rsid w:val="00B32760"/>
    <w:rsid w:val="00B3488A"/>
    <w:rsid w:val="00B3628F"/>
    <w:rsid w:val="00B3711F"/>
    <w:rsid w:val="00B40ABB"/>
    <w:rsid w:val="00B43306"/>
    <w:rsid w:val="00B43CD9"/>
    <w:rsid w:val="00B4646F"/>
    <w:rsid w:val="00B46D09"/>
    <w:rsid w:val="00B474BD"/>
    <w:rsid w:val="00B475B6"/>
    <w:rsid w:val="00B47AB7"/>
    <w:rsid w:val="00B50FA1"/>
    <w:rsid w:val="00B52846"/>
    <w:rsid w:val="00B5311F"/>
    <w:rsid w:val="00B53F3E"/>
    <w:rsid w:val="00B55BD4"/>
    <w:rsid w:val="00B60558"/>
    <w:rsid w:val="00B61609"/>
    <w:rsid w:val="00B625D3"/>
    <w:rsid w:val="00B67049"/>
    <w:rsid w:val="00B71557"/>
    <w:rsid w:val="00B722DA"/>
    <w:rsid w:val="00B73632"/>
    <w:rsid w:val="00B74C71"/>
    <w:rsid w:val="00B7551A"/>
    <w:rsid w:val="00B7577C"/>
    <w:rsid w:val="00B75F2D"/>
    <w:rsid w:val="00B7602B"/>
    <w:rsid w:val="00B82946"/>
    <w:rsid w:val="00B83DF5"/>
    <w:rsid w:val="00B86478"/>
    <w:rsid w:val="00B86BCA"/>
    <w:rsid w:val="00B87460"/>
    <w:rsid w:val="00B92F20"/>
    <w:rsid w:val="00B940B5"/>
    <w:rsid w:val="00B947DB"/>
    <w:rsid w:val="00B96EA4"/>
    <w:rsid w:val="00B96F53"/>
    <w:rsid w:val="00B97D92"/>
    <w:rsid w:val="00BA5D89"/>
    <w:rsid w:val="00BB0ACF"/>
    <w:rsid w:val="00BB27A2"/>
    <w:rsid w:val="00BB3299"/>
    <w:rsid w:val="00BB5F3D"/>
    <w:rsid w:val="00BC2683"/>
    <w:rsid w:val="00BC43F9"/>
    <w:rsid w:val="00BD339D"/>
    <w:rsid w:val="00BD3ADD"/>
    <w:rsid w:val="00BD3EF0"/>
    <w:rsid w:val="00BD6DE2"/>
    <w:rsid w:val="00BD781A"/>
    <w:rsid w:val="00BE00F4"/>
    <w:rsid w:val="00BE08DC"/>
    <w:rsid w:val="00BE1DB9"/>
    <w:rsid w:val="00BE34D5"/>
    <w:rsid w:val="00BE5C7E"/>
    <w:rsid w:val="00BF2155"/>
    <w:rsid w:val="00BF6068"/>
    <w:rsid w:val="00C01607"/>
    <w:rsid w:val="00C02DF7"/>
    <w:rsid w:val="00C03766"/>
    <w:rsid w:val="00C12275"/>
    <w:rsid w:val="00C125E1"/>
    <w:rsid w:val="00C177BA"/>
    <w:rsid w:val="00C20CC0"/>
    <w:rsid w:val="00C22E9E"/>
    <w:rsid w:val="00C25247"/>
    <w:rsid w:val="00C25F66"/>
    <w:rsid w:val="00C31649"/>
    <w:rsid w:val="00C32F5F"/>
    <w:rsid w:val="00C372F7"/>
    <w:rsid w:val="00C37C3C"/>
    <w:rsid w:val="00C40C4C"/>
    <w:rsid w:val="00C41C32"/>
    <w:rsid w:val="00C42A4C"/>
    <w:rsid w:val="00C51606"/>
    <w:rsid w:val="00C53FDC"/>
    <w:rsid w:val="00C6126B"/>
    <w:rsid w:val="00C619F6"/>
    <w:rsid w:val="00C63424"/>
    <w:rsid w:val="00C663D2"/>
    <w:rsid w:val="00C70865"/>
    <w:rsid w:val="00C7149F"/>
    <w:rsid w:val="00C71E30"/>
    <w:rsid w:val="00C73967"/>
    <w:rsid w:val="00C75C6E"/>
    <w:rsid w:val="00C821C8"/>
    <w:rsid w:val="00C861C8"/>
    <w:rsid w:val="00C86248"/>
    <w:rsid w:val="00C875FF"/>
    <w:rsid w:val="00C87B9E"/>
    <w:rsid w:val="00C9113C"/>
    <w:rsid w:val="00C9125E"/>
    <w:rsid w:val="00C91BDE"/>
    <w:rsid w:val="00C945D3"/>
    <w:rsid w:val="00CA3136"/>
    <w:rsid w:val="00CA3D6B"/>
    <w:rsid w:val="00CA4CE1"/>
    <w:rsid w:val="00CA513D"/>
    <w:rsid w:val="00CA7A48"/>
    <w:rsid w:val="00CB65E5"/>
    <w:rsid w:val="00CC0215"/>
    <w:rsid w:val="00CC1288"/>
    <w:rsid w:val="00CC14CA"/>
    <w:rsid w:val="00CC2057"/>
    <w:rsid w:val="00CC2C95"/>
    <w:rsid w:val="00CC7343"/>
    <w:rsid w:val="00CD0A20"/>
    <w:rsid w:val="00CD2398"/>
    <w:rsid w:val="00CD3EC5"/>
    <w:rsid w:val="00CD4344"/>
    <w:rsid w:val="00CE0802"/>
    <w:rsid w:val="00CE2649"/>
    <w:rsid w:val="00CE4317"/>
    <w:rsid w:val="00CE59E1"/>
    <w:rsid w:val="00CE5A1A"/>
    <w:rsid w:val="00CF12FA"/>
    <w:rsid w:val="00CF1747"/>
    <w:rsid w:val="00CF3F73"/>
    <w:rsid w:val="00CF6D31"/>
    <w:rsid w:val="00CF7685"/>
    <w:rsid w:val="00D0225B"/>
    <w:rsid w:val="00D0600F"/>
    <w:rsid w:val="00D07A8A"/>
    <w:rsid w:val="00D1001C"/>
    <w:rsid w:val="00D11774"/>
    <w:rsid w:val="00D1462A"/>
    <w:rsid w:val="00D1635E"/>
    <w:rsid w:val="00D2037C"/>
    <w:rsid w:val="00D265D8"/>
    <w:rsid w:val="00D30F72"/>
    <w:rsid w:val="00D340F3"/>
    <w:rsid w:val="00D35437"/>
    <w:rsid w:val="00D355B1"/>
    <w:rsid w:val="00D36ECF"/>
    <w:rsid w:val="00D401F3"/>
    <w:rsid w:val="00D40292"/>
    <w:rsid w:val="00D41ACA"/>
    <w:rsid w:val="00D42E31"/>
    <w:rsid w:val="00D43B2D"/>
    <w:rsid w:val="00D44AB6"/>
    <w:rsid w:val="00D45B28"/>
    <w:rsid w:val="00D46420"/>
    <w:rsid w:val="00D51035"/>
    <w:rsid w:val="00D528A3"/>
    <w:rsid w:val="00D54D35"/>
    <w:rsid w:val="00D54D79"/>
    <w:rsid w:val="00D55393"/>
    <w:rsid w:val="00D55647"/>
    <w:rsid w:val="00D61F63"/>
    <w:rsid w:val="00D62699"/>
    <w:rsid w:val="00D62EA8"/>
    <w:rsid w:val="00D637B4"/>
    <w:rsid w:val="00D66E63"/>
    <w:rsid w:val="00D702EC"/>
    <w:rsid w:val="00D75DB1"/>
    <w:rsid w:val="00D762E0"/>
    <w:rsid w:val="00D80968"/>
    <w:rsid w:val="00D81634"/>
    <w:rsid w:val="00D82B1C"/>
    <w:rsid w:val="00D82CDF"/>
    <w:rsid w:val="00D8398F"/>
    <w:rsid w:val="00D85925"/>
    <w:rsid w:val="00D8651D"/>
    <w:rsid w:val="00D86623"/>
    <w:rsid w:val="00D9614F"/>
    <w:rsid w:val="00D9720C"/>
    <w:rsid w:val="00D975E0"/>
    <w:rsid w:val="00DA580F"/>
    <w:rsid w:val="00DA5D50"/>
    <w:rsid w:val="00DA6180"/>
    <w:rsid w:val="00DB20BC"/>
    <w:rsid w:val="00DB4269"/>
    <w:rsid w:val="00DB4624"/>
    <w:rsid w:val="00DC08F3"/>
    <w:rsid w:val="00DC2F82"/>
    <w:rsid w:val="00DC312C"/>
    <w:rsid w:val="00DC5F45"/>
    <w:rsid w:val="00DC7E0F"/>
    <w:rsid w:val="00DD2260"/>
    <w:rsid w:val="00DD6EBC"/>
    <w:rsid w:val="00DD7130"/>
    <w:rsid w:val="00DE293C"/>
    <w:rsid w:val="00DE4E14"/>
    <w:rsid w:val="00DE66F6"/>
    <w:rsid w:val="00DE6772"/>
    <w:rsid w:val="00DF0E31"/>
    <w:rsid w:val="00DF1959"/>
    <w:rsid w:val="00DF3915"/>
    <w:rsid w:val="00DF5A6E"/>
    <w:rsid w:val="00DF5AE9"/>
    <w:rsid w:val="00DF6555"/>
    <w:rsid w:val="00DF6B87"/>
    <w:rsid w:val="00DF7344"/>
    <w:rsid w:val="00DF7DC5"/>
    <w:rsid w:val="00E00850"/>
    <w:rsid w:val="00E02E5B"/>
    <w:rsid w:val="00E05187"/>
    <w:rsid w:val="00E11D3C"/>
    <w:rsid w:val="00E1581B"/>
    <w:rsid w:val="00E1634F"/>
    <w:rsid w:val="00E16F5B"/>
    <w:rsid w:val="00E20636"/>
    <w:rsid w:val="00E2119F"/>
    <w:rsid w:val="00E21F4E"/>
    <w:rsid w:val="00E23B5A"/>
    <w:rsid w:val="00E3287F"/>
    <w:rsid w:val="00E35226"/>
    <w:rsid w:val="00E37C78"/>
    <w:rsid w:val="00E409ED"/>
    <w:rsid w:val="00E414C6"/>
    <w:rsid w:val="00E43BF2"/>
    <w:rsid w:val="00E46920"/>
    <w:rsid w:val="00E4747D"/>
    <w:rsid w:val="00E47972"/>
    <w:rsid w:val="00E506FB"/>
    <w:rsid w:val="00E52C94"/>
    <w:rsid w:val="00E53E3D"/>
    <w:rsid w:val="00E56550"/>
    <w:rsid w:val="00E579F0"/>
    <w:rsid w:val="00E62037"/>
    <w:rsid w:val="00E62175"/>
    <w:rsid w:val="00E62A5F"/>
    <w:rsid w:val="00E62ED9"/>
    <w:rsid w:val="00E668F2"/>
    <w:rsid w:val="00E7079C"/>
    <w:rsid w:val="00E708E1"/>
    <w:rsid w:val="00E7250E"/>
    <w:rsid w:val="00E74979"/>
    <w:rsid w:val="00E77EA8"/>
    <w:rsid w:val="00E878DE"/>
    <w:rsid w:val="00E9056D"/>
    <w:rsid w:val="00EA05BC"/>
    <w:rsid w:val="00EA55BA"/>
    <w:rsid w:val="00EA578D"/>
    <w:rsid w:val="00EA5E11"/>
    <w:rsid w:val="00EB1856"/>
    <w:rsid w:val="00EB29F7"/>
    <w:rsid w:val="00EB6198"/>
    <w:rsid w:val="00EB68EA"/>
    <w:rsid w:val="00EB6B88"/>
    <w:rsid w:val="00EB6BDF"/>
    <w:rsid w:val="00EB7713"/>
    <w:rsid w:val="00EC0F7C"/>
    <w:rsid w:val="00EC1897"/>
    <w:rsid w:val="00EC258D"/>
    <w:rsid w:val="00EC50CE"/>
    <w:rsid w:val="00EC5B34"/>
    <w:rsid w:val="00ED2212"/>
    <w:rsid w:val="00ED334E"/>
    <w:rsid w:val="00ED4500"/>
    <w:rsid w:val="00ED4FE4"/>
    <w:rsid w:val="00ED604C"/>
    <w:rsid w:val="00ED790D"/>
    <w:rsid w:val="00EE1894"/>
    <w:rsid w:val="00EE5645"/>
    <w:rsid w:val="00EE7481"/>
    <w:rsid w:val="00EE74CD"/>
    <w:rsid w:val="00EE7615"/>
    <w:rsid w:val="00EE7E90"/>
    <w:rsid w:val="00EF0AF6"/>
    <w:rsid w:val="00EF17E4"/>
    <w:rsid w:val="00EF3962"/>
    <w:rsid w:val="00EF4088"/>
    <w:rsid w:val="00EF4EB7"/>
    <w:rsid w:val="00F0545B"/>
    <w:rsid w:val="00F0708B"/>
    <w:rsid w:val="00F125A0"/>
    <w:rsid w:val="00F14363"/>
    <w:rsid w:val="00F14909"/>
    <w:rsid w:val="00F20524"/>
    <w:rsid w:val="00F23CF7"/>
    <w:rsid w:val="00F264D7"/>
    <w:rsid w:val="00F26912"/>
    <w:rsid w:val="00F27632"/>
    <w:rsid w:val="00F31BD2"/>
    <w:rsid w:val="00F32692"/>
    <w:rsid w:val="00F338E9"/>
    <w:rsid w:val="00F36F2D"/>
    <w:rsid w:val="00F40E95"/>
    <w:rsid w:val="00F424C6"/>
    <w:rsid w:val="00F43F25"/>
    <w:rsid w:val="00F44D8D"/>
    <w:rsid w:val="00F517E1"/>
    <w:rsid w:val="00F557EF"/>
    <w:rsid w:val="00F55DAD"/>
    <w:rsid w:val="00F55EA8"/>
    <w:rsid w:val="00F57732"/>
    <w:rsid w:val="00F60D8E"/>
    <w:rsid w:val="00F612A3"/>
    <w:rsid w:val="00F61523"/>
    <w:rsid w:val="00F61ECF"/>
    <w:rsid w:val="00F65D6F"/>
    <w:rsid w:val="00F704B5"/>
    <w:rsid w:val="00F71058"/>
    <w:rsid w:val="00F73509"/>
    <w:rsid w:val="00F7365E"/>
    <w:rsid w:val="00F81FAB"/>
    <w:rsid w:val="00F845A7"/>
    <w:rsid w:val="00F84A9B"/>
    <w:rsid w:val="00F86B72"/>
    <w:rsid w:val="00F932D2"/>
    <w:rsid w:val="00F96F9E"/>
    <w:rsid w:val="00FA0914"/>
    <w:rsid w:val="00FA0DC5"/>
    <w:rsid w:val="00FA1F33"/>
    <w:rsid w:val="00FA2964"/>
    <w:rsid w:val="00FA3F23"/>
    <w:rsid w:val="00FB3856"/>
    <w:rsid w:val="00FB4E4D"/>
    <w:rsid w:val="00FB5386"/>
    <w:rsid w:val="00FB7127"/>
    <w:rsid w:val="00FC3137"/>
    <w:rsid w:val="00FC3FE2"/>
    <w:rsid w:val="00FC4C29"/>
    <w:rsid w:val="00FC5496"/>
    <w:rsid w:val="00FC596A"/>
    <w:rsid w:val="00FC5D25"/>
    <w:rsid w:val="00FD1B29"/>
    <w:rsid w:val="00FD3A6A"/>
    <w:rsid w:val="00FD70B8"/>
    <w:rsid w:val="00FE064C"/>
    <w:rsid w:val="00FE1268"/>
    <w:rsid w:val="00FE1BB4"/>
    <w:rsid w:val="00FE25D6"/>
    <w:rsid w:val="00FE312C"/>
    <w:rsid w:val="00FE3162"/>
    <w:rsid w:val="00FE3586"/>
    <w:rsid w:val="00FE3B92"/>
    <w:rsid w:val="00FE3DB6"/>
    <w:rsid w:val="00FE643E"/>
    <w:rsid w:val="00FE747D"/>
    <w:rsid w:val="00FE7F18"/>
    <w:rsid w:val="00FF2098"/>
    <w:rsid w:val="00FF50FB"/>
    <w:rsid w:val="00FF64E9"/>
    <w:rsid w:val="00FF65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E14"/>
    <w:pPr>
      <w:spacing w:line="264" w:lineRule="auto"/>
      <w:jc w:val="both"/>
    </w:pPr>
    <w:rPr>
      <w:rFonts w:ascii="Arial" w:hAnsi="Arial"/>
      <w:sz w:val="22"/>
      <w:lang w:eastAsia="en-GB"/>
    </w:rPr>
  </w:style>
  <w:style w:type="paragraph" w:styleId="Heading1">
    <w:name w:val="heading 1"/>
    <w:basedOn w:val="Normal"/>
    <w:next w:val="Normal"/>
    <w:qFormat/>
    <w:rsid w:val="002B2978"/>
    <w:pPr>
      <w:pBdr>
        <w:bottom w:val="single" w:sz="12" w:space="4" w:color="auto"/>
      </w:pBdr>
      <w:spacing w:after="600"/>
      <w:jc w:val="left"/>
      <w:outlineLvl w:val="0"/>
    </w:pPr>
    <w:rPr>
      <w:b/>
      <w:sz w:val="52"/>
    </w:rPr>
  </w:style>
  <w:style w:type="paragraph" w:styleId="Heading2">
    <w:name w:val="heading 2"/>
    <w:basedOn w:val="Normal"/>
    <w:next w:val="Normal"/>
    <w:qFormat/>
    <w:rsid w:val="00950BDD"/>
    <w:pPr>
      <w:keepNext/>
      <w:spacing w:before="240" w:after="180"/>
      <w:outlineLvl w:val="1"/>
    </w:pPr>
    <w:rPr>
      <w:sz w:val="32"/>
    </w:rPr>
  </w:style>
  <w:style w:type="paragraph" w:styleId="Heading3">
    <w:name w:val="heading 3"/>
    <w:basedOn w:val="Normal"/>
    <w:next w:val="Normal"/>
    <w:qFormat/>
    <w:rsid w:val="00DE4E14"/>
    <w:pPr>
      <w:keepNext/>
      <w:spacing w:before="120" w:after="120"/>
      <w:jc w:val="left"/>
      <w:outlineLvl w:val="2"/>
    </w:pPr>
    <w:rPr>
      <w:sz w:val="26"/>
    </w:rPr>
  </w:style>
  <w:style w:type="paragraph" w:styleId="Heading4">
    <w:name w:val="heading 4"/>
    <w:basedOn w:val="Normal"/>
    <w:next w:val="Normal"/>
    <w:qFormat/>
    <w:rsid w:val="00BD3ADD"/>
    <w:pPr>
      <w:keepNext/>
      <w:spacing w:before="240" w:after="120"/>
      <w:jc w:val="left"/>
      <w:outlineLvl w:val="3"/>
    </w:pPr>
    <w:rPr>
      <w:i/>
      <w:sz w:val="24"/>
    </w:rPr>
  </w:style>
  <w:style w:type="paragraph" w:styleId="Heading5">
    <w:name w:val="heading 5"/>
    <w:basedOn w:val="Normal"/>
    <w:next w:val="Normal"/>
    <w:qFormat/>
    <w:rsid w:val="003C648C"/>
    <w:pPr>
      <w:keepNext/>
      <w:spacing w:before="120" w:after="120"/>
      <w:jc w:val="left"/>
      <w:outlineLvl w:val="4"/>
    </w:pPr>
    <w:rPr>
      <w:i/>
    </w:rPr>
  </w:style>
  <w:style w:type="paragraph" w:styleId="Heading6">
    <w:name w:val="heading 6"/>
    <w:basedOn w:val="Normal"/>
    <w:next w:val="Normal"/>
    <w:qFormat/>
    <w:rsid w:val="0084579F"/>
    <w:pPr>
      <w:keepNext/>
      <w:outlineLvl w:val="5"/>
    </w:pPr>
    <w:rPr>
      <w:i/>
      <w:iCs/>
      <w:szCs w:val="24"/>
      <w:lang w:val="en-US" w:eastAsia="en-US"/>
    </w:rPr>
  </w:style>
  <w:style w:type="paragraph" w:styleId="Heading8">
    <w:name w:val="heading 8"/>
    <w:basedOn w:val="Normal"/>
    <w:next w:val="Normal"/>
    <w:qFormat/>
    <w:rsid w:val="0084579F"/>
    <w:pPr>
      <w:keepNext/>
      <w:framePr w:hSpace="180" w:wrap="around" w:vAnchor="text" w:hAnchor="margin" w:y="37"/>
      <w:outlineLvl w:val="7"/>
    </w:pPr>
    <w:rPr>
      <w:rFonts w:cs="Arial"/>
      <w:b/>
      <w:bCs/>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967274"/>
    <w:pPr>
      <w:tabs>
        <w:tab w:val="right" w:leader="dot" w:pos="8789"/>
      </w:tabs>
      <w:spacing w:before="240"/>
      <w:ind w:right="567"/>
      <w:jc w:val="left"/>
    </w:pPr>
    <w:rPr>
      <w:b/>
    </w:rPr>
  </w:style>
  <w:style w:type="paragraph" w:styleId="TOC2">
    <w:name w:val="toc 2"/>
    <w:basedOn w:val="Normal"/>
    <w:next w:val="Normal"/>
    <w:uiPriority w:val="39"/>
    <w:rsid w:val="002B2978"/>
    <w:pPr>
      <w:tabs>
        <w:tab w:val="right" w:leader="dot" w:pos="8789"/>
      </w:tabs>
      <w:spacing w:before="60"/>
      <w:ind w:left="567" w:right="567"/>
      <w:jc w:val="left"/>
    </w:pPr>
    <w:rPr>
      <w:sz w:val="20"/>
    </w:rPr>
  </w:style>
  <w:style w:type="paragraph" w:styleId="TOC3">
    <w:name w:val="toc 3"/>
    <w:basedOn w:val="Normal"/>
    <w:next w:val="Normal"/>
    <w:semiHidden/>
    <w:rsid w:val="002B2978"/>
    <w:pPr>
      <w:tabs>
        <w:tab w:val="right" w:leader="dot" w:pos="8789"/>
      </w:tabs>
      <w:spacing w:before="60"/>
      <w:ind w:left="1134" w:right="567" w:hanging="1134"/>
      <w:jc w:val="left"/>
    </w:pPr>
    <w:rPr>
      <w:sz w:val="20"/>
    </w:rPr>
  </w:style>
  <w:style w:type="paragraph" w:customStyle="1" w:styleId="Bullet">
    <w:name w:val="Bullet"/>
    <w:basedOn w:val="Normal"/>
    <w:rsid w:val="0058146F"/>
    <w:pPr>
      <w:numPr>
        <w:numId w:val="1"/>
      </w:numPr>
      <w:spacing w:before="120"/>
    </w:pPr>
  </w:style>
  <w:style w:type="paragraph" w:styleId="Quote">
    <w:name w:val="Quote"/>
    <w:basedOn w:val="Normal"/>
    <w:next w:val="Normal"/>
    <w:qFormat/>
    <w:pPr>
      <w:spacing w:before="120"/>
      <w:ind w:left="284" w:right="284"/>
      <w:jc w:val="left"/>
    </w:pPr>
  </w:style>
  <w:style w:type="paragraph" w:styleId="FootnoteText">
    <w:name w:val="footnote text"/>
    <w:basedOn w:val="Normal"/>
    <w:semiHidden/>
    <w:rsid w:val="0019134F"/>
    <w:pPr>
      <w:spacing w:before="60"/>
      <w:ind w:left="284" w:hanging="284"/>
    </w:pPr>
    <w:rPr>
      <w:sz w:val="18"/>
    </w:rPr>
  </w:style>
  <w:style w:type="paragraph" w:styleId="Header">
    <w:name w:val="header"/>
    <w:basedOn w:val="Normal"/>
  </w:style>
  <w:style w:type="paragraph" w:styleId="Title">
    <w:name w:val="Title"/>
    <w:basedOn w:val="Normal"/>
    <w:next w:val="Normal"/>
    <w:qFormat/>
    <w:rsid w:val="001B4D16"/>
    <w:pPr>
      <w:jc w:val="center"/>
    </w:pPr>
    <w:rPr>
      <w:b/>
      <w:sz w:val="64"/>
    </w:rPr>
  </w:style>
  <w:style w:type="paragraph" w:customStyle="1" w:styleId="Imprint">
    <w:name w:val="Imprint"/>
    <w:basedOn w:val="Normal"/>
    <w:next w:val="Normal"/>
    <w:rsid w:val="001B4D16"/>
    <w:pPr>
      <w:spacing w:after="240"/>
      <w:jc w:val="center"/>
    </w:pPr>
  </w:style>
  <w:style w:type="paragraph" w:styleId="Footer">
    <w:name w:val="footer"/>
    <w:basedOn w:val="Normal"/>
    <w:rsid w:val="00674A36"/>
    <w:rPr>
      <w:sz w:val="18"/>
    </w:rPr>
  </w:style>
  <w:style w:type="character" w:styleId="PageNumber">
    <w:name w:val="page number"/>
    <w:rsid w:val="00674A36"/>
    <w:rPr>
      <w:rFonts w:ascii="Arial" w:hAnsi="Arial"/>
      <w:sz w:val="40"/>
    </w:rPr>
  </w:style>
  <w:style w:type="paragraph" w:customStyle="1" w:styleId="VersoFooter">
    <w:name w:val="Verso Footer"/>
    <w:basedOn w:val="Footer"/>
    <w:rsid w:val="00373C3E"/>
    <w:pPr>
      <w:spacing w:before="120"/>
      <w:jc w:val="right"/>
    </w:pPr>
  </w:style>
  <w:style w:type="paragraph" w:customStyle="1" w:styleId="RectoFooter">
    <w:name w:val="Recto Footer"/>
    <w:basedOn w:val="Footer"/>
    <w:rsid w:val="00476C69"/>
    <w:pPr>
      <w:spacing w:before="120"/>
      <w:jc w:val="left"/>
    </w:pPr>
  </w:style>
  <w:style w:type="paragraph" w:customStyle="1" w:styleId="Figure">
    <w:name w:val="Figure"/>
    <w:basedOn w:val="Normal"/>
    <w:next w:val="Normal"/>
    <w:pPr>
      <w:keepNext/>
      <w:spacing w:before="120" w:after="120"/>
      <w:ind w:left="1134" w:hanging="1134"/>
    </w:pPr>
    <w:rPr>
      <w:b/>
    </w:rPr>
  </w:style>
  <w:style w:type="character" w:styleId="FootnoteReference">
    <w:name w:val="footnote reference"/>
    <w:semiHidden/>
    <w:rPr>
      <w:vertAlign w:val="superscript"/>
    </w:rPr>
  </w:style>
  <w:style w:type="paragraph" w:customStyle="1" w:styleId="Table">
    <w:name w:val="Table"/>
    <w:basedOn w:val="Figure"/>
  </w:style>
  <w:style w:type="paragraph" w:customStyle="1" w:styleId="Dash">
    <w:name w:val="Dash"/>
    <w:basedOn w:val="Bullet"/>
    <w:rsid w:val="00702854"/>
    <w:pPr>
      <w:numPr>
        <w:numId w:val="2"/>
      </w:numPr>
      <w:spacing w:before="60"/>
    </w:pPr>
  </w:style>
  <w:style w:type="paragraph" w:customStyle="1" w:styleId="TableText">
    <w:name w:val="TableText"/>
    <w:basedOn w:val="Normal"/>
    <w:rsid w:val="003354E5"/>
    <w:pPr>
      <w:spacing w:before="80" w:after="80"/>
      <w:jc w:val="left"/>
    </w:pPr>
    <w:rPr>
      <w:sz w:val="18"/>
    </w:rPr>
  </w:style>
  <w:style w:type="paragraph" w:customStyle="1" w:styleId="TableBullet">
    <w:name w:val="TableBullet"/>
    <w:basedOn w:val="TableText"/>
    <w:rsid w:val="00004167"/>
    <w:pPr>
      <w:numPr>
        <w:numId w:val="3"/>
      </w:numPr>
      <w:spacing w:before="0"/>
    </w:pPr>
  </w:style>
  <w:style w:type="paragraph" w:customStyle="1" w:styleId="Box">
    <w:name w:val="Box"/>
    <w:basedOn w:val="Normal"/>
    <w:rsid w:val="00372576"/>
    <w:pPr>
      <w:pBdr>
        <w:top w:val="single" w:sz="4" w:space="12" w:color="auto"/>
        <w:left w:val="single" w:sz="4" w:space="12" w:color="auto"/>
        <w:bottom w:val="single" w:sz="4" w:space="12" w:color="auto"/>
        <w:right w:val="single" w:sz="4" w:space="12" w:color="auto"/>
      </w:pBdr>
      <w:spacing w:before="180"/>
      <w:ind w:left="284" w:right="284"/>
    </w:pPr>
  </w:style>
  <w:style w:type="paragraph" w:customStyle="1" w:styleId="BoxHeading">
    <w:name w:val="BoxHeading"/>
    <w:basedOn w:val="Box"/>
    <w:rsid w:val="00372576"/>
    <w:pPr>
      <w:keepNext/>
      <w:jc w:val="left"/>
    </w:pPr>
    <w:rPr>
      <w:b/>
    </w:rPr>
  </w:style>
  <w:style w:type="paragraph" w:customStyle="1" w:styleId="BoxBullet">
    <w:name w:val="BoxBullet"/>
    <w:basedOn w:val="Box"/>
    <w:rsid w:val="00EA05BC"/>
    <w:pPr>
      <w:numPr>
        <w:numId w:val="5"/>
      </w:numPr>
      <w:ind w:left="568" w:hanging="284"/>
    </w:pPr>
  </w:style>
  <w:style w:type="paragraph" w:customStyle="1" w:styleId="IntroHead">
    <w:name w:val="IntroHead"/>
    <w:basedOn w:val="Heading1"/>
    <w:next w:val="Normal"/>
    <w:rsid w:val="00DD7130"/>
    <w:pPr>
      <w:outlineLvl w:val="9"/>
    </w:pPr>
  </w:style>
  <w:style w:type="paragraph" w:customStyle="1" w:styleId="Source">
    <w:name w:val="Source"/>
    <w:basedOn w:val="Figure"/>
    <w:next w:val="Normal"/>
    <w:pPr>
      <w:keepNext w:val="0"/>
      <w:spacing w:before="80" w:after="0"/>
      <w:ind w:left="0" w:firstLine="0"/>
    </w:pPr>
    <w:rPr>
      <w:b w:val="0"/>
      <w:sz w:val="20"/>
    </w:rPr>
  </w:style>
  <w:style w:type="paragraph" w:customStyle="1" w:styleId="Subhead">
    <w:name w:val="Subhead"/>
    <w:basedOn w:val="Normal"/>
    <w:next w:val="Normal"/>
    <w:rsid w:val="00B61609"/>
    <w:pPr>
      <w:spacing w:before="240"/>
    </w:pPr>
    <w:rPr>
      <w:sz w:val="60"/>
    </w:rPr>
  </w:style>
  <w:style w:type="character" w:styleId="Hyperlink">
    <w:name w:val="Hyperlink"/>
    <w:uiPriority w:val="99"/>
    <w:rPr>
      <w:color w:val="auto"/>
      <w:u w:val="none"/>
    </w:rPr>
  </w:style>
  <w:style w:type="paragraph" w:customStyle="1" w:styleId="References">
    <w:name w:val="References"/>
    <w:basedOn w:val="Normal"/>
    <w:rsid w:val="00EE7E90"/>
    <w:pPr>
      <w:spacing w:after="120"/>
      <w:ind w:left="567" w:hanging="567"/>
    </w:pPr>
    <w:rPr>
      <w:sz w:val="20"/>
    </w:rPr>
  </w:style>
  <w:style w:type="paragraph" w:customStyle="1" w:styleId="Note">
    <w:name w:val="Note"/>
    <w:basedOn w:val="Normal"/>
    <w:next w:val="Normal"/>
    <w:pPr>
      <w:spacing w:before="80"/>
      <w:ind w:left="284" w:hanging="284"/>
    </w:pPr>
    <w:rPr>
      <w:sz w:val="20"/>
    </w:rPr>
  </w:style>
  <w:style w:type="paragraph" w:customStyle="1" w:styleId="TableDash">
    <w:name w:val="TableDash"/>
    <w:basedOn w:val="TableText"/>
    <w:rsid w:val="0010541C"/>
    <w:pPr>
      <w:tabs>
        <w:tab w:val="num" w:pos="567"/>
      </w:tabs>
      <w:spacing w:before="40" w:after="0"/>
      <w:ind w:left="567" w:hanging="283"/>
    </w:pPr>
    <w:rPr>
      <w:sz w:val="20"/>
      <w:szCs w:val="22"/>
    </w:rPr>
  </w:style>
  <w:style w:type="table" w:styleId="TableGrid">
    <w:name w:val="Table Grid"/>
    <w:basedOn w:val="TableNormal"/>
    <w:rsid w:val="00674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D661E"/>
    <w:rPr>
      <w:rFonts w:ascii="Arial" w:hAnsi="Arial"/>
      <w:sz w:val="22"/>
      <w:lang w:eastAsia="en-GB"/>
    </w:rPr>
  </w:style>
  <w:style w:type="paragraph" w:styleId="BalloonText">
    <w:name w:val="Balloon Text"/>
    <w:basedOn w:val="Normal"/>
    <w:link w:val="BalloonTextChar"/>
    <w:uiPriority w:val="99"/>
    <w:semiHidden/>
    <w:unhideWhenUsed/>
    <w:rsid w:val="00370B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BDB"/>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E14"/>
    <w:pPr>
      <w:spacing w:line="264" w:lineRule="auto"/>
      <w:jc w:val="both"/>
    </w:pPr>
    <w:rPr>
      <w:rFonts w:ascii="Arial" w:hAnsi="Arial"/>
      <w:sz w:val="22"/>
      <w:lang w:eastAsia="en-GB"/>
    </w:rPr>
  </w:style>
  <w:style w:type="paragraph" w:styleId="Heading1">
    <w:name w:val="heading 1"/>
    <w:basedOn w:val="Normal"/>
    <w:next w:val="Normal"/>
    <w:qFormat/>
    <w:rsid w:val="002B2978"/>
    <w:pPr>
      <w:pBdr>
        <w:bottom w:val="single" w:sz="12" w:space="4" w:color="auto"/>
      </w:pBdr>
      <w:spacing w:after="600"/>
      <w:jc w:val="left"/>
      <w:outlineLvl w:val="0"/>
    </w:pPr>
    <w:rPr>
      <w:b/>
      <w:sz w:val="52"/>
    </w:rPr>
  </w:style>
  <w:style w:type="paragraph" w:styleId="Heading2">
    <w:name w:val="heading 2"/>
    <w:basedOn w:val="Normal"/>
    <w:next w:val="Normal"/>
    <w:qFormat/>
    <w:rsid w:val="00950BDD"/>
    <w:pPr>
      <w:keepNext/>
      <w:spacing w:before="240" w:after="180"/>
      <w:outlineLvl w:val="1"/>
    </w:pPr>
    <w:rPr>
      <w:sz w:val="32"/>
    </w:rPr>
  </w:style>
  <w:style w:type="paragraph" w:styleId="Heading3">
    <w:name w:val="heading 3"/>
    <w:basedOn w:val="Normal"/>
    <w:next w:val="Normal"/>
    <w:qFormat/>
    <w:rsid w:val="00DE4E14"/>
    <w:pPr>
      <w:keepNext/>
      <w:spacing w:before="120" w:after="120"/>
      <w:jc w:val="left"/>
      <w:outlineLvl w:val="2"/>
    </w:pPr>
    <w:rPr>
      <w:sz w:val="26"/>
    </w:rPr>
  </w:style>
  <w:style w:type="paragraph" w:styleId="Heading4">
    <w:name w:val="heading 4"/>
    <w:basedOn w:val="Normal"/>
    <w:next w:val="Normal"/>
    <w:qFormat/>
    <w:rsid w:val="00BD3ADD"/>
    <w:pPr>
      <w:keepNext/>
      <w:spacing w:before="240" w:after="120"/>
      <w:jc w:val="left"/>
      <w:outlineLvl w:val="3"/>
    </w:pPr>
    <w:rPr>
      <w:i/>
      <w:sz w:val="24"/>
    </w:rPr>
  </w:style>
  <w:style w:type="paragraph" w:styleId="Heading5">
    <w:name w:val="heading 5"/>
    <w:basedOn w:val="Normal"/>
    <w:next w:val="Normal"/>
    <w:qFormat/>
    <w:rsid w:val="003C648C"/>
    <w:pPr>
      <w:keepNext/>
      <w:spacing w:before="120" w:after="120"/>
      <w:jc w:val="left"/>
      <w:outlineLvl w:val="4"/>
    </w:pPr>
    <w:rPr>
      <w:i/>
    </w:rPr>
  </w:style>
  <w:style w:type="paragraph" w:styleId="Heading6">
    <w:name w:val="heading 6"/>
    <w:basedOn w:val="Normal"/>
    <w:next w:val="Normal"/>
    <w:qFormat/>
    <w:rsid w:val="0084579F"/>
    <w:pPr>
      <w:keepNext/>
      <w:outlineLvl w:val="5"/>
    </w:pPr>
    <w:rPr>
      <w:i/>
      <w:iCs/>
      <w:szCs w:val="24"/>
      <w:lang w:val="en-US" w:eastAsia="en-US"/>
    </w:rPr>
  </w:style>
  <w:style w:type="paragraph" w:styleId="Heading8">
    <w:name w:val="heading 8"/>
    <w:basedOn w:val="Normal"/>
    <w:next w:val="Normal"/>
    <w:qFormat/>
    <w:rsid w:val="0084579F"/>
    <w:pPr>
      <w:keepNext/>
      <w:framePr w:hSpace="180" w:wrap="around" w:vAnchor="text" w:hAnchor="margin" w:y="37"/>
      <w:outlineLvl w:val="7"/>
    </w:pPr>
    <w:rPr>
      <w:rFonts w:cs="Arial"/>
      <w:b/>
      <w:bCs/>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967274"/>
    <w:pPr>
      <w:tabs>
        <w:tab w:val="right" w:leader="dot" w:pos="8789"/>
      </w:tabs>
      <w:spacing w:before="240"/>
      <w:ind w:right="567"/>
      <w:jc w:val="left"/>
    </w:pPr>
    <w:rPr>
      <w:b/>
    </w:rPr>
  </w:style>
  <w:style w:type="paragraph" w:styleId="TOC2">
    <w:name w:val="toc 2"/>
    <w:basedOn w:val="Normal"/>
    <w:next w:val="Normal"/>
    <w:uiPriority w:val="39"/>
    <w:rsid w:val="002B2978"/>
    <w:pPr>
      <w:tabs>
        <w:tab w:val="right" w:leader="dot" w:pos="8789"/>
      </w:tabs>
      <w:spacing w:before="60"/>
      <w:ind w:left="567" w:right="567"/>
      <w:jc w:val="left"/>
    </w:pPr>
    <w:rPr>
      <w:sz w:val="20"/>
    </w:rPr>
  </w:style>
  <w:style w:type="paragraph" w:styleId="TOC3">
    <w:name w:val="toc 3"/>
    <w:basedOn w:val="Normal"/>
    <w:next w:val="Normal"/>
    <w:semiHidden/>
    <w:rsid w:val="002B2978"/>
    <w:pPr>
      <w:tabs>
        <w:tab w:val="right" w:leader="dot" w:pos="8789"/>
      </w:tabs>
      <w:spacing w:before="60"/>
      <w:ind w:left="1134" w:right="567" w:hanging="1134"/>
      <w:jc w:val="left"/>
    </w:pPr>
    <w:rPr>
      <w:sz w:val="20"/>
    </w:rPr>
  </w:style>
  <w:style w:type="paragraph" w:customStyle="1" w:styleId="Bullet">
    <w:name w:val="Bullet"/>
    <w:basedOn w:val="Normal"/>
    <w:rsid w:val="0058146F"/>
    <w:pPr>
      <w:numPr>
        <w:numId w:val="1"/>
      </w:numPr>
      <w:spacing w:before="120"/>
    </w:pPr>
  </w:style>
  <w:style w:type="paragraph" w:styleId="Quote">
    <w:name w:val="Quote"/>
    <w:basedOn w:val="Normal"/>
    <w:next w:val="Normal"/>
    <w:qFormat/>
    <w:pPr>
      <w:spacing w:before="120"/>
      <w:ind w:left="284" w:right="284"/>
      <w:jc w:val="left"/>
    </w:pPr>
  </w:style>
  <w:style w:type="paragraph" w:styleId="FootnoteText">
    <w:name w:val="footnote text"/>
    <w:basedOn w:val="Normal"/>
    <w:semiHidden/>
    <w:rsid w:val="0019134F"/>
    <w:pPr>
      <w:spacing w:before="60"/>
      <w:ind w:left="284" w:hanging="284"/>
    </w:pPr>
    <w:rPr>
      <w:sz w:val="18"/>
    </w:rPr>
  </w:style>
  <w:style w:type="paragraph" w:styleId="Header">
    <w:name w:val="header"/>
    <w:basedOn w:val="Normal"/>
  </w:style>
  <w:style w:type="paragraph" w:styleId="Title">
    <w:name w:val="Title"/>
    <w:basedOn w:val="Normal"/>
    <w:next w:val="Normal"/>
    <w:qFormat/>
    <w:rsid w:val="001B4D16"/>
    <w:pPr>
      <w:jc w:val="center"/>
    </w:pPr>
    <w:rPr>
      <w:b/>
      <w:sz w:val="64"/>
    </w:rPr>
  </w:style>
  <w:style w:type="paragraph" w:customStyle="1" w:styleId="Imprint">
    <w:name w:val="Imprint"/>
    <w:basedOn w:val="Normal"/>
    <w:next w:val="Normal"/>
    <w:rsid w:val="001B4D16"/>
    <w:pPr>
      <w:spacing w:after="240"/>
      <w:jc w:val="center"/>
    </w:pPr>
  </w:style>
  <w:style w:type="paragraph" w:styleId="Footer">
    <w:name w:val="footer"/>
    <w:basedOn w:val="Normal"/>
    <w:rsid w:val="00674A36"/>
    <w:rPr>
      <w:sz w:val="18"/>
    </w:rPr>
  </w:style>
  <w:style w:type="character" w:styleId="PageNumber">
    <w:name w:val="page number"/>
    <w:rsid w:val="00674A36"/>
    <w:rPr>
      <w:rFonts w:ascii="Arial" w:hAnsi="Arial"/>
      <w:sz w:val="40"/>
    </w:rPr>
  </w:style>
  <w:style w:type="paragraph" w:customStyle="1" w:styleId="VersoFooter">
    <w:name w:val="Verso Footer"/>
    <w:basedOn w:val="Footer"/>
    <w:rsid w:val="00373C3E"/>
    <w:pPr>
      <w:spacing w:before="120"/>
      <w:jc w:val="right"/>
    </w:pPr>
  </w:style>
  <w:style w:type="paragraph" w:customStyle="1" w:styleId="RectoFooter">
    <w:name w:val="Recto Footer"/>
    <w:basedOn w:val="Footer"/>
    <w:rsid w:val="00476C69"/>
    <w:pPr>
      <w:spacing w:before="120"/>
      <w:jc w:val="left"/>
    </w:pPr>
  </w:style>
  <w:style w:type="paragraph" w:customStyle="1" w:styleId="Figure">
    <w:name w:val="Figure"/>
    <w:basedOn w:val="Normal"/>
    <w:next w:val="Normal"/>
    <w:pPr>
      <w:keepNext/>
      <w:spacing w:before="120" w:after="120"/>
      <w:ind w:left="1134" w:hanging="1134"/>
    </w:pPr>
    <w:rPr>
      <w:b/>
    </w:rPr>
  </w:style>
  <w:style w:type="character" w:styleId="FootnoteReference">
    <w:name w:val="footnote reference"/>
    <w:semiHidden/>
    <w:rPr>
      <w:vertAlign w:val="superscript"/>
    </w:rPr>
  </w:style>
  <w:style w:type="paragraph" w:customStyle="1" w:styleId="Table">
    <w:name w:val="Table"/>
    <w:basedOn w:val="Figure"/>
  </w:style>
  <w:style w:type="paragraph" w:customStyle="1" w:styleId="Dash">
    <w:name w:val="Dash"/>
    <w:basedOn w:val="Bullet"/>
    <w:rsid w:val="00702854"/>
    <w:pPr>
      <w:numPr>
        <w:numId w:val="2"/>
      </w:numPr>
      <w:spacing w:before="60"/>
    </w:pPr>
  </w:style>
  <w:style w:type="paragraph" w:customStyle="1" w:styleId="TableText">
    <w:name w:val="TableText"/>
    <w:basedOn w:val="Normal"/>
    <w:rsid w:val="003354E5"/>
    <w:pPr>
      <w:spacing w:before="80" w:after="80"/>
      <w:jc w:val="left"/>
    </w:pPr>
    <w:rPr>
      <w:sz w:val="18"/>
    </w:rPr>
  </w:style>
  <w:style w:type="paragraph" w:customStyle="1" w:styleId="TableBullet">
    <w:name w:val="TableBullet"/>
    <w:basedOn w:val="TableText"/>
    <w:rsid w:val="00004167"/>
    <w:pPr>
      <w:numPr>
        <w:numId w:val="3"/>
      </w:numPr>
      <w:spacing w:before="0"/>
    </w:pPr>
  </w:style>
  <w:style w:type="paragraph" w:customStyle="1" w:styleId="Box">
    <w:name w:val="Box"/>
    <w:basedOn w:val="Normal"/>
    <w:rsid w:val="00372576"/>
    <w:pPr>
      <w:pBdr>
        <w:top w:val="single" w:sz="4" w:space="12" w:color="auto"/>
        <w:left w:val="single" w:sz="4" w:space="12" w:color="auto"/>
        <w:bottom w:val="single" w:sz="4" w:space="12" w:color="auto"/>
        <w:right w:val="single" w:sz="4" w:space="12" w:color="auto"/>
      </w:pBdr>
      <w:spacing w:before="180"/>
      <w:ind w:left="284" w:right="284"/>
    </w:pPr>
  </w:style>
  <w:style w:type="paragraph" w:customStyle="1" w:styleId="BoxHeading">
    <w:name w:val="BoxHeading"/>
    <w:basedOn w:val="Box"/>
    <w:rsid w:val="00372576"/>
    <w:pPr>
      <w:keepNext/>
      <w:jc w:val="left"/>
    </w:pPr>
    <w:rPr>
      <w:b/>
    </w:rPr>
  </w:style>
  <w:style w:type="paragraph" w:customStyle="1" w:styleId="BoxBullet">
    <w:name w:val="BoxBullet"/>
    <w:basedOn w:val="Box"/>
    <w:rsid w:val="00EA05BC"/>
    <w:pPr>
      <w:numPr>
        <w:numId w:val="5"/>
      </w:numPr>
      <w:ind w:left="568" w:hanging="284"/>
    </w:pPr>
  </w:style>
  <w:style w:type="paragraph" w:customStyle="1" w:styleId="IntroHead">
    <w:name w:val="IntroHead"/>
    <w:basedOn w:val="Heading1"/>
    <w:next w:val="Normal"/>
    <w:rsid w:val="00DD7130"/>
    <w:pPr>
      <w:outlineLvl w:val="9"/>
    </w:pPr>
  </w:style>
  <w:style w:type="paragraph" w:customStyle="1" w:styleId="Source">
    <w:name w:val="Source"/>
    <w:basedOn w:val="Figure"/>
    <w:next w:val="Normal"/>
    <w:pPr>
      <w:keepNext w:val="0"/>
      <w:spacing w:before="80" w:after="0"/>
      <w:ind w:left="0" w:firstLine="0"/>
    </w:pPr>
    <w:rPr>
      <w:b w:val="0"/>
      <w:sz w:val="20"/>
    </w:rPr>
  </w:style>
  <w:style w:type="paragraph" w:customStyle="1" w:styleId="Subhead">
    <w:name w:val="Subhead"/>
    <w:basedOn w:val="Normal"/>
    <w:next w:val="Normal"/>
    <w:rsid w:val="00B61609"/>
    <w:pPr>
      <w:spacing w:before="240"/>
    </w:pPr>
    <w:rPr>
      <w:sz w:val="60"/>
    </w:rPr>
  </w:style>
  <w:style w:type="character" w:styleId="Hyperlink">
    <w:name w:val="Hyperlink"/>
    <w:uiPriority w:val="99"/>
    <w:rPr>
      <w:color w:val="auto"/>
      <w:u w:val="none"/>
    </w:rPr>
  </w:style>
  <w:style w:type="paragraph" w:customStyle="1" w:styleId="References">
    <w:name w:val="References"/>
    <w:basedOn w:val="Normal"/>
    <w:rsid w:val="00EE7E90"/>
    <w:pPr>
      <w:spacing w:after="120"/>
      <w:ind w:left="567" w:hanging="567"/>
    </w:pPr>
    <w:rPr>
      <w:sz w:val="20"/>
    </w:rPr>
  </w:style>
  <w:style w:type="paragraph" w:customStyle="1" w:styleId="Note">
    <w:name w:val="Note"/>
    <w:basedOn w:val="Normal"/>
    <w:next w:val="Normal"/>
    <w:pPr>
      <w:spacing w:before="80"/>
      <w:ind w:left="284" w:hanging="284"/>
    </w:pPr>
    <w:rPr>
      <w:sz w:val="20"/>
    </w:rPr>
  </w:style>
  <w:style w:type="paragraph" w:customStyle="1" w:styleId="TableDash">
    <w:name w:val="TableDash"/>
    <w:basedOn w:val="TableText"/>
    <w:rsid w:val="0010541C"/>
    <w:pPr>
      <w:tabs>
        <w:tab w:val="num" w:pos="567"/>
      </w:tabs>
      <w:spacing w:before="40" w:after="0"/>
      <w:ind w:left="567" w:hanging="283"/>
    </w:pPr>
    <w:rPr>
      <w:sz w:val="20"/>
      <w:szCs w:val="22"/>
    </w:rPr>
  </w:style>
  <w:style w:type="table" w:styleId="TableGrid">
    <w:name w:val="Table Grid"/>
    <w:basedOn w:val="TableNormal"/>
    <w:rsid w:val="00674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D661E"/>
    <w:rPr>
      <w:rFonts w:ascii="Arial" w:hAnsi="Arial"/>
      <w:sz w:val="22"/>
      <w:lang w:eastAsia="en-GB"/>
    </w:rPr>
  </w:style>
  <w:style w:type="paragraph" w:styleId="BalloonText">
    <w:name w:val="Balloon Text"/>
    <w:basedOn w:val="Normal"/>
    <w:link w:val="BalloonTextChar"/>
    <w:uiPriority w:val="99"/>
    <w:semiHidden/>
    <w:unhideWhenUsed/>
    <w:rsid w:val="00370B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BDB"/>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18639">
      <w:bodyDiv w:val="1"/>
      <w:marLeft w:val="0"/>
      <w:marRight w:val="0"/>
      <w:marTop w:val="0"/>
      <w:marBottom w:val="0"/>
      <w:divBdr>
        <w:top w:val="none" w:sz="0" w:space="0" w:color="auto"/>
        <w:left w:val="none" w:sz="0" w:space="0" w:color="auto"/>
        <w:bottom w:val="none" w:sz="0" w:space="0" w:color="auto"/>
        <w:right w:val="none" w:sz="0" w:space="0" w:color="auto"/>
      </w:divBdr>
    </w:div>
    <w:div w:id="1392075874">
      <w:bodyDiv w:val="1"/>
      <w:marLeft w:val="0"/>
      <w:marRight w:val="0"/>
      <w:marTop w:val="0"/>
      <w:marBottom w:val="0"/>
      <w:divBdr>
        <w:top w:val="none" w:sz="0" w:space="0" w:color="auto"/>
        <w:left w:val="none" w:sz="0" w:space="0" w:color="auto"/>
        <w:bottom w:val="none" w:sz="0" w:space="0" w:color="auto"/>
        <w:right w:val="none" w:sz="0" w:space="0" w:color="auto"/>
      </w:divBdr>
    </w:div>
    <w:div w:id="1913852465">
      <w:bodyDiv w:val="1"/>
      <w:marLeft w:val="0"/>
      <w:marRight w:val="0"/>
      <w:marTop w:val="0"/>
      <w:marBottom w:val="0"/>
      <w:divBdr>
        <w:top w:val="none" w:sz="0" w:space="0" w:color="auto"/>
        <w:left w:val="none" w:sz="0" w:space="0" w:color="auto"/>
        <w:bottom w:val="none" w:sz="0" w:space="0" w:color="auto"/>
        <w:right w:val="none" w:sz="0" w:space="0" w:color="auto"/>
      </w:divBdr>
      <w:divsChild>
        <w:div w:id="119030621">
          <w:marLeft w:val="0"/>
          <w:marRight w:val="0"/>
          <w:marTop w:val="0"/>
          <w:marBottom w:val="0"/>
          <w:divBdr>
            <w:top w:val="none" w:sz="0" w:space="0" w:color="auto"/>
            <w:left w:val="none" w:sz="0" w:space="0" w:color="auto"/>
            <w:bottom w:val="none" w:sz="0" w:space="0" w:color="auto"/>
            <w:right w:val="none" w:sz="0" w:space="0" w:color="auto"/>
          </w:divBdr>
          <w:divsChild>
            <w:div w:id="728071787">
              <w:marLeft w:val="0"/>
              <w:marRight w:val="0"/>
              <w:marTop w:val="0"/>
              <w:marBottom w:val="0"/>
              <w:divBdr>
                <w:top w:val="none" w:sz="0" w:space="0" w:color="auto"/>
                <w:left w:val="none" w:sz="0" w:space="0" w:color="auto"/>
                <w:bottom w:val="none" w:sz="0" w:space="0" w:color="auto"/>
                <w:right w:val="none" w:sz="0" w:space="0" w:color="auto"/>
              </w:divBdr>
              <w:divsChild>
                <w:div w:id="1608542877">
                  <w:marLeft w:val="0"/>
                  <w:marRight w:val="0"/>
                  <w:marTop w:val="0"/>
                  <w:marBottom w:val="0"/>
                  <w:divBdr>
                    <w:top w:val="none" w:sz="0" w:space="0" w:color="auto"/>
                    <w:left w:val="none" w:sz="0" w:space="0" w:color="auto"/>
                    <w:bottom w:val="none" w:sz="0" w:space="0" w:color="auto"/>
                    <w:right w:val="none" w:sz="0" w:space="0" w:color="auto"/>
                  </w:divBdr>
                  <w:divsChild>
                    <w:div w:id="11657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0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www.acart.health.govt.nz" TargetMode="External"/><Relationship Id="rId33" Type="http://schemas.openxmlformats.org/officeDocument/2006/relationships/footer" Target="footer1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oter" Target="footer9.xml"/><Relationship Id="rId32"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footer" Target="footer11.xml"/><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6.xml"/><Relationship Id="rId31"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3.xml"/><Relationship Id="rId35" Type="http://schemas.openxmlformats.org/officeDocument/2006/relationships/fontTable" Target="fontTable.xml"/></Relationships>
</file>

<file path=word/_rels/footer10.xml.rels><?xml version="1.0" encoding="UTF-8" standalone="yes"?>
<Relationships xmlns="http://schemas.openxmlformats.org/package/2006/relationships"><Relationship Id="rId1" Type="http://schemas.openxmlformats.org/officeDocument/2006/relationships/image" Target="media/image5.jpeg"/></Relationships>
</file>

<file path=word/_rels/footer11.xml.rels><?xml version="1.0" encoding="UTF-8" standalone="yes"?>
<Relationships xmlns="http://schemas.openxmlformats.org/package/2006/relationships"><Relationship Id="rId1" Type="http://schemas.openxmlformats.org/officeDocument/2006/relationships/image" Target="media/image1.jpeg"/></Relationships>
</file>

<file path=word/_rels/footer12.xml.rels><?xml version="1.0" encoding="UTF-8" standalone="yes"?>
<Relationships xmlns="http://schemas.openxmlformats.org/package/2006/relationships"><Relationship Id="rId1" Type="http://schemas.openxmlformats.org/officeDocument/2006/relationships/image" Target="media/image5.jpeg"/></Relationships>
</file>

<file path=word/_rels/footer13.xml.rels><?xml version="1.0" encoding="UTF-8" standalone="yes"?>
<Relationships xmlns="http://schemas.openxmlformats.org/package/2006/relationships"><Relationship Id="rId1" Type="http://schemas.openxmlformats.org/officeDocument/2006/relationships/image" Target="media/image5.jpeg"/></Relationships>
</file>

<file path=word/_rels/footer14.xml.rels><?xml version="1.0" encoding="UTF-8" standalone="yes"?>
<Relationships xmlns="http://schemas.openxmlformats.org/package/2006/relationships"><Relationship Id="rId1" Type="http://schemas.openxmlformats.org/officeDocument/2006/relationships/image" Target="media/image1.jpeg"/></Relationships>
</file>

<file path=word/_rels/footer15.xml.rels><?xml version="1.0" encoding="UTF-8" standalone="yes"?>
<Relationships xmlns="http://schemas.openxmlformats.org/package/2006/relationships"><Relationship Id="rId1" Type="http://schemas.openxmlformats.org/officeDocument/2006/relationships/image" Target="media/image5.jpeg"/></Relationships>
</file>

<file path=word/_rels/footer16.xml.rels><?xml version="1.0" encoding="UTF-8" standalone="yes"?>
<Relationships xmlns="http://schemas.openxmlformats.org/package/2006/relationships"><Relationship Id="rId1" Type="http://schemas.openxmlformats.org/officeDocument/2006/relationships/image" Target="media/image1.jpeg"/></Relationships>
</file>

<file path=word/_rels/footer17.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er7.xml.rels><?xml version="1.0" encoding="UTF-8" standalone="yes"?>
<Relationships xmlns="http://schemas.openxmlformats.org/package/2006/relationships"><Relationship Id="rId1" Type="http://schemas.openxmlformats.org/officeDocument/2006/relationships/image" Target="media/image1.jpeg"/></Relationships>
</file>

<file path=word/_rels/footer8.xml.rels><?xml version="1.0" encoding="UTF-8" standalone="yes"?>
<Relationships xmlns="http://schemas.openxmlformats.org/package/2006/relationships"><Relationship Id="rId1" Type="http://schemas.openxmlformats.org/officeDocument/2006/relationships/image" Target="media/image5.jpeg"/></Relationships>
</file>

<file path=word/_rels/footer9.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_rels/header5.xml.rels><?xml version="1.0" encoding="UTF-8" standalone="yes"?>
<Relationships xmlns="http://schemas.openxmlformats.org/package/2006/relationships"><Relationship Id="rId1" Type="http://schemas.openxmlformats.org/officeDocument/2006/relationships/image" Target="media/image4.wmf"/></Relationships>
</file>

<file path=word/_rels/header6.xml.rels><?xml version="1.0" encoding="UTF-8" standalone="yes"?>
<Relationships xmlns="http://schemas.openxmlformats.org/package/2006/relationships"><Relationship Id="rId1"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New%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Report Sans Serif Body</Template>
  <TotalTime>0</TotalTime>
  <Pages>26</Pages>
  <Words>6202</Words>
  <Characters>34205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Wordprocessing Services</Company>
  <LinksUpToDate>false</LinksUpToDate>
  <CharactersWithSpaces>40327</CharactersWithSpaces>
  <SharedDoc>false</SharedDoc>
  <HLinks>
    <vt:vector size="6" baseType="variant">
      <vt:variant>
        <vt:i4>5636171</vt:i4>
      </vt:variant>
      <vt:variant>
        <vt:i4>69</vt:i4>
      </vt:variant>
      <vt:variant>
        <vt:i4>0</vt:i4>
      </vt:variant>
      <vt:variant>
        <vt:i4>5</vt:i4>
      </vt:variant>
      <vt:variant>
        <vt:lpwstr>http://www.acart.health.govt.nz/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Grain</dc:creator>
  <cp:lastModifiedBy>Jane Adam</cp:lastModifiedBy>
  <cp:revision>2</cp:revision>
  <cp:lastPrinted>2015-02-25T22:31:00Z</cp:lastPrinted>
  <dcterms:created xsi:type="dcterms:W3CDTF">2015-06-25T03:21:00Z</dcterms:created>
  <dcterms:modified xsi:type="dcterms:W3CDTF">2015-06-25T03:21:00Z</dcterms:modified>
</cp:coreProperties>
</file>